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footnotes.xml" ContentType="application/vnd.openxmlformats-officedocument.wordprocessingml.footnotes+xml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	<Relationship Id="rId1" Type="http://schemas.openxmlformats.org/officeDocument/2006/relationships/officeDocument" Target="word/document.xml"/>
	<Relationship Id="rId2" Type="http://schemas.openxmlformats.org/package/2006/relationships/metadata/core-properties" Target="docProps/core.xml"/>
	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mc:Ignorable="w14 w15 w16se wp14">
  <w:body>
    <w:p>
      <w:pPr>
        <w:pStyle w:val="Heading1"/>
      </w:pPr>
      <w:r>
        <w:t xml:space="preserve">GFM Comprehensive Fixture</w:t>
      </w:r>
    </w:p>
    <w:p>
      <w:r>
        <w:t xml:space="preserve">This document exercises the full GitHub-flavored Markdown spec plus our docx-cli extensions: inline math (</w:t>
      </w:r>
      <w:r>
        <w:rPr>
          <w:rStyle w:val="Code"/>
        </w:rPr>
        <w:t xml:space="preserve">$..$</w:t>
      </w:r>
      <w:r>
        <w:t xml:space="preserve">), display math (</w:t>
      </w:r>
      <w:r>
        <w:rPr>
          <w:rStyle w:val="Code"/>
        </w:rPr>
        <w:t xml:space="preserve">$$..$$</w:t>
      </w:r>
      <w:r>
        <w:t xml:space="preserve">), and CriticMarkup (</w:t>
      </w:r>
      <w:r>
        <w:rPr>
          <w:rStyle w:val="Code"/>
        </w:rPr>
        <w:t xml:space="preserve">{++ins++}</w:t>
      </w:r>
      <w:r>
        <w:t xml:space="preserve"> / </w:t>
      </w:r>
      <w:r>
        <w:rPr>
          <w:rStyle w:val="Code"/>
        </w:rPr>
        <w:t xml:space="preserve">{--del--}</w:t>
      </w:r>
      <w:r>
        <w:t xml:space="preserve">).</w:t>
      </w:r>
    </w:p>
    <w:p>
      <w:pPr>
        <w:pStyle w:val="Heading2"/>
      </w:pPr>
      <w:r>
        <w:t xml:space="preserve">1. Headings</w:t>
      </w:r>
    </w:p>
    <w:p>
      <w:pPr>
        <w:pStyle w:val="Heading3"/>
      </w:pPr>
      <w:r>
        <w:t xml:space="preserve">1.1 ATX headings</w:t>
      </w:r>
    </w:p>
    <w:p>
      <w:pPr>
        <w:pStyle w:val="Heading1"/>
      </w:pPr>
      <w:r>
        <w:t xml:space="preserve">Heading level 1</w:t>
      </w:r>
    </w:p>
    <w:p>
      <w:pPr>
        <w:pStyle w:val="Heading2"/>
      </w:pPr>
      <w:r>
        <w:t xml:space="preserve">Heading level 2</w:t>
      </w:r>
    </w:p>
    <w:p>
      <w:pPr>
        <w:pStyle w:val="Heading3"/>
      </w:pPr>
      <w:r>
        <w:t xml:space="preserve">Heading level 3</w:t>
      </w:r>
    </w:p>
    <w:p>
      <w:pPr>
        <w:pStyle w:val="Heading4"/>
      </w:pPr>
      <w:r>
        <w:t xml:space="preserve">Heading level 4</w:t>
      </w:r>
    </w:p>
    <w:p>
      <w:pPr>
        <w:pStyle w:val="Heading5"/>
      </w:pPr>
      <w:r>
        <w:t xml:space="preserve">Heading level 5</w:t>
      </w:r>
    </w:p>
    <w:p>
      <w:pPr>
        <w:pStyle w:val="Heading6"/>
      </w:pPr>
      <w:r>
        <w:t xml:space="preserve">Heading level 6</w:t>
      </w:r>
    </w:p>
    <w:p>
      <w:pPr>
        <w:pStyle w:val="Heading3"/>
      </w:pPr>
      <w:r>
        <w:t xml:space="preserve">1.2 Setext headings</w:t>
      </w:r>
    </w:p>
    <w:p>
      <w:pPr>
        <w:pStyle w:val="Heading1"/>
      </w:pPr>
      <w:r>
        <w:t xml:space="preserve">Setext heading 1</w:t>
      </w:r>
    </w:p>
    <w:p>
      <w:pPr>
        <w:pStyle w:val="Heading2"/>
      </w:pPr>
      <w:r>
        <w:t xml:space="preserve">Setext heading 2</w:t>
      </w:r>
    </w:p>
    <w:p>
      <w:pPr>
        <w:pStyle w:val="Heading2"/>
      </w:pPr>
      <w:r>
        <w:t xml:space="preserve">2. Paragraphs and inline formatting</w:t>
      </w:r>
    </w:p>
    <w:p>
      <w:pPr>
        <w:pStyle w:val="Heading3"/>
      </w:pPr>
      <w:r>
        <w:t xml:space="preserve">2.1 Basic decoration</w:t>
      </w:r>
    </w:p>
    <w:p>
      <w:r>
        <w:t xml:space="preserve">This paragraph has </w:t>
      </w:r>
      <w:r>
        <w:rPr>
          <w:b/>
        </w:rPr>
        <w:t xml:space="preserve">bold</w:t>
      </w:r>
      <w:r>
        <w:t xml:space="preserve">, </w:t>
      </w:r>
      <w:r>
        <w:rPr>
          <w:i/>
        </w:rPr>
        <w:t xml:space="preserve">italic</w:t>
      </w:r>
      <w:r>
        <w:t xml:space="preserve">, </w:t>
      </w:r>
      <w:r>
        <w:rPr>
          <w:strike/>
        </w:rPr>
        <w:t xml:space="preserve">strikethrough</w:t>
      </w:r>
      <w:r>
        <w:t xml:space="preserve">, and </w:t>
      </w:r>
      <w:r>
        <w:rPr>
          <w:rStyle w:val="Code"/>
        </w:rPr>
        <w:t xml:space="preserve">inline code</w:t>
      </w:r>
      <w:r>
        <w:t xml:space="preserve">.</w:t>
      </w:r>
    </w:p>
    <w:p>
      <w:pPr>
        <w:pStyle w:val="Heading3"/>
      </w:pPr>
      <w:r>
        <w:t xml:space="preserve">2.2 Nested decoration</w:t>
      </w:r>
    </w:p>
    <w:p>
      <w:r>
        <w:t xml:space="preserve">Bold containing italic: </w:t>
      </w:r>
      <w:r>
        <w:rPr>
          <w:b/>
        </w:rPr>
        <w:t xml:space="preserve">bold with </w:t>
      </w:r>
      <w:r>
        <w:rPr>
          <w:b/>
          <w:i/>
        </w:rPr>
        <w:t xml:space="preserve">italic inside</w:t>
      </w:r>
      <w:r>
        <w:t xml:space="preserve">.</w:t>
      </w:r>
    </w:p>
    <w:p>
      <w:r>
        <w:t xml:space="preserve">Italic containing bold: </w:t>
      </w:r>
      <w:r>
        <w:rPr>
          <w:i/>
        </w:rPr>
        <w:t xml:space="preserve">italic with </w:t>
      </w:r>
      <w:r>
        <w:rPr>
          <w:b/>
          <w:i/>
        </w:rPr>
        <w:t xml:space="preserve">bold inside</w:t>
      </w:r>
      <w:r>
        <w:t xml:space="preserve">.</w:t>
      </w:r>
    </w:p>
    <w:p>
      <w:r>
        <w:t xml:space="preserve">Strikethrough containing bold: </w:t>
      </w:r>
      <w:r>
        <w:rPr>
          <w:strike/>
        </w:rPr>
        <w:t xml:space="preserve">strike with </w:t>
      </w:r>
      <w:r>
        <w:rPr>
          <w:b/>
          <w:strike/>
        </w:rPr>
        <w:t xml:space="preserve">bold</w:t>
      </w:r>
      <w:r>
        <w:rPr>
          <w:strike/>
        </w:rPr>
        <w:t xml:space="preserve"> inside</w:t>
      </w:r>
      <w:r>
        <w:t xml:space="preserve">.</w:t>
      </w:r>
    </w:p>
    <w:p>
      <w:pPr>
        <w:pStyle w:val="Heading3"/>
      </w:pPr>
      <w:r>
        <w:t xml:space="preserve">2.3 Line breaks</w:t>
      </w:r>
    </w:p>
    <w:p>
      <w:r>
        <w:t xml:space="preserve">Soft line break:
this stays on the same paragraph.</w:t>
      </w:r>
    </w:p>
    <w:p>
      <w:r>
        <w:t xml:space="preserve">Hard line break:</w:t>
      </w:r>
      <w:r>
        <w:br/>
      </w:r>
      <w:r>
        <w:t xml:space="preserve">this is on a new line.</w:t>
      </w:r>
    </w:p>
    <w:p>
      <w:pPr>
        <w:pStyle w:val="Heading3"/>
      </w:pPr>
      <w:r>
        <w:t xml:space="preserve">2.4 Escapes and entities</w:t>
      </w:r>
    </w:p>
    <w:p>
      <w:r>
        <w:t xml:space="preserve">Backslash escapes: *not italic*, `not code`, and # not a heading.</w:t>
      </w:r>
    </w:p>
    <w:p>
      <w:r>
        <w:t xml:space="preserve">HTML entities: &amp; for ampersand, © for copyright, ♥ for heart, * for asterisk.</w:t>
      </w:r>
    </w:p>
    <w:p>
      <w:pPr>
        <w:pStyle w:val="Heading2"/>
      </w:pPr>
      <w:r>
        <w:t xml:space="preserve">3. Bullet lists</w:t>
      </w:r>
    </w:p>
    <w:p>
      <w:pPr>
        <w:pStyle w:val="ListParagraph"/>
        <w:numPr>
          <w:ilvl w:val="0"/>
          <w:numId w:val="1"/>
        </w:numPr>
      </w:pPr>
      <w:r>
        <w:t xml:space="preserve">first</w:t>
      </w:r>
    </w:p>
    <w:p>
      <w:pPr>
        <w:pStyle w:val="ListParagraph"/>
        <w:numPr>
          <w:ilvl w:val="0"/>
          <w:numId w:val="1"/>
        </w:numPr>
      </w:pPr>
      <w:r>
        <w:t xml:space="preserve">second</w:t>
      </w:r>
    </w:p>
    <w:p>
      <w:pPr>
        <w:pStyle w:val="ListParagraph"/>
        <w:numPr>
          <w:ilvl w:val="1"/>
          <w:numId w:val="1"/>
        </w:numPr>
      </w:pPr>
      <w:r>
        <w:t xml:space="preserve">nested second</w:t>
      </w:r>
    </w:p>
    <w:p>
      <w:pPr>
        <w:pStyle w:val="ListParagraph"/>
        <w:numPr>
          <w:ilvl w:val="1"/>
          <w:numId w:val="1"/>
        </w:numPr>
      </w:pPr>
      <w:r>
        <w:t xml:space="preserve">another nested</w:t>
      </w:r>
    </w:p>
    <w:p>
      <w:pPr>
        <w:pStyle w:val="ListParagraph"/>
        <w:numPr>
          <w:ilvl w:val="2"/>
          <w:numId w:val="1"/>
        </w:numPr>
      </w:pPr>
      <w:r>
        <w:t xml:space="preserve">third-level nested</w:t>
      </w:r>
    </w:p>
    <w:p>
      <w:pPr>
        <w:pStyle w:val="ListParagraph"/>
        <w:numPr>
          <w:ilvl w:val="0"/>
          <w:numId w:val="1"/>
        </w:numPr>
      </w:pPr>
      <w:r>
        <w:t xml:space="preserve">third</w:t>
      </w:r>
    </w:p>
    <w:p>
      <w:pPr>
        <w:pStyle w:val="ListParagraph"/>
        <w:numPr>
          <w:ilvl w:val="0"/>
          <w:numId w:val="1"/>
        </w:numPr>
      </w:pPr>
      <w:r>
        <w:t xml:space="preserve">fourth</w:t>
      </w:r>
    </w:p>
    <w:p>
      <w:pPr>
        <w:pStyle w:val="Heading2"/>
      </w:pPr>
      <w:r>
        <w:t xml:space="preserve">4. Ordered lists</w:t>
      </w:r>
    </w:p>
    <w:p>
      <w:pPr>
        <w:pStyle w:val="ListParagraph"/>
        <w:numPr>
          <w:ilvl w:val="0"/>
          <w:numId w:val="2"/>
        </w:numPr>
      </w:pPr>
      <w:r>
        <w:t xml:space="preserve">one</w:t>
      </w:r>
    </w:p>
    <w:p>
      <w:pPr>
        <w:pStyle w:val="ListParagraph"/>
        <w:numPr>
          <w:ilvl w:val="0"/>
          <w:numId w:val="2"/>
        </w:numPr>
      </w:pPr>
      <w:r>
        <w:t xml:space="preserve">two</w:t>
      </w:r>
    </w:p>
    <w:p>
      <w:pPr>
        <w:pStyle w:val="ListParagraph"/>
        <w:numPr>
          <w:ilvl w:val="0"/>
          <w:numId w:val="2"/>
        </w:numPr>
      </w:pPr>
      <w:r>
        <w:t xml:space="preserve">three</w:t>
      </w:r>
    </w:p>
    <w:p>
      <w:r>
        <w:t xml:space="preserve">Starting at 10:</w:t>
      </w:r>
    </w:p>
    <w:p>
      <w:pPr>
        <w:pStyle w:val="ListParagraph"/>
        <w:numPr>
          <w:ilvl w:val="0"/>
          <w:numId w:val="3"/>
        </w:numPr>
      </w:pPr>
      <w:r>
        <w:t xml:space="preserve">tenth item</w:t>
      </w:r>
    </w:p>
    <w:p>
      <w:pPr>
        <w:pStyle w:val="ListParagraph"/>
        <w:numPr>
          <w:ilvl w:val="0"/>
          <w:numId w:val="3"/>
        </w:numPr>
      </w:pPr>
      <w:r>
        <w:t xml:space="preserve">eleventh</w:t>
      </w:r>
    </w:p>
    <w:p>
      <w:pPr>
        <w:pStyle w:val="ListParagraph"/>
        <w:numPr>
          <w:ilvl w:val="0"/>
          <w:numId w:val="3"/>
        </w:numPr>
      </w:pPr>
      <w:r>
        <w:t xml:space="preserve">twelfth</w:t>
      </w:r>
    </w:p>
    <w:p>
      <w:pPr>
        <w:pStyle w:val="Heading2"/>
      </w:pPr>
      <w:r>
        <w:t xml:space="preserve">5. Task lists</w:t>
      </w:r>
    </w:p>
    <w:p>
      <w:pPr>
        <w:pStyle w:val="ListParagraph"/>
        <w:numPr>
          <w:ilvl w:val="0"/>
          <w:numId w:val="4"/>
        </w:numPr>
      </w:pPr>
      <w:sdt>
        <w:sdtPr>
          <w:id w:val="1"/>
          <w14:checkbox>
            <w14:checked w14:val="0"/>
            <w14:checkedState w14:val="2612"/>
            <w14:uncheckedState w14:val="2610"/>
          </w14:checkbox>
        </w:sdtPr>
        <w:sdtContent>
          <w:r/>
          <w:r>
            <w:t>☐</w:t>
          </w:r>
        </w:sdtContent>
      </w:sdt>
      <w:r>
        <w:t xml:space="preserve"> </w:t>
      </w:r>
      <w:r>
        <w:t xml:space="preserve">unchecked task</w:t>
      </w:r>
    </w:p>
    <w:p>
      <w:pPr>
        <w:pStyle w:val="ListParagraph"/>
        <w:numPr>
          <w:ilvl w:val="0"/>
          <w:numId w:val="4"/>
        </w:numPr>
      </w:pPr>
      <w:sdt>
        <w:sdtPr>
          <w:id w:val="2"/>
          <w14:checkbox>
            <w14:checked w14:val="1"/>
            <w14:checkedState w14:val="2612"/>
            <w14:uncheckedState w14:val="2610"/>
          </w14:checkbox>
        </w:sdtPr>
        <w:sdtContent>
          <w:r/>
          <w:r>
            <w:t>☒</w:t>
          </w:r>
        </w:sdtContent>
      </w:sdt>
      <w:r>
        <w:t xml:space="preserve"> </w:t>
      </w:r>
      <w:r>
        <w:t xml:space="preserve">checked task</w:t>
      </w:r>
    </w:p>
    <w:p>
      <w:pPr>
        <w:pStyle w:val="ListParagraph"/>
        <w:numPr>
          <w:ilvl w:val="0"/>
          <w:numId w:val="4"/>
        </w:numPr>
      </w:pPr>
      <w:sdt>
        <w:sdtPr>
          <w:id w:val="3"/>
          <w14:checkbox>
            <w14:checked w14:val="0"/>
            <w14:checkedState w14:val="2612"/>
            <w14:uncheckedState w14:val="2610"/>
          </w14:checkbox>
        </w:sdtPr>
        <w:sdtContent>
          <w:r/>
          <w:r>
            <w:t>☐</w:t>
          </w:r>
        </w:sdtContent>
      </w:sdt>
      <w:r>
        <w:t xml:space="preserve"> </w:t>
      </w:r>
      <w:r>
        <w:t xml:space="preserve">another unchecked</w:t>
      </w:r>
    </w:p>
    <w:p>
      <w:pPr>
        <w:pStyle w:val="ListParagraph"/>
        <w:numPr>
          <w:ilvl w:val="0"/>
          <w:numId w:val="4"/>
        </w:numPr>
      </w:pPr>
      <w:sdt>
        <w:sdtPr>
          <w:id w:val="4"/>
          <w14:checkbox>
            <w14:checked w14:val="1"/>
            <w14:checkedState w14:val="2612"/>
            <w14:uncheckedState w14:val="2610"/>
          </w14:checkbox>
        </w:sdtPr>
        <w:sdtContent>
          <w:r/>
          <w:r>
            <w:t>☒</w:t>
          </w:r>
        </w:sdtContent>
      </w:sdt>
      <w:r>
        <w:t xml:space="preserve"> </w:t>
      </w:r>
      <w:r>
        <w:t xml:space="preserve">another done</w:t>
      </w:r>
    </w:p>
    <w:p>
      <w:pPr>
        <w:pStyle w:val="Heading2"/>
      </w:pPr>
      <w:r>
        <w:t xml:space="preserve">6. List items with multi-block content</w:t>
      </w:r>
    </w:p>
    <w:p>
      <w:pPr>
        <w:pStyle w:val="ListParagraph"/>
        <w:numPr>
          <w:ilvl w:val="0"/>
          <w:numId w:val="5"/>
        </w:numPr>
      </w:pPr>
      <w:r>
        <w:t xml:space="preserve">A list item with multiple paragraphs.</w:t>
      </w:r>
    </w:p>
    <w:p>
      <w:pPr>
        <w:pStyle w:val="ListParagraph"/>
        <w:numPr>
          <w:ilvl w:val="0"/>
          <w:numId w:val="5"/>
        </w:numPr>
      </w:pPr>
      <w:r>
        <w:t xml:space="preserve">Second paragraph still in the same item.</w:t>
      </w:r>
    </w:p>
    <w:p>
      <w:pPr>
        <w:pStyle w:val="CodeBlock-python"/>
      </w:pPr>
      <w:r>
        <w:rPr>
          <w:rStyle w:val="Code"/>
          <w:color w:val="0550AE"/>
        </w:rPr>
        <w:t xml:space="preserve">print</w:t>
      </w:r>
      <w:r>
        <w:rPr>
          <w:rStyle w:val="Code"/>
        </w:rPr>
        <w:t xml:space="preserve">(</w:t>
      </w:r>
      <w:r>
        <w:rPr>
          <w:rStyle w:val="Code"/>
          <w:color w:val="0A3069"/>
        </w:rPr>
        <w:t xml:space="preserve">"code inside a list item"</w:t>
      </w:r>
      <w:r>
        <w:rPr>
          <w:rStyle w:val="Code"/>
        </w:rPr>
        <w:t xml:space="preserve">)</w:t>
      </w:r>
    </w:p>
    <w:p>
      <w:pPr>
        <w:pStyle w:val="Quote"/>
        <w:ind w:left="720"/>
      </w:pPr>
      <w:r>
        <w:t xml:space="preserve">A blockquote inside a list item.</w:t>
      </w:r>
    </w:p>
    <w:p>
      <w:pPr>
        <w:pStyle w:val="ListParagraph"/>
        <w:numPr>
          <w:ilvl w:val="0"/>
          <w:numId w:val="5"/>
        </w:numPr>
      </w:pPr>
      <w:r>
        <w:t xml:space="preserve">Another item with only a single line.</w:t>
      </w:r>
    </w:p>
    <w:p>
      <w:pPr>
        <w:pStyle w:val="Heading2"/>
      </w:pPr>
      <w:r>
        <w:t xml:space="preserve">7. Blockquotes</w:t>
      </w:r>
    </w:p>
    <w:p>
      <w:pPr>
        <w:pStyle w:val="Heading3"/>
      </w:pPr>
      <w:r>
        <w:t xml:space="preserve">7.1 Simple</w:t>
      </w:r>
    </w:p>
    <w:p>
      <w:pPr>
        <w:pStyle w:val="Quote"/>
        <w:ind w:left="720"/>
      </w:pPr>
      <w:r>
        <w:t xml:space="preserve">A simple single-paragraph blockquote.</w:t>
      </w:r>
    </w:p>
    <w:p>
      <w:pPr>
        <w:pStyle w:val="Heading3"/>
      </w:pPr>
      <w:r>
        <w:t xml:space="preserve">7.2 Multi-paragraph</w:t>
      </w:r>
    </w:p>
    <w:p>
      <w:pPr>
        <w:pStyle w:val="Quote"/>
        <w:ind w:left="720"/>
      </w:pPr>
      <w:r>
        <w:t xml:space="preserve">A multi-paragraph blockquote.</w:t>
      </w:r>
    </w:p>
    <w:p>
      <w:pPr>
        <w:pStyle w:val="Quote"/>
        <w:ind w:left="720"/>
      </w:pPr>
      <w:r>
        <w:t xml:space="preserve">Second paragraph of the same quote.</w:t>
      </w:r>
    </w:p>
    <w:p>
      <w:pPr>
        <w:pStyle w:val="Heading3"/>
      </w:pPr>
      <w:r>
        <w:t xml:space="preserve">7.3 With a nested list</w:t>
      </w:r>
    </w:p>
    <w:p>
      <w:pPr>
        <w:pStyle w:val="Quote"/>
        <w:ind w:left="720"/>
      </w:pPr>
      <w:r>
        <w:t xml:space="preserve">Blockquote containing a list:</w:t>
      </w:r>
    </w:p>
    <w:p>
      <w:pPr>
        <w:pStyle w:val="QuoteListParagraph"/>
        <w:numPr>
          <w:ilvl w:val="0"/>
          <w:numId w:val="6"/>
        </w:numPr>
        <w:ind w:left="1020" w:hanging="240"/>
      </w:pPr>
      <w:r>
        <w:t xml:space="preserve">one</w:t>
      </w:r>
    </w:p>
    <w:p>
      <w:pPr>
        <w:pStyle w:val="QuoteListParagraph"/>
        <w:numPr>
          <w:ilvl w:val="0"/>
          <w:numId w:val="6"/>
        </w:numPr>
        <w:ind w:left="1020" w:hanging="240"/>
      </w:pPr>
      <w:r>
        <w:t xml:space="preserve">two</w:t>
      </w:r>
    </w:p>
    <w:p>
      <w:pPr>
        <w:pStyle w:val="QuoteListParagraph"/>
        <w:numPr>
          <w:ilvl w:val="1"/>
          <w:numId w:val="6"/>
        </w:numPr>
        <w:ind w:left="1320" w:hanging="240"/>
      </w:pPr>
      <w:r>
        <w:t xml:space="preserve">nested bullet still inside the quote</w:t>
      </w:r>
    </w:p>
    <w:p>
      <w:pPr>
        <w:pStyle w:val="QuoteListParagraph"/>
        <w:numPr>
          <w:ilvl w:val="0"/>
          <w:numId w:val="6"/>
        </w:numPr>
        <w:ind w:left="1020" w:hanging="240"/>
      </w:pPr>
      <w:r>
        <w:t xml:space="preserve">three</w:t>
      </w:r>
    </w:p>
    <w:p>
      <w:pPr>
        <w:pStyle w:val="Heading3"/>
      </w:pPr>
      <w:r>
        <w:t xml:space="preserve">7.4 Nested blockquote</w:t>
      </w:r>
    </w:p>
    <w:p>
      <w:pPr>
        <w:pStyle w:val="Quote"/>
        <w:ind w:left="720"/>
      </w:pPr>
      <w:r>
        <w:t xml:space="preserve">outer quote line.</w:t>
      </w:r>
    </w:p>
    <w:p>
      <w:pPr>
        <w:pStyle w:val="Quote"/>
        <w:ind w:left="1440"/>
      </w:pPr>
      <w:r>
        <w:t xml:space="preserve">nested quote line.</w:t>
      </w:r>
    </w:p>
    <w:p>
      <w:pPr>
        <w:pStyle w:val="Quote"/>
        <w:ind w:left="2160"/>
      </w:pPr>
      <w:r>
        <w:t xml:space="preserve">deeply nested line.</w:t>
      </w:r>
    </w:p>
    <w:p>
      <w:pPr>
        <w:pStyle w:val="Heading3"/>
      </w:pPr>
      <w:r>
        <w:t xml:space="preserve">7.5 Task list inside a blockquote</w:t>
      </w:r>
    </w:p>
    <w:p>
      <w:pPr>
        <w:pStyle w:val="Quote"/>
        <w:ind w:left="720"/>
      </w:pPr>
      <w:r>
        <w:t xml:space="preserve">Task list in quote:</w:t>
      </w:r>
    </w:p>
    <w:p>
      <w:pPr>
        <w:pStyle w:val="QuoteListParagraph"/>
        <w:numPr>
          <w:ilvl w:val="0"/>
          <w:numId w:val="7"/>
        </w:numPr>
        <w:ind w:left="1020" w:hanging="240"/>
      </w:pPr>
      <w:sdt>
        <w:sdtPr>
          <w:id w:val="5"/>
          <w14:checkbox>
            <w14:checked w14:val="0"/>
            <w14:checkedState w14:val="2612"/>
            <w14:uncheckedState w14:val="2610"/>
          </w14:checkbox>
        </w:sdtPr>
        <w:sdtContent>
          <w:r/>
          <w:r>
            <w:t>☐</w:t>
          </w:r>
        </w:sdtContent>
      </w:sdt>
      <w:r>
        <w:t xml:space="preserve"> </w:t>
      </w:r>
      <w:r>
        <w:t xml:space="preserve">todo unchecked</w:t>
      </w:r>
    </w:p>
    <w:p>
      <w:pPr>
        <w:pStyle w:val="QuoteListParagraph"/>
        <w:numPr>
          <w:ilvl w:val="0"/>
          <w:numId w:val="7"/>
        </w:numPr>
        <w:ind w:left="1020" w:hanging="240"/>
      </w:pPr>
      <w:sdt>
        <w:sdtPr>
          <w:id w:val="6"/>
          <w14:checkbox>
            <w14:checked w14:val="1"/>
            <w14:checkedState w14:val="2612"/>
            <w14:uncheckedState w14:val="2610"/>
          </w14:checkbox>
        </w:sdtPr>
        <w:sdtContent>
          <w:r/>
          <w:r>
            <w:t>☒</w:t>
          </w:r>
        </w:sdtContent>
      </w:sdt>
      <w:r>
        <w:t xml:space="preserve"> </w:t>
      </w:r>
      <w:r>
        <w:t xml:space="preserve">todo done</w:t>
      </w:r>
    </w:p>
    <w:p>
      <w:pPr>
        <w:pStyle w:val="Heading3"/>
      </w:pPr>
      <w:r>
        <w:t xml:space="preserve">7.6 Code block inside a blockquote (escapes — see CLAUDE.md)</w:t>
      </w:r>
    </w:p>
    <w:p>
      <w:r>
        <w:t xml:space="preserve">The code fence below intentionally breaks out of the surrounding blockquote on
write. Adjacent quoted paragraphs before and after surface as separate
blockquotes on round-trip.</w:t>
      </w:r>
    </w:p>
    <w:p>
      <w:pPr>
        <w:pStyle w:val="Quote"/>
        <w:ind w:left="720"/>
      </w:pPr>
      <w:r>
        <w:t xml:space="preserve">Intro paragraph stays quoted.</w:t>
      </w:r>
    </w:p>
    <w:p>
      <w:pPr>
        <w:pStyle w:val="CodeBlock-python"/>
      </w:pPr>
      <w:r>
        <w:rPr>
          <w:rStyle w:val="Code"/>
          <w:color w:val="0550AE"/>
        </w:rPr>
        <w:t xml:space="preserve">print</w:t>
      </w:r>
      <w:r>
        <w:rPr>
          <w:rStyle w:val="Code"/>
        </w:rPr>
        <w:t xml:space="preserve">(</w:t>
      </w:r>
      <w:r>
        <w:rPr>
          <w:rStyle w:val="Code"/>
          <w:color w:val="0A3069"/>
        </w:rPr>
        <w:t xml:space="preserve">"this fence escapes the quote on import"</w:t>
      </w:r>
      <w:r>
        <w:rPr>
          <w:rStyle w:val="Code"/>
        </w:rPr>
        <w:t xml:space="preserve">)</w:t>
      </w:r>
    </w:p>
    <w:p>
      <w:pPr>
        <w:pStyle w:val="Quote"/>
        <w:ind w:left="720"/>
      </w:pPr>
      <w:r>
        <w:t xml:space="preserve">Trailing paragraph re-enters the quote.</w:t>
      </w:r>
    </w:p>
    <w:p>
      <w:pPr>
        <w:pStyle w:val="Heading2"/>
      </w:pPr>
      <w:r>
        <w:t xml:space="preserve">8. Code blocks</w:t>
      </w:r>
    </w:p>
    <w:p>
      <w:pPr>
        <w:pStyle w:val="Heading3"/>
      </w:pPr>
      <w:r>
        <w:t xml:space="preserve">8.1 Indented (4-space)</w:t>
      </w:r>
    </w:p>
    <w:p>
      <w:pPr>
        <w:pStyle w:val="CodeBlock"/>
      </w:pPr>
      <w:r>
        <w:rPr>
          <w:rStyle w:val="Code"/>
        </w:rPr>
        <w:t xml:space="preserve">function indented() {</w:t>
      </w:r>
    </w:p>
    <w:p>
      <w:pPr>
        <w:pStyle w:val="CodeBlock"/>
      </w:pPr>
      <w:r>
        <w:rPr>
          <w:rStyle w:val="Code"/>
        </w:rPr>
        <w:t xml:space="preserve">  return true;</w:t>
      </w:r>
    </w:p>
    <w:p>
      <w:pPr>
        <w:pStyle w:val="CodeBlock"/>
      </w:pPr>
      <w:r>
        <w:rPr>
          <w:rStyle w:val="Code"/>
        </w:rPr>
        <w:t xml:space="preserve">}</w:t>
      </w:r>
    </w:p>
    <w:p>
      <w:pPr>
        <w:pStyle w:val="Heading3"/>
      </w:pPr>
      <w:r>
        <w:t xml:space="preserve">8.2 Fenced without language</w:t>
      </w:r>
    </w:p>
    <w:p>
      <w:pPr>
        <w:pStyle w:val="CodeBlock"/>
      </w:pPr>
      <w:r>
        <w:rPr>
          <w:rStyle w:val="Code"/>
        </w:rPr>
        <w:t xml:space="preserve">plain fenced code,</w:t>
      </w:r>
    </w:p>
    <w:p>
      <w:pPr>
        <w:pStyle w:val="CodeBlock"/>
      </w:pPr>
      <w:r>
        <w:rPr>
          <w:rStyle w:val="Code"/>
        </w:rPr>
        <w:t xml:space="preserve">no highlighting.</w:t>
      </w:r>
    </w:p>
    <w:p>
      <w:pPr>
        <w:pStyle w:val="Heading3"/>
      </w:pPr>
      <w:r>
        <w:t xml:space="preserve">8.3 Fenced TypeScript</w:t>
      </w:r>
    </w:p>
    <w:p>
      <w:pPr>
        <w:pStyle w:val="CodeBlock-typescript"/>
      </w:pPr>
      <w:r>
        <w:rPr>
          <w:rStyle w:val="Code"/>
          <w:color w:val="CF222E"/>
        </w:rPr>
        <w:t xml:space="preserve">function</w:t>
      </w:r>
      <w:r>
        <w:rPr>
          <w:rStyle w:val="Code"/>
        </w:rPr>
        <w:t xml:space="preserve"> </w:t>
      </w:r>
      <w:r>
        <w:rPr>
          <w:rStyle w:val="Code"/>
          <w:color w:val="8250DF"/>
        </w:rPr>
        <w:t xml:space="preserve">add</w:t>
      </w:r>
      <w:r>
        <w:rPr>
          <w:rStyle w:val="Code"/>
        </w:rPr>
        <w:t xml:space="preserve">(</w:t>
      </w:r>
      <w:r>
        <w:rPr>
          <w:rStyle w:val="Code"/>
          <w:color w:val="0550AE"/>
        </w:rPr>
        <w:t xml:space="preserve">a</w:t>
      </w:r>
      <w:r>
        <w:rPr>
          <w:rStyle w:val="Code"/>
        </w:rPr>
        <w:t xml:space="preserve">: </w:t>
      </w:r>
      <w:r>
        <w:rPr>
          <w:rStyle w:val="Code"/>
          <w:color w:val="0550AE"/>
        </w:rPr>
        <w:t xml:space="preserve">number</w:t>
      </w:r>
      <w:r>
        <w:rPr>
          <w:rStyle w:val="Code"/>
        </w:rPr>
        <w:t xml:space="preserve">, </w:t>
      </w:r>
      <w:r>
        <w:rPr>
          <w:rStyle w:val="Code"/>
          <w:color w:val="0550AE"/>
        </w:rPr>
        <w:t xml:space="preserve">b</w:t>
      </w:r>
      <w:r>
        <w:rPr>
          <w:rStyle w:val="Code"/>
        </w:rPr>
        <w:t xml:space="preserve">: </w:t>
      </w:r>
      <w:r>
        <w:rPr>
          <w:rStyle w:val="Code"/>
          <w:color w:val="0550AE"/>
        </w:rPr>
        <w:t xml:space="preserve">number</w:t>
      </w:r>
      <w:r>
        <w:rPr>
          <w:rStyle w:val="Code"/>
        </w:rPr>
        <w:t xml:space="preserve">): </w:t>
      </w:r>
      <w:r>
        <w:rPr>
          <w:rStyle w:val="Code"/>
          <w:color w:val="0550AE"/>
        </w:rPr>
        <w:t xml:space="preserve">number</w:t>
      </w:r>
      <w:r>
        <w:rPr>
          <w:rStyle w:val="Code"/>
        </w:rPr>
        <w:t xml:space="preserve"> {</w:t>
      </w:r>
    </w:p>
    <w:p>
      <w:pPr>
        <w:pStyle w:val="CodeBlock-typescript"/>
      </w:pPr>
      <w:r>
        <w:rPr>
          <w:rStyle w:val="Code"/>
        </w:rPr>
        <w:t xml:space="preserve">	</w:t>
      </w:r>
      <w:r>
        <w:rPr>
          <w:rStyle w:val="Code"/>
          <w:color w:val="CF222E"/>
        </w:rPr>
        <w:t xml:space="preserve">return</w:t>
      </w:r>
      <w:r>
        <w:rPr>
          <w:rStyle w:val="Code"/>
        </w:rPr>
        <w:t xml:space="preserve"> a + b;</w:t>
      </w:r>
    </w:p>
    <w:p>
      <w:pPr>
        <w:pStyle w:val="CodeBlock-typescript"/>
      </w:pPr>
      <w:r>
        <w:rPr>
          <w:rStyle w:val="Code"/>
        </w:rPr>
        <w:t xml:space="preserve">}</w:t>
      </w:r>
    </w:p>
    <w:p>
      <w:pPr>
        <w:pStyle w:val="Heading3"/>
      </w:pPr>
      <w:r>
        <w:t xml:space="preserve">8.4 Fenced Python</w:t>
      </w:r>
    </w:p>
    <w:p>
      <w:pPr>
        <w:pStyle w:val="CodeBlock-python"/>
      </w:pPr>
      <w:r>
        <w:rPr>
          <w:rStyle w:val="Code"/>
          <w:color w:val="CF222E"/>
        </w:rPr>
        <w:t xml:space="preserve">def</w:t>
      </w:r>
      <w:r>
        <w:rPr>
          <w:rStyle w:val="Code"/>
        </w:rPr>
        <w:t xml:space="preserve"> </w:t>
      </w:r>
      <w:r>
        <w:rPr>
          <w:rStyle w:val="Code"/>
          <w:color w:val="8250DF"/>
        </w:rPr>
        <w:t xml:space="preserve">hello</w:t>
      </w:r>
      <w:r>
        <w:rPr>
          <w:rStyle w:val="Code"/>
        </w:rPr>
        <w:t xml:space="preserve">(</w:t>
      </w:r>
      <w:r>
        <w:rPr>
          <w:rStyle w:val="Code"/>
        </w:rPr>
        <w:t xml:space="preserve">name: </w:t>
      </w:r>
      <w:r>
        <w:rPr>
          <w:rStyle w:val="Code"/>
          <w:color w:val="0550AE"/>
        </w:rPr>
        <w:t xml:space="preserve">str</w:t>
      </w:r>
      <w:r>
        <w:rPr>
          <w:rStyle w:val="Code"/>
        </w:rPr>
        <w:t xml:space="preserve">) -&gt; </w:t>
      </w:r>
      <w:r>
        <w:rPr>
          <w:rStyle w:val="Code"/>
          <w:color w:val="0550AE"/>
        </w:rPr>
        <w:t xml:space="preserve">str</w:t>
      </w:r>
      <w:r>
        <w:rPr>
          <w:rStyle w:val="Code"/>
        </w:rPr>
        <w:t xml:space="preserve">:</w:t>
      </w:r>
    </w:p>
    <w:p>
      <w:pPr>
        <w:pStyle w:val="CodeBlock-python"/>
      </w:pPr>
      <w:r>
        <w:rPr>
          <w:rStyle w:val="Code"/>
        </w:rPr>
        <w:t xml:space="preserve">	</w:t>
      </w:r>
      <w:r>
        <w:rPr>
          <w:rStyle w:val="Code"/>
          <w:color w:val="CF222E"/>
        </w:rPr>
        <w:t xml:space="preserve">return</w:t>
      </w:r>
      <w:r>
        <w:rPr>
          <w:rStyle w:val="Code"/>
        </w:rPr>
        <w:t xml:space="preserve"> </w:t>
      </w:r>
      <w:r>
        <w:rPr>
          <w:rStyle w:val="Code"/>
          <w:color w:val="0A3069"/>
        </w:rPr>
        <w:t xml:space="preserve">f"Hello, </w:t>
      </w:r>
      <w:r>
        <w:rPr>
          <w:rStyle w:val="Code"/>
          <w:color w:val="0A3069"/>
        </w:rPr>
        <w:t xml:space="preserve">{name}</w:t>
      </w:r>
      <w:r>
        <w:rPr>
          <w:rStyle w:val="Code"/>
          <w:color w:val="0A3069"/>
        </w:rPr>
        <w:t xml:space="preserve">!"</w:t>
      </w:r>
    </w:p>
    <w:p>
      <w:pPr>
        <w:pStyle w:val="Heading3"/>
      </w:pPr>
      <w:r>
        <w:t xml:space="preserve">8.5 Fenced SQL</w:t>
      </w:r>
    </w:p>
    <w:p>
      <w:pPr>
        <w:pStyle w:val="CodeBlock-sql"/>
      </w:pPr>
      <w:r>
        <w:rPr>
          <w:rStyle w:val="Code"/>
          <w:color w:val="CF222E"/>
        </w:rPr>
        <w:t xml:space="preserve">SELECT</w:t>
      </w:r>
      <w:r>
        <w:rPr>
          <w:rStyle w:val="Code"/>
        </w:rPr>
        <w:t xml:space="preserve"> users.id, users.name</w:t>
      </w:r>
    </w:p>
    <w:p>
      <w:pPr>
        <w:pStyle w:val="CodeBlock-sql"/>
      </w:pPr>
      <w:r>
        <w:rPr>
          <w:rStyle w:val="Code"/>
          <w:color w:val="CF222E"/>
        </w:rPr>
        <w:t xml:space="preserve">FROM</w:t>
      </w:r>
      <w:r>
        <w:rPr>
          <w:rStyle w:val="Code"/>
        </w:rPr>
        <w:t xml:space="preserve"> users</w:t>
      </w:r>
    </w:p>
    <w:p>
      <w:pPr>
        <w:pStyle w:val="CodeBlock-sql"/>
      </w:pPr>
      <w:r>
        <w:rPr>
          <w:rStyle w:val="Code"/>
          <w:color w:val="CF222E"/>
        </w:rPr>
        <w:t xml:space="preserve">WHERE</w:t>
      </w:r>
      <w:r>
        <w:rPr>
          <w:rStyle w:val="Code"/>
        </w:rPr>
        <w:t xml:space="preserve"> active </w:t>
      </w:r>
      <w:r>
        <w:rPr>
          <w:rStyle w:val="Code"/>
        </w:rPr>
        <w:t xml:space="preserve">=</w:t>
      </w:r>
      <w:r>
        <w:rPr>
          <w:rStyle w:val="Code"/>
        </w:rPr>
        <w:t xml:space="preserve"> </w:t>
      </w:r>
      <w:r>
        <w:rPr>
          <w:rStyle w:val="Code"/>
          <w:color w:val="0550AE"/>
        </w:rPr>
        <w:t xml:space="preserve">true</w:t>
      </w:r>
    </w:p>
    <w:p>
      <w:pPr>
        <w:pStyle w:val="CodeBlock-sql"/>
      </w:pPr>
      <w:r>
        <w:rPr>
          <w:rStyle w:val="Code"/>
          <w:color w:val="CF222E"/>
        </w:rPr>
        <w:t xml:space="preserve">ORDER</w:t>
      </w:r>
      <w:r>
        <w:rPr>
          <w:rStyle w:val="Code"/>
        </w:rPr>
        <w:t xml:space="preserve"> </w:t>
      </w:r>
      <w:r>
        <w:rPr>
          <w:rStyle w:val="Code"/>
          <w:color w:val="CF222E"/>
        </w:rPr>
        <w:t xml:space="preserve">BY</w:t>
      </w:r>
      <w:r>
        <w:rPr>
          <w:rStyle w:val="Code"/>
        </w:rPr>
        <w:t xml:space="preserve"> users.id </w:t>
      </w:r>
      <w:r>
        <w:rPr>
          <w:rStyle w:val="Code"/>
          <w:color w:val="CF222E"/>
        </w:rPr>
        <w:t xml:space="preserve">DESC</w:t>
      </w:r>
      <w:r>
        <w:rPr>
          <w:rStyle w:val="Code"/>
        </w:rPr>
        <w:t xml:space="preserve">;</w:t>
      </w:r>
    </w:p>
    <w:p>
      <w:pPr>
        <w:pStyle w:val="Heading3"/>
      </w:pPr>
      <w:r>
        <w:t xml:space="preserve">8.6 Fenced JSON</w:t>
      </w:r>
    </w:p>
    <w:p>
      <w:pPr>
        <w:pStyle w:val="CodeBlock-json"/>
      </w:pPr>
      <w:r>
        <w:rPr>
          <w:rStyle w:val="Code"/>
        </w:rPr>
        <w:t xml:space="preserve">{</w:t>
      </w:r>
    </w:p>
    <w:p>
      <w:pPr>
        <w:pStyle w:val="CodeBlock-json"/>
      </w:pPr>
      <w:r>
        <w:rPr>
          <w:rStyle w:val="Code"/>
        </w:rPr>
        <w:t xml:space="preserve">	</w:t>
      </w:r>
      <w:r>
        <w:rPr>
          <w:rStyle w:val="Code"/>
          <w:color w:val="0550AE"/>
        </w:rPr>
        <w:t xml:space="preserve">"name"</w:t>
      </w:r>
      <w:r>
        <w:rPr>
          <w:rStyle w:val="Code"/>
        </w:rPr>
        <w:t xml:space="preserve">:</w:t>
      </w:r>
      <w:r>
        <w:rPr>
          <w:rStyle w:val="Code"/>
        </w:rPr>
        <w:t xml:space="preserve"> </w:t>
      </w:r>
      <w:r>
        <w:rPr>
          <w:rStyle w:val="Code"/>
          <w:color w:val="0A3069"/>
        </w:rPr>
        <w:t xml:space="preserve">"docx-cli"</w:t>
      </w:r>
      <w:r>
        <w:rPr>
          <w:rStyle w:val="Code"/>
        </w:rPr>
        <w:t xml:space="preserve">,</w:t>
      </w:r>
    </w:p>
    <w:p>
      <w:pPr>
        <w:pStyle w:val="CodeBlock-json"/>
      </w:pPr>
      <w:r>
        <w:rPr>
          <w:rStyle w:val="Code"/>
        </w:rPr>
        <w:t xml:space="preserve">	</w:t>
      </w:r>
      <w:r>
        <w:rPr>
          <w:rStyle w:val="Code"/>
          <w:color w:val="0550AE"/>
        </w:rPr>
        <w:t xml:space="preserve">"version"</w:t>
      </w:r>
      <w:r>
        <w:rPr>
          <w:rStyle w:val="Code"/>
        </w:rPr>
        <w:t xml:space="preserve">:</w:t>
      </w:r>
      <w:r>
        <w:rPr>
          <w:rStyle w:val="Code"/>
        </w:rPr>
        <w:t xml:space="preserve"> </w:t>
      </w:r>
      <w:r>
        <w:rPr>
          <w:rStyle w:val="Code"/>
          <w:color w:val="0A3069"/>
        </w:rPr>
        <w:t xml:space="preserve">"0.11.0"</w:t>
      </w:r>
    </w:p>
    <w:p>
      <w:pPr>
        <w:pStyle w:val="CodeBlock-json"/>
      </w:pPr>
      <w:r>
        <w:rPr>
          <w:rStyle w:val="Code"/>
        </w:rPr>
        <w:t xml:space="preserve">}</w:t>
      </w:r>
    </w:p>
    <w:p>
      <w:pPr>
        <w:pStyle w:val="Heading2"/>
      </w:pPr>
      <w:r>
        <w:t xml:space="preserve">9. Tables</w:t>
      </w:r>
    </w:p>
    <w:p>
      <w:pPr>
        <w:pStyle w:val="Heading3"/>
      </w:pPr>
      <w:r>
        <w:t xml:space="preserve">9.1 Basic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</w:tblPr>
      <w:tblGrid>
        <w:gridCol w:w="3120"/>
        <w:gridCol w:w="3120"/>
        <w:gridCol w:w="3120"/>
      </w:tblGrid>
      <w:tr>
        <w:tc>
          <w:p>
            <w:r>
              <w:t xml:space="preserve">Name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Default</w:t>
            </w:r>
          </w:p>
        </w:tc>
      </w:tr>
      <w:tr>
        <w:tc>
          <w:p>
            <w:r>
              <w:t xml:space="preserve">color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"blue"</w:t>
            </w:r>
          </w:p>
        </w:tc>
      </w:tr>
      <w:tr>
        <w:tc>
          <w:p>
            <w:r>
              <w:t xml:space="preserve">size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10</w:t>
            </w:r>
          </w:p>
        </w:tc>
      </w:tr>
      <w:tr>
        <w:tc>
          <w:p>
            <w:r>
              <w:t xml:space="preserve">enabled</w:t>
            </w:r>
          </w:p>
        </w:tc>
        <w:tc>
          <w:p>
            <w:r>
              <w:t xml:space="preserve">boolean</w:t>
            </w:r>
          </w:p>
        </w:tc>
        <w:tc>
          <w:p>
            <w:r>
              <w:t xml:space="preserve">true</w:t>
            </w:r>
          </w:p>
        </w:tc>
      </w:tr>
    </w:tbl>
    <w:p>
      <w:pPr>
        <w:pStyle w:val="Heading3"/>
      </w:pPr>
      <w:r>
        <w:t xml:space="preserve">9.2 With alignment markers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</w:tblPr>
      <w:tblGrid>
        <w:gridCol w:w="3120"/>
        <w:gridCol w:w="3120"/>
        <w:gridCol w:w="3120"/>
      </w:tblGrid>
      <w:tr>
        <w:tc>
          <w:p>
            <w:r>
              <w:t xml:space="preserve">Left</w:t>
            </w:r>
          </w:p>
        </w:tc>
        <w:tc>
          <w:p>
            <w:r>
              <w:t xml:space="preserve">Center</w:t>
            </w:r>
          </w:p>
        </w:tc>
        <w:tc>
          <w:p>
            <w:r>
              <w:t xml:space="preserve">Right</w:t>
            </w:r>
          </w:p>
        </w:tc>
      </w:tr>
      <w:tr>
        <w:tc>
          <w:p>
            <w:r>
              <w:t xml:space="preserve">a</w:t>
            </w:r>
          </w:p>
        </w:tc>
        <w:tc>
          <w:p>
            <w:r>
              <w:t xml:space="preserve">b</w:t>
            </w:r>
          </w:p>
        </w:tc>
        <w:tc>
          <w:p>
            <w:r>
              <w:t xml:space="preserve">c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longer text</w:t>
            </w:r>
          </w:p>
        </w:tc>
        <w:tc>
          <w:p>
            <w:r>
              <w:t xml:space="preserve">middle</w:t>
            </w:r>
          </w:p>
        </w:tc>
        <w:tc>
          <w:p>
            <w:r>
              <w:t xml:space="preserve">end</w:t>
            </w:r>
          </w:p>
        </w:tc>
      </w:tr>
    </w:tbl>
    <w:p>
      <w:pPr>
        <w:pStyle w:val="Heading2"/>
      </w:pPr>
      <w:r>
        <w:t xml:space="preserve">10. Links and images</w:t>
      </w:r>
    </w:p>
    <w:p>
      <w:pPr>
        <w:pStyle w:val="Heading3"/>
      </w:pPr>
      <w:r>
        <w:t xml:space="preserve">10.1 Links</w:t>
      </w:r>
    </w:p>
    <w:p>
      <w:r>
        <w:t xml:space="preserve">Inline link: </w:t>
      </w:r>
      <w:hyperlink r:id="rId9">
        <w:r>
          <w:rPr>
            <w:rStyle w:val="Hyperlink"/>
          </w:rPr>
          <w:t xml:space="preserve">docx-cli on GitHub</w:t>
        </w:r>
      </w:hyperlink>
      <w:r>
        <w:t xml:space="preserve">.</w:t>
      </w:r>
    </w:p>
    <w:p>
      <w:r>
        <w:t xml:space="preserve">Autolink: </w:t>
      </w:r>
      <w:hyperlink r:id="rId10">
        <w:r>
          <w:rPr>
            <w:rStyle w:val="Hyperlink"/>
          </w:rPr>
          <w:t xml:space="preserve">https://example.com</w:t>
        </w:r>
      </w:hyperlink>
      <w:r>
        <w:t xml:space="preserve">.</w:t>
      </w:r>
    </w:p>
    <w:p>
      <w:r>
        <w:t xml:space="preserve">Email autolink: </w:t>
      </w:r>
      <w:hyperlink r:id="rId11">
        <w:r>
          <w:rPr>
            <w:rStyle w:val="Hyperlink"/>
          </w:rPr>
          <w:t xml:space="preserve">hello@example.com</w:t>
        </w:r>
      </w:hyperlink>
      <w:r>
        <w:t xml:space="preserve">.</w:t>
      </w:r>
    </w:p>
    <w:p>
      <w:r>
        <w:t xml:space="preserve">Reference-style link: </w:t>
      </w:r>
      <w:hyperlink r:id="rId12">
        <w:r>
          <w:rPr>
            <w:rStyle w:val="Hyperlink"/>
          </w:rPr>
          <w:t xml:space="preserve">docx-cli</w:t>
        </w:r>
      </w:hyperlink>
      <w:r>
        <w:t xml:space="preserve">.</w:t>
      </w:r>
    </w:p>
    <w:p>
      <w:pPr>
        <w:pStyle w:val="Heading3"/>
      </w:pPr>
      <w:r>
        <w:t xml:space="preserve">10.2 Inline image</w:t>
      </w:r>
    </w:p>
    <w:p>
      <w:r>
        <w:drawing>
          <wp:inline distT="0" distB="0" distL="0" distR="0">
            <wp:extent cx="914400" cy="609600"/>
            <wp:effectExtent l="0" t="0" r="0" b="0"/>
            <wp:docPr id="1" name="Picture 1" descr="sampl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ample imag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11. Thematic breaks</w:t>
      </w:r>
    </w:p>
    <w:p>
      <w:r>
        <w:t xml:space="preserve">Three dashes:</w:t>
      </w:r>
    </w:p>
    <w:p>
      <w:pPr>
        <w:pBdr>
          <w:bottom w:val="single" w:sz="6" w:space="1" w:color="auto"/>
        </w:pBdr>
      </w:pPr>
    </w:p>
    <w:p>
      <w:r>
        <w:t xml:space="preserve">Three asterisks:</w:t>
      </w:r>
    </w:p>
    <w:p>
      <w:pPr>
        <w:pBdr>
          <w:bottom w:val="single" w:sz="6" w:space="1" w:color="auto"/>
        </w:pBdr>
      </w:pPr>
    </w:p>
    <w:p>
      <w:r>
        <w:t xml:space="preserve">Three underscores: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12. Inline math</w:t>
      </w:r>
    </w:p>
    <w:p>
      <w:r>
        <w:t xml:space="preserve">The Pythagorean theorem: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t xml:space="preserve">.</w:t>
      </w:r>
    </w:p>
    <w:p>
      <w:r>
        <w:t xml:space="preserve">Euler's identity: </w:t>
      </w:r>
      <m:oMath>
        <m:sSup>
          <m:e>
            <m:r>
              <m:t>e</m:t>
            </m:r>
          </m:e>
          <m:sup>
            <m:r>
              <m:t>i</m:t>
            </m:r>
            <m:r>
              <m:t>π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t xml:space="preserve">.</w:t>
      </w:r>
    </w:p>
    <w:p>
      <w:r>
        <w:t xml:space="preserve">A finite sum: </w:t>
      </w:r>
      <m:oMath>
        <m:nary>
          <m:naryPr>
            <m:chr m:val="∑"/>
            <m:limLoc m:val="undOvr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sub>
          <m:sup>
            <m:r>
              <m:t>n</m:t>
            </m:r>
          </m:sup>
          <m:e>
            <m:r>
              <m:t>i</m:t>
            </m:r>
          </m:e>
        </m:nary>
        <m:r>
          <m:rPr>
            <m:sty m:val="p"/>
          </m:rPr>
          <m:t>=</m:t>
        </m:r>
        <m:f>
          <m:num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2</m:t>
            </m:r>
          </m:den>
        </m:f>
      </m:oMath>
      <w:r>
        <w:t xml:space="preserve">.</w:t>
      </w:r>
    </w:p>
    <w:p>
      <w:r>
        <w:t xml:space="preserve">A square root: </w:t>
      </w:r>
      <m:oMath>
        <m:rad>
          <m:radPr>
            <m:degHide m:val="1"/>
          </m:radPr>
          <m:deg/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rad>
      </m:oMath>
      <w:r>
        <w:t xml:space="preserve">.</w:t>
      </w:r>
    </w:p>
    <w:p>
      <w:pPr>
        <w:pStyle w:val="Heading2"/>
      </w:pPr>
      <w:r>
        <w:t xml:space="preserve">13. Display math</w:t>
      </w:r>
    </w:p>
    <w:p>
      <w:pPr>
        <w:pStyle w:val="Heading3"/>
      </w:pPr>
      <w:r>
        <w:t xml:space="preserve">13.1 Gaussian integral</w:t>
      </w:r>
    </w:p>
    <w:p>
      <m:oMathPara>
        <m:oMath>
          <m:nary>
            <m:naryPr>
              <m:chr m:val="∫"/>
              <m:limLoc m:val="undOvr"/>
            </m:naryPr>
            <m:sub>
              <m:r>
                <m:rPr>
                  <m:sty m:val="p"/>
                </m:rPr>
                <m:t>−</m:t>
              </m:r>
              <m:r>
                <m:t>∞</m:t>
              </m:r>
            </m:sub>
            <m:sup>
              <m: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sup>
              </m:sSup>
            </m:e>
          </m:nary>
          <m:r>
            <m:t xml:space="preserve"> 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r>
                <m:t>π</m:t>
              </m:r>
            </m:e>
          </m:rad>
        </m:oMath>
      </m:oMathPara>
    </w:p>
    <w:p>
      <w:pPr>
        <w:pStyle w:val="Heading3"/>
      </w:pPr>
      <w:r>
        <w:t xml:space="preserve">13.2 Matrix</w:t>
      </w:r>
    </w:p>
    <w:p>
      <m:oMathPara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endChr m:val=")"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1</m:t>
                    </m:r>
                  </m:e>
                  <m:e>
                    <m:r>
                      <m:rPr>
                        <m:sty m:val="p"/>
                      </m:rP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3</m:t>
                    </m:r>
                  </m:e>
                  <m:e>
                    <m:r>
                      <m:rPr>
                        <m:sty m:val="p"/>
                      </m:rPr>
                      <m:t>4</m:t>
                    </m:r>
                  </m:e>
                </m:mr>
              </m:m>
            </m:e>
          </m:d>
        </m:oMath>
      </m:oMathPara>
    </w:p>
    <w:p>
      <w:pPr>
        <w:pStyle w:val="Heading3"/>
      </w:pPr>
      <w:r>
        <w:t xml:space="preserve">13.3 Logistic function</w:t>
      </w:r>
    </w:p>
    <w:p>
      <m:oMathPara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</m:oMath>
      </m:oMathPara>
    </w:p>
    <w:p>
      <w:pPr>
        <w:pStyle w:val="Heading2"/>
      </w:pPr>
      <w:r>
        <w:t xml:space="preserve">14. CriticMarkup</w:t>
      </w:r>
    </w:p>
    <w:p>
      <w:pPr>
        <w:pStyle w:val="Heading3"/>
      </w:pPr>
      <w:r>
        <w:t xml:space="preserve">14.1 Insertion</w:t>
      </w:r>
    </w:p>
    <w:p>
      <w:r>
        <w:t xml:space="preserve">This sentence has </w:t>
      </w:r>
      <w:r>
        <w:t xml:space="preserve">an inserted phrase</w:t>
      </w:r>
      <w:r>
        <w:t xml:space="preserve"> in the middle.</w:t>
      </w:r>
    </w:p>
    <w:p>
      <w:pPr>
        <w:pStyle w:val="Heading3"/>
      </w:pPr>
      <w:r>
        <w:t xml:space="preserve">14.2 Deletion</w:t>
      </w:r>
    </w:p>
    <w:p>
      <w:r>
        <w:t xml:space="preserve">This sentence has </w:t>
      </w:r>
      <w:r>
        <w:t xml:space="preserve"> that should disappear when tracking is off.</w:t>
      </w:r>
    </w:p>
    <w:p>
      <w:pPr>
        <w:pStyle w:val="Heading3"/>
      </w:pPr>
      <w:r>
        <w:t xml:space="preserve">14.3 Combined</w:t>
      </w:r>
    </w:p>
    <w:p>
      <w:r>
        <w:t xml:space="preserve">Before </w:t>
      </w:r>
      <w:r>
        <w:t xml:space="preserve">added text</w:t>
      </w:r>
      <w:r>
        <w:t xml:space="preserve"> between </w:t>
      </w:r>
      <w:r>
        <w:t xml:space="preserve"> after.</w:t>
      </w:r>
    </w:p>
    <w:p>
      <w:pPr>
        <w:pStyle w:val="Heading2"/>
      </w:pPr>
      <w:r>
        <w:t xml:space="preserve">15. Footnotes</w:t>
      </w:r>
    </w:p>
    <w:p>
      <w:r>
        <w:t xml:space="preserve">A reference to the first footnote</w:t>
      </w:r>
      <w:r>
        <w:rPr>
          <w:rStyle w:val="FootnoteReference"/>
        </w:rPr>
        <w:footnoteReference w:id="1"/>
      </w:r>
      <w:r>
        <w:t xml:space="preserve">.</w:t>
      </w:r>
    </w:p>
    <w:p>
      <w:r>
        <w:t xml:space="preserve">Another reference</w:t>
      </w:r>
      <w:r>
        <w:rPr>
          <w:rStyle w:val="FootnoteReference"/>
        </w:rPr>
        <w:footnoteReference w:id="2"/>
      </w:r>
      <w:r>
        <w:t xml:space="preserve"> in a different sentence.</w:t>
      </w:r>
    </w:p>
    <w:p>
      <w:pPr>
        <w:pStyle w:val="Heading2"/>
      </w:pPr>
      <w:r>
        <w:t xml:space="preserve">16. End</w:t>
      </w:r>
    </w:p>
    <w:p>
      <w:r>
        <w:t xml:space="preserve">The end of the comprehensive fixture.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</w:font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This is the body of the first footnote.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Body of the second footnote, with bold that is currently flattened to plain text by the importer.</w:t>
      </w:r>
    </w:p>
  </w:footnote>
</w:footnote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00" w:hanging="240"/>
      </w:pPr>
    </w:lvl>
    <w:lvl w:ilvl="1">
      <w:start w:val="1"/>
      <w:numFmt w:val="bullet"/>
      <w:lvlText w:val="◦"/>
      <w:lvlJc w:val="left"/>
      <w:pPr>
        <w:ind w:left="600" w:hanging="240"/>
      </w:pPr>
    </w:lvl>
    <w:lvl w:ilvl="2">
      <w:start w:val="1"/>
      <w:numFmt w:val="bullet"/>
      <w:lvlText w:val="▪"/>
      <w:lvlJc w:val="left"/>
      <w:pPr>
        <w:ind w:left="900" w:hanging="240"/>
      </w:pPr>
    </w:lvl>
    <w:lvl w:ilvl="3">
      <w:start w:val="1"/>
      <w:numFmt w:val="bullet"/>
      <w:lvlText w:val="•"/>
      <w:lvlJc w:val="left"/>
      <w:pPr>
        <w:ind w:left="1200" w:hanging="240"/>
      </w:pPr>
    </w:lvl>
    <w:lvl w:ilvl="4">
      <w:start w:val="1"/>
      <w:numFmt w:val="bullet"/>
      <w:lvlText w:val="◦"/>
      <w:lvlJc w:val="left"/>
      <w:pPr>
        <w:ind w:left="1500" w:hanging="240"/>
      </w:pPr>
    </w:lvl>
    <w:lvl w:ilvl="5">
      <w:start w:val="1"/>
      <w:numFmt w:val="bullet"/>
      <w:lvlText w:val="▪"/>
      <w:lvlJc w:val="left"/>
      <w:pPr>
        <w:ind w:left="1800" w:hanging="240"/>
      </w:pPr>
    </w:lvl>
    <w:lvl w:ilvl="6">
      <w:start w:val="1"/>
      <w:numFmt w:val="bullet"/>
      <w:lvlText w:val="•"/>
      <w:lvlJc w:val="left"/>
      <w:pPr>
        <w:ind w:left="2100" w:hanging="240"/>
      </w:pPr>
    </w:lvl>
    <w:lvl w:ilvl="7">
      <w:start w:val="1"/>
      <w:numFmt w:val="bullet"/>
      <w:lvlText w:val="◦"/>
      <w:lvlJc w:val="left"/>
      <w:pPr>
        <w:ind w:left="2400" w:hanging="240"/>
      </w:pPr>
    </w:lvl>
    <w:lvl w:ilvl="8">
      <w:start w:val="1"/>
      <w:numFmt w:val="bullet"/>
      <w:lvlText w:val="▪"/>
      <w:lvlJc w:val="left"/>
      <w:pPr>
        <w:ind w:left="2700" w:hanging="24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00" w:hanging="240"/>
      </w:pPr>
    </w:lvl>
    <w:lvl w:ilvl="1">
      <w:start w:val="1"/>
      <w:numFmt w:val="lowerLetter"/>
      <w:lvlText w:val="%2."/>
      <w:lvlJc w:val="left"/>
      <w:pPr>
        <w:ind w:left="600" w:hanging="240"/>
      </w:pPr>
    </w:lvl>
    <w:lvl w:ilvl="2">
      <w:start w:val="1"/>
      <w:numFmt w:val="lowerRoman"/>
      <w:lvlText w:val="%3."/>
      <w:lvlJc w:val="left"/>
      <w:pPr>
        <w:ind w:left="900" w:hanging="240"/>
      </w:pPr>
    </w:lvl>
    <w:lvl w:ilvl="3">
      <w:start w:val="1"/>
      <w:numFmt w:val="decimal"/>
      <w:lvlText w:val="%4."/>
      <w:lvlJc w:val="left"/>
      <w:pPr>
        <w:ind w:left="1200" w:hanging="240"/>
      </w:pPr>
    </w:lvl>
    <w:lvl w:ilvl="4">
      <w:start w:val="1"/>
      <w:numFmt w:val="lowerLetter"/>
      <w:lvlText w:val="%5."/>
      <w:lvlJc w:val="left"/>
      <w:pPr>
        <w:ind w:left="1500" w:hanging="240"/>
      </w:pPr>
    </w:lvl>
    <w:lvl w:ilvl="5">
      <w:start w:val="1"/>
      <w:numFmt w:val="lowerRoman"/>
      <w:lvlText w:val="%6."/>
      <w:lvlJc w:val="left"/>
      <w:pPr>
        <w:ind w:left="1800" w:hanging="240"/>
      </w:pPr>
    </w:lvl>
    <w:lvl w:ilvl="6">
      <w:start w:val="1"/>
      <w:numFmt w:val="decimal"/>
      <w:lvlText w:val="%7."/>
      <w:lvlJc w:val="left"/>
      <w:pPr>
        <w:ind w:left="2100" w:hanging="240"/>
      </w:pPr>
    </w:lvl>
    <w:lvl w:ilvl="7">
      <w:start w:val="1"/>
      <w:numFmt w:val="lowerLetter"/>
      <w:lvlText w:val="%8."/>
      <w:lvlJc w:val="left"/>
      <w:pPr>
        <w:ind w:left="2400" w:hanging="240"/>
      </w:pPr>
    </w:lvl>
    <w:lvl w:ilvl="8">
      <w:start w:val="1"/>
      <w:numFmt w:val="lowerRoman"/>
      <w:lvlText w:val="%9."/>
      <w:lvlJc w:val="left"/>
      <w:pPr>
        <w:ind w:left="2700" w:hanging="24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0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rPr>
      <w:sz w:val="20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60"/>
      <w:outlineLvl w:val="0"/>
    </w:pPr>
    <w:rPr>
      <w:rFonts w:ascii="Calibri Light" w:hAnsi="Calibri Light"/>
      <w:b/>
      <w:color w:val="2E74B5"/>
      <w:sz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60"/>
      <w:outlineLvl w:val="1"/>
    </w:pPr>
    <w:rPr>
      <w:rFonts w:ascii="Calibri Light" w:hAnsi="Calibri Light"/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60"/>
      <w:outlineLvl w:val="2"/>
    </w:pPr>
    <w:rPr>
      <w:rFonts w:ascii="Calibri Light" w:hAnsi="Calibri Light"/>
      <w:b/>
      <w:color w:val="1F4D78"/>
      <w:sz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60"/>
      <w:outlineLvl w:val="3"/>
    </w:pPr>
    <w:rPr>
      <w:rFonts w:ascii="Calibri Light" w:hAnsi="Calibri Light"/>
      <w:b/>
      <w:i/>
      <w:color w:val="2E74B5"/>
      <w:sz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60"/>
      <w:outlineLvl w:val="4"/>
    </w:pPr>
    <w:rPr>
      <w:rFonts w:ascii="Calibri Light" w:hAnsi="Calibri Light"/>
      <w:color w:val="2E74B5"/>
      <w:sz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60"/>
      <w:outlineLvl w:val="5"/>
    </w:pPr>
    <w:rPr>
      <w:rFonts w:ascii="Calibri Light" w:hAnsi="Calibri Light"/>
      <w:i/>
      <w:color w:val="1F4D78"/>
      <w:sz w:val="2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Code">
    <w:name w:val="Code"/>
    <w:qFormat/>
    <w:rPr>
      <w:rFonts w:ascii="Courier New" w:hAnsi="Courier New"/>
    </w:rPr>
  </w:style>
  <w:style w:type="paragraph" w:styleId="CodeBlock">
    <w:name w:val="Code Block"/>
    <w:basedOn w:val="Normal"/>
    <w:next w:val="Normal"/>
    <w:qFormat/>
    <w:pPr>
      <w:spacing w:before="120" w:after="120"/>
      <w:ind w:left="360"/>
    </w:pPr>
    <w:rPr>
      <w:rFonts w:ascii="Courier New" w:hAnsi="Courier New"/>
      <w:sz w:val="20"/>
    </w:rPr>
  </w:style>
  <w:style w:type="paragraph" w:styleId="CodeBlock-python">
    <w:name w:val="Code Block (python)"/>
    <w:basedOn w:val="CodeBlock"/>
    <w:next w:val="Normal"/>
    <w:qFormat/>
  </w:style>
  <w:style w:type="paragraph" w:styleId="Quote">
    <w:name w:val="Quote"/>
    <w:basedOn w:val="Normal"/>
    <w:next w:val="Normal"/>
    <w:qFormat/>
    <w:pPr>
      <w:spacing w:before="120" w:after="120"/>
      <w:ind w:left="720" w:right="720"/>
    </w:pPr>
    <w:rPr>
      <w:i/>
    </w:rPr>
  </w:style>
  <w:style w:type="paragraph" w:styleId="QuoteListParagraph">
    <w:name w:val="Quote List Paragraph"/>
    <w:basedOn w:val="ListParagraph"/>
    <w:qFormat/>
    <w:rPr>
      <w:i/>
    </w:rPr>
  </w:style>
  <w:style w:type="paragraph" w:styleId="CodeBlock-typescript">
    <w:name w:val="Code Block (typescript)"/>
    <w:basedOn w:val="CodeBlock"/>
    <w:next w:val="Normal"/>
    <w:qFormat/>
  </w:style>
  <w:style w:type="paragraph" w:styleId="CodeBlock-sql">
    <w:name w:val="Code Block (sql)"/>
    <w:basedOn w:val="CodeBlock"/>
    <w:next w:val="Normal"/>
    <w:qFormat/>
  </w:style>
  <w:style w:type="paragraph" w:styleId="CodeBlock-json">
    <w:name w:val="Code Block (json)"/>
    <w:basedOn w:val="CodeBlock"/>
    <w:next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<Relationships xmlns="http://schemas.openxmlformats.org/package/2006/relationships">
	<Relationship Id="rId1" Type="http://schemas.openxmlformats.org/officeDocument/2006/relationships/styles" Target="styles.xml"/>
	<Relationship Id="rId2" Type="http://schemas.openxmlformats.org/officeDocument/2006/relationships/settings" Target="settings.xml"/>
	<Relationship Id="rId3" Type="http://schemas.openxmlformats.org/officeDocument/2006/relationships/webSettings" Target="webSettings.xml"/>
	<Relationship Id="rId4" Type="http://schemas.openxmlformats.org/officeDocument/2006/relationships/fontTable" Target="fontTable.xml"/>
	<Relationship Id="rId5" Type="http://schemas.openxmlformats.org/officeDocument/2006/relationships/theme" Target="theme/theme1.xml"/>
<Relationship Id="rId6" Type="http://schemas.openxmlformats.org/officeDocument/2006/relationships/footnotes" Target="footnotes.xml"/><Relationship Id="rId7" Type="http://schemas.openxmlformats.org/officeDocument/2006/relationships/image" Target="media/image1.png"/><Relationship Id="rId8" Type="http://schemas.openxmlformats.org/officeDocument/2006/relationships/numbering" Target="numbering.xml"/><Relationship Id="rId9" Type="http://schemas.openxmlformats.org/officeDocument/2006/relationships/hyperlink" Target="https://github.com/kklimuk/docx-cli" TargetMode="External"/><Relationship Id="rId10" Type="http://schemas.openxmlformats.org/officeDocument/2006/relationships/hyperlink" Target="https://example.com" TargetMode="External"/><Relationship Id="rId11" Type="http://schemas.openxmlformats.org/officeDocument/2006/relationships/hyperlink" Target="mailto:hello@example.com" TargetMode="External"/><Relationship Id="rId12" Type="http://schemas.openxmlformats.org/officeDocument/2006/relationships/hyperlink" Target="https://github.com/kklimuk/docx-cl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docx-cli</Application>
  <DocSecurity>0</DocSecurity>
  <ScaleCrop>false</ScaleCrop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/>
  <cp:lastModifiedBy/>
  <dcterms:created xsi:type="dcterms:W3CDTF">2026-05-22T00:00:00Z</dcterms:created>
  <dcterms:modified xsi:type="dcterms:W3CDTF">2026-05-22T00:00:00Z</dcterms:modified>
</cp:coreProperties>
</file>