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13:21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解决ldar社区当前受众狭窄，用户活跃低的问题，确立公司在行业内部的排头兵地位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我们必须完成从工具向信息平台的转型，现有的几个技术工具模块虽然专业，但是使用频率低，很难让用户经常回来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功能设计和内容运营策略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在页面布局上要做减法，保持简洁，不能做传统新闻网站那种密密麻麻的分类。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首页依然保持已有的三个核心工具模块，但在上面或者侧边增加一个新闻展示窗口，直接亮出标题和摘要，让客户一眼就能看到重要内容，不需要层层点击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内容运营策略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内容必须以原创为主，比如我们的白皮书、高峰论坛报道、独家案例分析占比达到50%以上。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转载和AI的辅助活也要干，部分行业资讯处罚信息，我们可以用AI自动抓取和整理，但有一条线必须守住，就是所有AI生成或抓取的内容，必须要经过人工审核，确保合规和版权安全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更新频率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更新频率不追求每日高频，初期或月度或双边为单位进行发布策略，保证每篇都是高质量内容。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对于像罚罚单链接这种时效性极强的东西，我们可以用AI抓取实时生效，生链接快速发布，不要深度编辑保字持快字当头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5. 多端协同和品牌统一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为了聚焦避免分散用户注意力，我们决定聚焦单一品牌，从今天起我们统一使用ldar社区这一对外平台名称，把原来s smart公众号等资源全部整合起来。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通过内部授权方式把主体不一致的问题解决掉。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在终端分工上，PC端必须侧重技术工具和深度内容浏览，移动端也就是公众号侧重消息推送和简讯资讯，公众号、菜单栏可以设置跳转直达PC网站，也可以在里面嵌入一些简单的模块，这样两端启动起来一个品牌多端触达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洗碗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sean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2026.8</w:t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主送：sean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2026-06-16T05:22:21.278Z</dcterms:created>
  <dcterms:modified xsi:type="dcterms:W3CDTF">2026-06-16T05:22:21.278Z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