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Оператор ДНГ — заметки к выступлению</w:t>
      </w:r>
    </w:p>
    <w:p>
      <w:pPr>
        <w:pStyle w:val="Heading1"/>
      </w:pPr>
      <w:r>
        <w:t>Слайд 1</w:t>
      </w:r>
    </w:p>
    <w:p>
      <w:r>
        <w:t>Встроенный ролик: название раскрывается слева направо, камера приближается сквозь букву, открывая иллюстрацию промысла. 9 секунд, без звука. Запуск настроен автоматически; при необходимости нажмите на изображение. После окончания перейдите на следующий слайд обычным щелчком или стрелкой вправо. Ролик находится внутри PPTX, интернет и отдельный MP4 для показа не нужны. В Microsoft PowerPoint воспроизведение в этой среде не проверялось. Иллюстрация промысла создана ИИ.</w:t>
      </w:r>
    </w:p>
    <w:p>
      <w:pPr>
        <w:pStyle w:val="Heading1"/>
      </w:pPr>
      <w:r>
        <w:t>Слайд 2</w:t>
      </w:r>
    </w:p>
    <w:p>
      <w:r>
        <w:t>Этот слайд повторяет финальный кадр встроенного вступления. Переход отключён, повторного появления названия нет. Далее — представление автора. Внешний вид стыка в Microsoft PowerPoint требует проверки на компьютере выступления.</w:t>
      </w:r>
    </w:p>
    <w:p>
      <w:pPr>
        <w:pStyle w:val="Heading1"/>
      </w:pPr>
      <w:r>
        <w:t>Слайд 3</w:t>
      </w:r>
    </w:p>
    <w:p>
      <w:r>
        <w:t>Якупов Муса Ильдарович. Оператор добычи нефти и газа. ООО «РН-Юганскнефтегаз», ЦДНГ-12. Портрет обработан ИИ по фотографиям автора.</w:t>
      </w:r>
    </w:p>
    <w:p>
      <w:pPr>
        <w:pStyle w:val="Heading1"/>
      </w:pPr>
      <w:r>
        <w:t>Слайд 4</w:t>
      </w:r>
    </w:p>
    <w:p>
      <w:r>
        <w:t>Цели сформулированы автором проекта. Минимизация риска — цель, а не доказанная гарантия предотвращения отказов оборудования. Фоновое изображение промысла создано ИИ.</w:t>
      </w:r>
    </w:p>
    <w:p>
      <w:pPr>
        <w:pStyle w:val="Heading1"/>
      </w:pPr>
      <w:r>
        <w:t>Слайд 5</w:t>
      </w:r>
    </w:p>
    <w:p>
      <w:r>
        <w:t>Согласованные четыре задачи сохраняются дословно. Дизайн заменён на четыре визуальные карточки с полными экранами приложения без кадрирования.</w:t>
        <w:br/>
        <w:t>1. Объединить рабочие инструменты — собрать расчёты, инструкции и справочные материалы в одном приложении.</w:t>
        <w:br/>
        <w:t>2. Упростить ежедневные расчёты и замеры — автоматизировать вычисления, отсчёт времени и сохранение результатов.</w:t>
        <w:br/>
        <w:t>3. Помочь соблюдать последовательность действий — предоставить инструкции и фотографии для конкретных моделей станций управления.</w:t>
        <w:br/>
        <w:t>4. Обеспечить быстрый доступ к информации на промысле — реализовать поиск, закладки и работу предварительно загруженных материалов без интернета.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6</w:t>
      </w:r>
    </w:p>
    <w:p>
      <w:r>
        <w:t>Показать приложение целиком. Четыре карточки — разные рабочие ситуации, а не весь перечень функций. На карточки можно нажать для открытия раздела. Для последовательного выступления достаточно листать дальше.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7</w:t>
      </w:r>
    </w:p>
    <w:p>
      <w:r>
        <w:t>Показан настоящий экран PWA: 1000 литров за 60 минут, результат 24 м³/сут. Формула 1,44 × 1000 / 60 = 24. Результат находится внутри общего окна приложения. Отдельный старый слайд «144» удалён. По опыту автора бывают дни с 7–9 замерами, это не средняя нагрузка всех пользователей. Можно запустить секундомер и вернуться к текущему замеру; корректные результаты сохраняются автоматически.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8</w:t>
      </w:r>
    </w:p>
    <w:p>
      <w:r>
        <w:t>То же окно меняет содержимое на длительный интервал. Скриншоты двух фрагментов одного состояния PWA: 18.10.2026 19:30 до 19.10.2026 07:30 — 12 часов, 1000 литров → 2 м³/сут. Даты примера иллюстративны. Внутри окна сохранены реальные элементы выбора и реальный результат приложения. Можно задавать разные даты, в том числе переход через полночь.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9</w:t>
      </w:r>
    </w:p>
    <w:p>
      <w:r>
        <w:t>Реальная запись базы: ПЭД16-М,М1, ОАО «БЭНЗ», диаметр 103 мм, 16 кВт, ЭК 168 мм, стенка 12,1 мм; номинальный приток 50 м³/сут. Введённые токи 20 А и 16,2 А — демонстрационные, не паспортные значения этого двигателя. По исходной формуле Q=Qном×(Iраб/Iном)² получено 32,805 м³/сут; приложение отображает 32.8 м³/сут. Это иллюстрация вычисления, не рекомендация для реальной скважины.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10</w:t>
      </w:r>
    </w:p>
    <w:p>
      <w:r>
        <w:t>Для примера разгона использован Эталон ЧР. Три первых шага из шести в исходном проекте: «Параметры ЧРП», «Прогр. изм F», «Частоты». Фото и названия взяты из operator-data.js и соответствующих исходных изображений. Значения, видимые на архивных фотографиях, не являются рекомендуемыми уставками. Рассказать, как приложение показывает дальнейшие шаги с параметрами по заданию; не применять неполный фрагмент как законченную инструкцию.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11</w:t>
      </w:r>
    </w:p>
    <w:p>
      <w:r>
        <w:t>Для примера РИЧ использован Борец КАСКАД-НТ. Первые три шага из восьми: «Вход в меню», «Уставки», «Уставки I». Подписи и фотографии соответствуют именно этой модели. Далее приложение содержит остальные шаги. Не смешивать с инструкцией разгона Эталон. Архивные значения на фото не являются рекомендацией.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12</w:t>
      </w:r>
    </w:p>
    <w:p>
      <w:r>
        <w:t>Главный акцент — карманный регламент. По сравнению с перелистыванием бумажного носителя приложение даёт поиск по слову, переходы по ссылкам и сохранённые закладки на устройстве. Подготовленные материалы доступны без сети. Имеется 207 страниц доступного документа, но число страниц не главный аргумент. Актуальность редакции и правила обращения с документом проверяются перед официальным внедрением. Наличие офлайн-копии не означает автоматическое обновление документа.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13</w:t>
      </w:r>
    </w:p>
    <w:p>
      <w:r>
        <w:t>Показаны шесть реальных экранов инструментов: уровень, частота запуска, приток, потенциал, РПД и отпайка. Дополнительно перечислены коэффициент двигателя 2А, температура ТМС, СКО, УПР/АПВ. Это видимый каталог, а не утверждение о полноте нормативных материалов. Электронный уровень не демонстрируется.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14</w:t>
      </w:r>
    </w:p>
    <w:p>
      <w:r>
        <w:t>Приложение — расчёты вместе со справочником и пояснениями. Вопросительный знак открывает описание расчёта, формулы, обозначения и замечания, перенесённые из Android. Показан настоящий экран этой функции. Человек видит, какие значения вводить и как понимать формулу; станционные инструкции дополнены фотографиями. Это помощь оператору и наставнику, не замена действующей инструкции.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p>
      <w:pPr>
        <w:pStyle w:val="Heading1"/>
      </w:pPr>
      <w:r>
        <w:t>Слайд 15</w:t>
      </w:r>
    </w:p>
    <w:p>
      <w:r>
        <w:t>Разгон: расчёт темпа и шагов для конкретной станции управления. РИЧ: последовательность действий и фотографии. Приток: оценка требуемого охлаждения. Примеры показывают возможные риски; приложение не управляет станцией и не гарантирует отсутствие отказов. Иллюстрация промысла создана ИИ.</w:t>
      </w:r>
    </w:p>
    <w:p>
      <w:pPr>
        <w:pStyle w:val="Heading1"/>
      </w:pPr>
      <w:r>
        <w:t>Слайд 16</w:t>
      </w:r>
    </w:p>
    <w:p>
      <w:r>
        <w:t>Документальная основа, по сведениям автора: регламент ВНР и «Инструкции по промышленной безопасности и охране труда для работников структурных подразделений ООО „РН-Юганскнефтегаз“». Документы использованы при подготовке формул, примеров и справочных материалов. Полнота интеграции всех пяти томов, актуальность редакций и право корпоративного распространения здесь не подтверждаются. Android как технический источник миграции больше не вынесен на слайд.</w:t>
      </w:r>
    </w:p>
    <w:p>
      <w:pPr>
        <w:pStyle w:val="Heading1"/>
      </w:pPr>
      <w:r>
        <w:t>Слайд 17</w:t>
      </w:r>
    </w:p>
    <w:p>
      <w:r>
        <w:t>Оценка автора: три календарных месяца; прямые денежные расходы минимальны; основной ресурс — время. Десятки часов с документальной базой, сотни часов архитектуры, дни тестирования — сведения автора, не независимый хронометраж. Изображение рабочего места создано ИИ, это не фотография фактического рабочего места автора.</w:t>
      </w:r>
    </w:p>
    <w:p>
      <w:pPr>
        <w:pStyle w:val="Heading1"/>
      </w:pPr>
      <w:r>
        <w:t>Слайд 18</w:t>
      </w:r>
    </w:p>
    <w:p>
      <w:r>
        <w:t>Около 250 — потенциальная аудитория проекта, не подтверждённое число действующих пользователей. В аудиторию входят не только операторы ДНГ, но и технологи, электромонтёры и другие специалисты. Условная композиция из 250 силуэтов сохранена без поясняющей подписи. Фон — созданная ИИ иллюстрация.</w:t>
      </w:r>
    </w:p>
    <w:p>
      <w:pPr>
        <w:pStyle w:val="Heading1"/>
      </w:pPr>
      <w:r>
        <w:t>Слайд 19</w:t>
      </w:r>
    </w:p>
    <w:p>
      <w:r>
        <w:t>Предложение автора: официально связать проект с Обществом и выпустить следующее обновление от имени ООО «РН-Юганскнефтегаз». Для этого запрашивается официальный документ с подписью уполномоченного лица и печатью, если предусмотрена порядком компании. Полномочия на логотип и материалы должны быть согласованы отдельно; разрешение ещё не получено. На слайде не заявлено уже существующее корпоративное одобрение.</w:t>
      </w:r>
    </w:p>
    <w:p>
      <w:pPr>
        <w:pStyle w:val="Heading1"/>
      </w:pPr>
      <w:r>
        <w:t>Слайд 20</w:t>
      </w:r>
    </w:p>
    <w:p>
      <w:r>
        <w:t>Закончить конкретным предложением: согласовать профильную проверку и ограниченный пилот. Дать аудитории время на вопросы. Не представлять приложение как уже утверждённое корпоративное решение.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