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Supply Agreement</w:t>
      </w:r>
    </w:p>
    <w:p>
      <w:pPr>
        <w:jc w:val="center"/>
      </w:pPr>
      <w:r>
        <w:t>제품 공급계약서 (English Counterpart)</w:t>
      </w:r>
    </w:p>
    <w:p>
      <w:pPr>
        <w:jc w:val="center"/>
      </w:pPr>
      <w:r>
        <w:t>Agreement No.: SA-2023-01-EN</w:t>
      </w:r>
    </w:p>
    <w:p/>
    <w:p>
      <w:r>
        <w:t>Supplier ("Party A"): Daon Biopharm Co., Ltd. (다온바이오팜 주식회사)</w:t>
      </w:r>
    </w:p>
    <w:p>
      <w:r>
        <w:t xml:space="preserve">    Business Reg. No. 312-86-40517 · 42, Biovalley-ro, Osong-eup, Cheongju-si, Chungcheongbuk-do, Republic of Korea · Representative 문상혁 / Sanghyeok Moon</w:t>
      </w:r>
    </w:p>
    <w:p>
      <w:r>
        <w:t>Purchaser ("Party B"): Aurora Medibeauty (Thailand) Co., Ltd. (오로라 메디뷰티 (타일랜드) 주식회사)</w:t>
      </w:r>
    </w:p>
    <w:p>
      <w:r>
        <w:t xml:space="preserve">    Tax ID 0-1055-87231-44-2 · 188/21 Ratchada Business Tower, 14th Fl., Ratchadaphisek Rd., Huai Khwang, Bangkok 10310, Thailand · Representative 정해린 / Harin Jung</w:t>
      </w:r>
    </w:p>
    <w:p/>
    <w:p>
      <w:r>
        <w:t>Party A and Party B hereby enter into this Agreement regarding the supply and distribution of medical aesthetic injectable products as follows.</w:t>
      </w:r>
    </w:p>
    <w:p>
      <w:pPr>
        <w:pStyle w:val="Heading1"/>
      </w:pPr>
      <w:r>
        <w:rPr>
          <w:color w:val="1A3C6E"/>
          <w:sz w:val="23"/>
        </w:rPr>
        <w:t>Article 1 (Purpose)</w:t>
      </w:r>
    </w:p>
    <w:p>
      <w:r>
        <w:t>This Agreement sets forth the rights and obligations of the parties with respect to the import and distribution within Thailand, by the Purchaser, of the medical aesthetic injectable products manufactured by the Supplier.</w:t>
      </w:r>
    </w:p>
    <w:p>
      <w:pPr>
        <w:pStyle w:val="Heading1"/>
      </w:pPr>
      <w:r>
        <w:rPr>
          <w:color w:val="1A3C6E"/>
          <w:sz w:val="23"/>
        </w:rPr>
        <w:t>Article 2 (Role between the Parties)</w:t>
      </w:r>
    </w:p>
    <w:p>
      <w:r>
        <w:t>The Supplier is responsible for the manufacture, quality control and delivery of the Products, while the Purchaser is responsible for importation, customs clearance, regulatory registration, distribution and sales within Thailand.</w:t>
      </w:r>
    </w:p>
    <w:p>
      <w:pPr>
        <w:pStyle w:val="Heading1"/>
      </w:pPr>
      <w:r>
        <w:rPr>
          <w:color w:val="1A3C6E"/>
          <w:sz w:val="23"/>
        </w:rPr>
        <w:t>Article 3 (Product Definition and Rights)</w:t>
      </w:r>
    </w:p>
    <w:p>
      <w:r>
        <w:t>The Products under this Agreement are those specified in the Annex (Lumeitox Inj. 100 Units / Dermaluxe HA Filler / Glowvita Skin Booster).</w:t>
      </w:r>
    </w:p>
    <w:p>
      <w:pPr>
        <w:pStyle w:val="Heading1"/>
      </w:pPr>
      <w:r>
        <w:rPr>
          <w:color w:val="1A3C6E"/>
          <w:sz w:val="23"/>
        </w:rPr>
        <w:t>Article 4 (Trademark)</w:t>
      </w:r>
    </w:p>
    <w:p>
      <w:r>
        <w:t>All rights in the trademarks and brands of the Products belong to the Supplier, and the Purchaser may use them solely for distribution purposes.</w:t>
      </w:r>
    </w:p>
    <w:p>
      <w:pPr>
        <w:pStyle w:val="Heading1"/>
      </w:pPr>
      <w:r>
        <w:rPr>
          <w:color w:val="1A3C6E"/>
          <w:sz w:val="23"/>
        </w:rPr>
        <w:t>Article 5 (Supply Price)</w:t>
      </w:r>
    </w:p>
    <w:p>
      <w:r>
        <w:t>The supply price of the Products shall follow the unit prices set out in the Annex; any change in price shall be agreed by written notice given 30 days in advance.</w:t>
      </w:r>
    </w:p>
    <w:p>
      <w:pPr>
        <w:pStyle w:val="Heading1"/>
      </w:pPr>
      <w:r>
        <w:rPr>
          <w:color w:val="1A3C6E"/>
          <w:sz w:val="23"/>
        </w:rPr>
        <w:t>Article 6 (Order and Delivery)</w:t>
      </w:r>
    </w:p>
    <w:p>
      <w:r>
        <w:t>The Purchaser shall place orders by Purchase Order (PO), and the Supplier shall deliver within the agreed lead time after order confirmation.</w:t>
      </w:r>
    </w:p>
    <w:p>
      <w:pPr>
        <w:pStyle w:val="Heading1"/>
      </w:pPr>
      <w:r>
        <w:rPr>
          <w:color w:val="1A3C6E"/>
          <w:sz w:val="23"/>
        </w:rPr>
        <w:t>Article 7 (Quality Management)</w:t>
      </w:r>
    </w:p>
    <w:p>
      <w:r>
        <w:t>The Supplier shall provide a Certificate of Analysis (CoA) and a Safety Data Sheet (MSDS) for the Products and shall warrant release quality.</w:t>
      </w:r>
    </w:p>
    <w:p>
      <w:pPr>
        <w:pStyle w:val="Heading1"/>
      </w:pPr>
      <w:r>
        <w:rPr>
          <w:color w:val="1A3C6E"/>
          <w:sz w:val="23"/>
        </w:rPr>
        <w:t>Article 8 (Acquisition, Delivery and Inspection)</w:t>
      </w:r>
    </w:p>
    <w:p>
      <w:r>
        <w:t>The Purchaser shall inspect the quantity and appearance of the Products within a reasonable period after receipt and shall notify the Supplier immediately upon discovery of any defect.</w:t>
      </w:r>
    </w:p>
    <w:p>
      <w:pPr>
        <w:pStyle w:val="Heading1"/>
      </w:pPr>
      <w:r>
        <w:rPr>
          <w:color w:val="1A3C6E"/>
          <w:sz w:val="23"/>
        </w:rPr>
        <w:t>Article 9 (Payment)</w:t>
      </w:r>
    </w:p>
    <w:p>
      <w:r>
        <w:t>Payment terms shall be T/T in advance 30% / balance before shipment, and remittance shall be made to the Supplier's account specified in the Annex.</w:t>
      </w:r>
    </w:p>
    <w:p>
      <w:pPr>
        <w:pStyle w:val="Heading1"/>
      </w:pPr>
      <w:r>
        <w:rPr>
          <w:color w:val="1A3C6E"/>
          <w:sz w:val="23"/>
        </w:rPr>
        <w:t>Article 10 (Returns and Compensation)</w:t>
      </w:r>
    </w:p>
    <w:p>
      <w:r>
        <w:t>Defective Products attributable to the Supplier shall be returned or exchanged, and incidental costs such as transportation shall be borne by the party at fault.</w:t>
      </w:r>
    </w:p>
    <w:p>
      <w:pPr>
        <w:pStyle w:val="Heading1"/>
      </w:pPr>
      <w:r>
        <w:rPr>
          <w:color w:val="1A3C6E"/>
          <w:sz w:val="23"/>
        </w:rPr>
        <w:t>Article 11 (Terms of Agreement)</w:t>
      </w:r>
    </w:p>
    <w:p>
      <w:r>
        <w:t>The term of this Agreement shall be two (2) years from the date of execution and shall be automatically renewed for successive one (1) year periods unless either party gives notice 60 days prior to expiration.</w:t>
      </w:r>
    </w:p>
    <w:p>
      <w:pPr>
        <w:pStyle w:val="Heading1"/>
      </w:pPr>
      <w:r>
        <w:rPr>
          <w:color w:val="1A3C6E"/>
          <w:sz w:val="23"/>
        </w:rPr>
        <w:t>Article 12 (Keeping Secrets)</w:t>
      </w:r>
    </w:p>
    <w:p>
      <w:r>
        <w:t>Each party shall not disclose the other party's trade secrets obtained in connection with this Agreement, even after termination of this Agreement.</w:t>
      </w:r>
    </w:p>
    <w:p>
      <w:pPr>
        <w:pStyle w:val="Heading1"/>
      </w:pPr>
      <w:r>
        <w:rPr>
          <w:color w:val="1A3C6E"/>
          <w:sz w:val="23"/>
        </w:rPr>
        <w:t>Article 13 (Force Majeure)</w:t>
      </w:r>
    </w:p>
    <w:p>
      <w:r>
        <w:t>Non-performance of obligations due to force majeure such as natural disaster, war or governmental action shall be excused.</w:t>
      </w:r>
    </w:p>
    <w:p>
      <w:pPr>
        <w:pStyle w:val="Heading1"/>
      </w:pPr>
      <w:r>
        <w:rPr>
          <w:color w:val="1A3C6E"/>
          <w:sz w:val="23"/>
        </w:rPr>
        <w:t>Article 14 (Transfer of Rights)</w:t>
      </w:r>
    </w:p>
    <w:p>
      <w:r>
        <w:t>Neither party may assign its rights or obligations under this Agreement to any third party without the prior written consent of the other party.</w:t>
      </w:r>
    </w:p>
    <w:p>
      <w:pPr>
        <w:pStyle w:val="Heading1"/>
      </w:pPr>
      <w:r>
        <w:rPr>
          <w:color w:val="1A3C6E"/>
          <w:sz w:val="23"/>
        </w:rPr>
        <w:t>Article 15 (Termination)</w:t>
      </w:r>
    </w:p>
    <w:p>
      <w:r>
        <w:t>If either party materially breaches this Agreement and fails to cure within 30 days, the other party may terminate this Agreement.</w:t>
      </w:r>
    </w:p>
    <w:p>
      <w:pPr>
        <w:pStyle w:val="Heading1"/>
      </w:pPr>
      <w:r>
        <w:rPr>
          <w:color w:val="1A3C6E"/>
          <w:sz w:val="23"/>
        </w:rPr>
        <w:t>Article 16 (Overclaimed Advertising)</w:t>
      </w:r>
    </w:p>
    <w:p>
      <w:r>
        <w:t>The Purchaser shall not engage in exaggerated or false advertising of the efficacy of the Products beyond the scope of approval.</w:t>
      </w:r>
    </w:p>
    <w:p>
      <w:pPr>
        <w:pStyle w:val="Heading1"/>
      </w:pPr>
      <w:r>
        <w:rPr>
          <w:color w:val="1A3C6E"/>
          <w:sz w:val="23"/>
        </w:rPr>
        <w:t>Article 17 (Compensation for Damages)</w:t>
      </w:r>
    </w:p>
    <w:p>
      <w:r>
        <w:t>If a party causes damage to the other party due to its fault, the party at fault shall compensate for such damage.</w:t>
      </w:r>
    </w:p>
    <w:p>
      <w:pPr>
        <w:pStyle w:val="Heading1"/>
      </w:pPr>
      <w:r>
        <w:rPr>
          <w:color w:val="1A3C6E"/>
          <w:sz w:val="23"/>
        </w:rPr>
        <w:t>Article 18 (Resolution of Disputes)</w:t>
      </w:r>
    </w:p>
    <w:p>
      <w:r>
        <w:t>Any dispute arising in connection with this Agreement shall be resolved by mutual consultation; failing such consultation, it shall be settled by the judgment of the competent court.</w:t>
      </w:r>
    </w:p>
    <w:p/>
    <w:p>
      <w:r>
        <w:t>IN WITNESS WHEREOF, two (2) counterparts of this Agreement have been executed, each party retaining one (1) copy.</w:t>
      </w:r>
    </w:p>
    <w:tbl>
      <w:tblPr>
        <w:tblStyle w:val="TableGrid"/>
        <w:tblW w:type="auto" w:w="0"/>
        <w:tblLook w:firstColumn="1" w:firstRow="1" w:lastColumn="0" w:lastRow="0" w:noHBand="0" w:noVBand="1" w:val="04A0"/>
      </w:tblPr>
      <w:tblGrid>
        <w:gridCol w:w="4320"/>
        <w:gridCol w:w="4320"/>
      </w:tblGrid>
      <w:tr>
        <w:tc>
          <w:tcPr>
            <w:tcW w:type="dxa" w:w="4320"/>
          </w:tcPr>
          <w:p>
            <w:r>
              <w:t>Party A (Supplier)</w:t>
              <w:br/>
              <w:t>Daon Biopharm Co., Ltd.</w:t>
            </w:r>
          </w:p>
        </w:tc>
        <w:tc>
          <w:tcPr>
            <w:tcW w:type="dxa" w:w="4320"/>
          </w:tcPr>
          <w:p>
            <w:r>
              <w:t>Party B (Purchaser)</w:t>
              <w:br/>
              <w:t>Aurora Medibeauty (Thailand) Co., Ltd.</w:t>
            </w:r>
          </w:p>
        </w:tc>
      </w:tr>
      <w:tr>
        <w:tc>
          <w:tcPr>
            <w:tcW w:type="dxa" w:w="4320"/>
          </w:tcPr>
          <w:p>
            <w:r>
              <w:t>Representative  문상혁 / Sanghyeok Moon        (Signature/Seal)</w:t>
            </w:r>
          </w:p>
        </w:tc>
        <w:tc>
          <w:tcPr>
            <w:tcW w:type="dxa" w:w="4320"/>
          </w:tcPr>
          <w:p>
            <w:r>
              <w:t>Representative  정해린 / Harin Jung        (Signature/Seal)</w:t>
            </w:r>
          </w:p>
        </w:tc>
      </w:tr>
    </w:tbl>
    <w:p>
      <w:r>
        <w:br w:type="page"/>
      </w:r>
    </w:p>
    <w:p>
      <w:pPr>
        <w:pStyle w:val="Heading1"/>
      </w:pPr>
      <w:r>
        <w:rPr>
          <w:color w:val="1A3C6E"/>
        </w:rPr>
        <w:t>[Annex] Side Agreement</w:t>
      </w:r>
    </w:p>
    <w:p>
      <w:r>
        <w:t>1. Supply Items and Unit Prices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Product</w:t>
            </w:r>
          </w:p>
        </w:tc>
        <w:tc>
          <w:tcPr>
            <w:tcW w:type="dxa" w:w="2160"/>
          </w:tcPr>
          <w:p>
            <w:r>
              <w:t>SKU</w:t>
            </w:r>
          </w:p>
        </w:tc>
        <w:tc>
          <w:tcPr>
            <w:tcW w:type="dxa" w:w="2160"/>
          </w:tcPr>
          <w:p>
            <w:r>
              <w:t>Specification</w:t>
            </w:r>
          </w:p>
        </w:tc>
        <w:tc>
          <w:tcPr>
            <w:tcW w:type="dxa" w:w="2160"/>
          </w:tcPr>
          <w:p>
            <w:r>
              <w:t>Supply Price Band (B2B, THB)</w:t>
            </w:r>
          </w:p>
        </w:tc>
      </w:tr>
      <w:tr>
        <w:tc>
          <w:tcPr>
            <w:tcW w:type="dxa" w:w="2160"/>
          </w:tcPr>
          <w:p>
            <w:r>
              <w:t>Lumeitox Inj. 100 Units / 루메이톡스 주 100단위</w:t>
            </w:r>
          </w:p>
        </w:tc>
        <w:tc>
          <w:tcPr>
            <w:tcW w:type="dxa" w:w="2160"/>
          </w:tcPr>
          <w:p>
            <w:r>
              <w:t>LMTX-100U</w:t>
            </w:r>
          </w:p>
        </w:tc>
        <w:tc>
          <w:tcPr>
            <w:tcW w:type="dxa" w:w="2160"/>
          </w:tcPr>
          <w:p>
            <w:r>
              <w:t>100 Units / vial (동결건조 분말, lyophilisate for solution for injection)</w:t>
            </w:r>
          </w:p>
        </w:tc>
        <w:tc>
          <w:tcPr>
            <w:tcW w:type="dxa" w:w="2160"/>
          </w:tcPr>
          <w:p>
            <w:r>
              <w:t>1,150 ~ 1,450 / vial</w:t>
            </w:r>
          </w:p>
        </w:tc>
      </w:tr>
      <w:tr>
        <w:tc>
          <w:tcPr>
            <w:tcW w:type="dxa" w:w="2160"/>
          </w:tcPr>
          <w:p>
            <w:r>
              <w:t>Dermaluxe HA Filler / 더마럭스 HA 필러</w:t>
            </w:r>
          </w:p>
        </w:tc>
        <w:tc>
          <w:tcPr>
            <w:tcW w:type="dxa" w:w="2160"/>
          </w:tcPr>
          <w:p>
            <w:r>
              <w:t>DLX-HA-10</w:t>
            </w:r>
          </w:p>
        </w:tc>
        <w:tc>
          <w:tcPr>
            <w:tcW w:type="dxa" w:w="2160"/>
          </w:tcPr>
          <w:p>
            <w:r>
              <w:t>1.0 mL prefilled syringe (개당), 박스 2 syringe + 2 needle</w:t>
            </w:r>
          </w:p>
        </w:tc>
        <w:tc>
          <w:tcPr>
            <w:tcW w:type="dxa" w:w="2160"/>
          </w:tcPr>
          <w:p>
            <w:r>
              <w:t>900 ~ 1,200 / syringe</w:t>
            </w:r>
          </w:p>
        </w:tc>
      </w:tr>
      <w:tr>
        <w:tc>
          <w:tcPr>
            <w:tcW w:type="dxa" w:w="2160"/>
          </w:tcPr>
          <w:p>
            <w:r>
              <w:t>Glowvita Skin Booster / 글로우비타 스킨부스터</w:t>
            </w:r>
          </w:p>
        </w:tc>
        <w:tc>
          <w:tcPr>
            <w:tcW w:type="dxa" w:w="2160"/>
          </w:tcPr>
          <w:p>
            <w:r>
              <w:t>GLV-SB-20</w:t>
            </w:r>
          </w:p>
        </w:tc>
        <w:tc>
          <w:tcPr>
            <w:tcW w:type="dxa" w:w="2160"/>
          </w:tcPr>
          <w:p>
            <w:r>
              <w:t>2.0 mL vial × 5 / box</w:t>
            </w:r>
          </w:p>
        </w:tc>
        <w:tc>
          <w:tcPr>
            <w:tcW w:type="dxa" w:w="2160"/>
          </w:tcPr>
          <w:p>
            <w:r>
              <w:t>720 ~ 980 / vial</w:t>
            </w:r>
          </w:p>
        </w:tc>
      </w:tr>
    </w:tbl>
    <w:p/>
    <w:p>
      <w:r>
        <w:t>2. Payment Terms</w:t>
      </w:r>
    </w:p>
    <w:p>
      <w:r>
        <w:t xml:space="preserve">    T/T in advance 30% / balance before shipment (common to the Agreement).</w:t>
      </w:r>
    </w:p>
    <w:p>
      <w:r>
        <w:t>3. Remittance Account (Supplier — import payment, KRW)</w:t>
      </w:r>
    </w:p>
    <w:tbl>
      <w:tblPr>
        <w:tblStyle w:val="TableGrid"/>
        <w:tblW w:type="auto" w:w="0"/>
        <w:tblLook w:firstColumn="1" w:firstRow="1" w:lastColumn="0" w:lastRow="0" w:noHBand="0" w:noVBand="1" w:val="04A0"/>
      </w:tblPr>
      <w:tblGrid>
        <w:gridCol w:w="4320"/>
        <w:gridCol w:w="4320"/>
      </w:tblGrid>
      <w:tr>
        <w:tc>
          <w:tcPr>
            <w:tcW w:type="dxa" w:w="4320"/>
          </w:tcPr>
          <w:p>
            <w:r>
              <w:t>Bank</w:t>
            </w:r>
          </w:p>
        </w:tc>
        <w:tc>
          <w:tcPr>
            <w:tcW w:type="dxa" w:w="4320"/>
          </w:tcPr>
          <w:p>
            <w:r>
              <w:t>Hangang Bank</w:t>
            </w:r>
          </w:p>
        </w:tc>
      </w:tr>
      <w:tr>
        <w:tc>
          <w:tcPr>
            <w:tcW w:type="dxa" w:w="4320"/>
          </w:tcPr>
          <w:p>
            <w:r>
              <w:t>Account</w:t>
            </w:r>
          </w:p>
        </w:tc>
        <w:tc>
          <w:tcPr>
            <w:tcW w:type="dxa" w:w="4320"/>
          </w:tcPr>
          <w:p>
            <w:r>
              <w:t>110-234-567890</w:t>
            </w:r>
          </w:p>
        </w:tc>
      </w:tr>
      <w:tr>
        <w:tc>
          <w:tcPr>
            <w:tcW w:type="dxa" w:w="4320"/>
          </w:tcPr>
          <w:p>
            <w:r>
              <w:t>Holder</w:t>
            </w:r>
          </w:p>
        </w:tc>
        <w:tc>
          <w:tcPr>
            <w:tcW w:type="dxa" w:w="4320"/>
          </w:tcPr>
          <w:p>
            <w:r>
              <w:t>Daon Biopharm Co., Ltd.</w:t>
            </w:r>
          </w:p>
        </w:tc>
      </w:tr>
      <w:tr>
        <w:tc>
          <w:tcPr>
            <w:tcW w:type="dxa" w:w="4320"/>
          </w:tcPr>
          <w:p>
            <w:r>
              <w:t>SWIFT</w:t>
            </w:r>
          </w:p>
        </w:tc>
        <w:tc>
          <w:tcPr>
            <w:tcW w:type="dxa" w:w="4320"/>
          </w:tcPr>
          <w:p>
            <w:r>
              <w:t>HGBKKRSE</w:t>
            </w:r>
          </w:p>
        </w:tc>
      </w:tr>
    </w:tbl>
    <w:p/>
    <w:p>
      <w:r>
        <w:t>Export contact (Supplier): 한지우 / Jiwoo Han — export@daonbiopharm.co.kr · +82-43-270-5500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