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제품 공급계약서</w:t>
      </w:r>
    </w:p>
    <w:p>
      <w:pPr>
        <w:jc w:val="center"/>
      </w:pPr>
      <w:r>
        <w:t>Product Supply Agreement</w:t>
      </w:r>
    </w:p>
    <w:p>
      <w:pPr>
        <w:jc w:val="center"/>
      </w:pPr>
      <w:r>
        <w:t>계약번호 (Agreement No.): SA-2023-01</w:t>
      </w:r>
    </w:p>
    <w:p/>
    <w:p>
      <w:r>
        <w:t>공급자(이하 "갑"): 다온바이오팜 주식회사 (Daon Biopharm Co., Ltd.)</w:t>
      </w:r>
    </w:p>
    <w:p>
      <w:r>
        <w:t xml:space="preserve">    사업자등록번호 312-86-40517 · 주소 42, Biovalley-ro, Osong-eup, Cheongju-si, Chungcheongbuk-do, Republic of Korea · 대표 문상혁 / Sanghyeok Moon</w:t>
      </w:r>
    </w:p>
    <w:p>
      <w:r>
        <w:t>구매자(이하 "을"): 오로라 메디뷰티 (타일랜드) 주식회사 (Aurora Medibeauty (Thailand) Co., Ltd.)</w:t>
      </w:r>
    </w:p>
    <w:p>
      <w:r>
        <w:t xml:space="preserve">    납세번호 0-1055-87231-44-2 · 주소 188/21 Ratchada Business Tower, 14th Fl., Ratchadaphisek Rd., Huai Khwang, Bangkok 10310, Thailand · 대표 정해린 / Harin Jung</w:t>
      </w:r>
    </w:p>
    <w:p/>
    <w:p>
      <w:r>
        <w:t>갑과 을은 의료미용 주사제 제품의 공급 및 유통에 관하여 다음과 같이 계약을 체결한다.</w:t>
      </w:r>
    </w:p>
    <w:p>
      <w:pPr>
        <w:pStyle w:val="Heading1"/>
      </w:pPr>
      <w:r>
        <w:rPr>
          <w:color w:val="1A3C6E"/>
          <w:sz w:val="23"/>
        </w:rPr>
        <w:t>제1조 (계약의 목적)  /  Purpose</w:t>
      </w:r>
    </w:p>
    <w:p>
      <w:r>
        <w:t>본 계약은 공급자(다온바이오팜 주식회사)가 생산하는 의료미용 주사제 제품을 구매자(오로라 메디뷰티 (타일랜드) 주식회사)가 태국 내에서 수입·유통함에 있어 양 당사자의 권리와 의무를 정함을 목적으로 한다.</w:t>
      </w:r>
    </w:p>
    <w:p>
      <w:pPr>
        <w:pStyle w:val="Heading1"/>
      </w:pPr>
      <w:r>
        <w:rPr>
          <w:color w:val="1A3C6E"/>
          <w:sz w:val="23"/>
        </w:rPr>
        <w:t>제2조 (계약 주체간의 역할)  /  Role between the Parties</w:t>
      </w:r>
    </w:p>
    <w:p>
      <w:r>
        <w:t>공급자는 제품의 생산·품질관리·납품을 책임지며, 구매자는 태국 내 수입통관·인허가·유통 및 영업을 책임진다.</w:t>
      </w:r>
    </w:p>
    <w:p>
      <w:pPr>
        <w:pStyle w:val="Heading1"/>
      </w:pPr>
      <w:r>
        <w:rPr>
          <w:color w:val="1A3C6E"/>
          <w:sz w:val="23"/>
        </w:rPr>
        <w:t>제3조 (제품의 정의 및 권리)  /  Product Definition and Rights</w:t>
      </w:r>
    </w:p>
    <w:p>
      <w:r>
        <w:t>본 계약의 대상 제품은 부대합의서(별첨)에 명시된 품목으로 한다 (루메이톡스 주 100단위 / 더마럭스 HA 필러 / 글로우비타 스킨부스터).</w:t>
      </w:r>
    </w:p>
    <w:p>
      <w:pPr>
        <w:pStyle w:val="Heading1"/>
      </w:pPr>
      <w:r>
        <w:rPr>
          <w:color w:val="1A3C6E"/>
          <w:sz w:val="23"/>
        </w:rPr>
        <w:t>제4조 (상표)  /  Trademark</w:t>
      </w:r>
    </w:p>
    <w:p>
      <w:r>
        <w:t>제품의 상표·브랜드에 관한 권리는 공급자에 귀속하며, 구매자는 유통 목적 범위 내에서만 이를 사용한다.</w:t>
      </w:r>
    </w:p>
    <w:p>
      <w:pPr>
        <w:pStyle w:val="Heading1"/>
      </w:pPr>
      <w:r>
        <w:rPr>
          <w:color w:val="1A3C6E"/>
          <w:sz w:val="23"/>
        </w:rPr>
        <w:t>제5조 (공급가격)  /  Supply Price</w:t>
      </w:r>
    </w:p>
    <w:p>
      <w:r>
        <w:t>제품의 공급가격은 부대합의서에 정한 단가를 따르며, 가격 변경은 30일 전 서면 통지로 합의한다.</w:t>
      </w:r>
    </w:p>
    <w:p>
      <w:pPr>
        <w:pStyle w:val="Heading1"/>
      </w:pPr>
      <w:r>
        <w:rPr>
          <w:color w:val="1A3C6E"/>
          <w:sz w:val="23"/>
        </w:rPr>
        <w:t>제6조 (발주 및 납품)  /  Order and Delivery</w:t>
      </w:r>
    </w:p>
    <w:p>
      <w:r>
        <w:t>구매자는 발주서(PO)로 발주하며, 공급자는 발주 확인 후 합의된 납기 내 납품한다.</w:t>
      </w:r>
    </w:p>
    <w:p>
      <w:pPr>
        <w:pStyle w:val="Heading1"/>
      </w:pPr>
      <w:r>
        <w:rPr>
          <w:color w:val="1A3C6E"/>
          <w:sz w:val="23"/>
        </w:rPr>
        <w:t>제7조 (품질관리)  /  Quality Management</w:t>
      </w:r>
    </w:p>
    <w:p>
      <w:r>
        <w:t>공급자는 제품에 대하여 시험성적서(CoA) 및 물질안전보건자료(MSDS)를 제공하고 출고 품질을 보증한다.</w:t>
      </w:r>
    </w:p>
    <w:p>
      <w:pPr>
        <w:pStyle w:val="Heading1"/>
      </w:pPr>
      <w:r>
        <w:rPr>
          <w:color w:val="1A3C6E"/>
          <w:sz w:val="23"/>
        </w:rPr>
        <w:t>제8조 (인수·인도·검사)  /  Acquisition, Delivery and Inspection</w:t>
      </w:r>
    </w:p>
    <w:p>
      <w:r>
        <w:t>구매자는 제품 수령 후 합리적 기간 내 수량·외관을 검사하고, 하자 발견 시 즉시 통지한다.</w:t>
      </w:r>
    </w:p>
    <w:p>
      <w:pPr>
        <w:pStyle w:val="Heading1"/>
      </w:pPr>
      <w:r>
        <w:rPr>
          <w:color w:val="1A3C6E"/>
          <w:sz w:val="23"/>
        </w:rPr>
        <w:t>제9조 (대금결제)  /  Payment</w:t>
      </w:r>
    </w:p>
    <w:p>
      <w:r>
        <w:t>대금결제 조건은 T/T in advance 30% / balance before shipment 으로 하며, 입금계좌는 부대합의서에 명시된 공급자 계좌로 한다.</w:t>
      </w:r>
    </w:p>
    <w:p>
      <w:pPr>
        <w:pStyle w:val="Heading1"/>
      </w:pPr>
      <w:r>
        <w:rPr>
          <w:color w:val="1A3C6E"/>
          <w:sz w:val="23"/>
        </w:rPr>
        <w:t>제10조 (반품과 보상)  /  Returns and Compensation</w:t>
      </w:r>
    </w:p>
    <w:p>
      <w:r>
        <w:t>공급자 귀책의 하자 제품은 반품·교환하며, 운송 등 부대비용은 귀책 당사자가 부담한다.</w:t>
      </w:r>
    </w:p>
    <w:p>
      <w:pPr>
        <w:pStyle w:val="Heading1"/>
      </w:pPr>
      <w:r>
        <w:rPr>
          <w:color w:val="1A3C6E"/>
          <w:sz w:val="23"/>
        </w:rPr>
        <w:t>제11조 (계약기간)  /  Terms of Agreement</w:t>
      </w:r>
    </w:p>
    <w:p>
      <w:r>
        <w:t>본 계약의 유효기간은 체결일로부터 2년으로 하며, 만료 60일 전 별도 통지가 없으면 1년 단위로 자동 연장된다.</w:t>
      </w:r>
    </w:p>
    <w:p>
      <w:pPr>
        <w:pStyle w:val="Heading1"/>
      </w:pPr>
      <w:r>
        <w:rPr>
          <w:color w:val="1A3C6E"/>
          <w:sz w:val="23"/>
        </w:rPr>
        <w:t>제12조 (비밀유지)  /  Keeping Secrets</w:t>
      </w:r>
    </w:p>
    <w:p>
      <w:r>
        <w:t>양 당사자는 본 계약과 관련하여 취득한 상대방의 영업비밀을 계약 종료 후에도 누설하지 아니한다.</w:t>
      </w:r>
    </w:p>
    <w:p>
      <w:pPr>
        <w:pStyle w:val="Heading1"/>
      </w:pPr>
      <w:r>
        <w:rPr>
          <w:color w:val="1A3C6E"/>
          <w:sz w:val="23"/>
        </w:rPr>
        <w:t>제13조 (불가항력)  /  Force Majeure</w:t>
      </w:r>
    </w:p>
    <w:p>
      <w:r>
        <w:t>천재지변·전쟁·정부조치 등 불가항력으로 인한 의무 불이행은 책임을 면한다.</w:t>
      </w:r>
    </w:p>
    <w:p>
      <w:pPr>
        <w:pStyle w:val="Heading1"/>
      </w:pPr>
      <w:r>
        <w:rPr>
          <w:color w:val="1A3C6E"/>
          <w:sz w:val="23"/>
        </w:rPr>
        <w:t>제14조 (권리의 양도)  /  Transfer of Rights</w:t>
      </w:r>
    </w:p>
    <w:p>
      <w:r>
        <w:t>어느 당사자도 상대방의 사전 서면 동의 없이 본 계약상 권리·의무를 제3자에게 양도할 수 없다.</w:t>
      </w:r>
    </w:p>
    <w:p>
      <w:pPr>
        <w:pStyle w:val="Heading1"/>
      </w:pPr>
      <w:r>
        <w:rPr>
          <w:color w:val="1A3C6E"/>
          <w:sz w:val="23"/>
        </w:rPr>
        <w:t>제15조 (계약의 해지)  /  Termination</w:t>
      </w:r>
    </w:p>
    <w:p>
      <w:r>
        <w:t>일방이 본 계약을 중대하게 위반하고 30일 내 시정하지 않을 경우 상대방은 계약을 해지할 수 있다.</w:t>
      </w:r>
    </w:p>
    <w:p>
      <w:pPr>
        <w:pStyle w:val="Heading1"/>
      </w:pPr>
      <w:r>
        <w:rPr>
          <w:color w:val="1A3C6E"/>
          <w:sz w:val="23"/>
        </w:rPr>
        <w:t>제16조 (과대광고)  /  Overclaimed Advertising</w:t>
      </w:r>
    </w:p>
    <w:p>
      <w:r>
        <w:t>구매자는 제품의 효능에 대하여 허가 범위를 벗어난 과대·허위 광고를 하지 아니한다.</w:t>
      </w:r>
    </w:p>
    <w:p>
      <w:pPr>
        <w:pStyle w:val="Heading1"/>
      </w:pPr>
      <w:r>
        <w:rPr>
          <w:color w:val="1A3C6E"/>
          <w:sz w:val="23"/>
        </w:rPr>
        <w:t>제17조 (손해배상)  /  Compensation for Damages</w:t>
      </w:r>
    </w:p>
    <w:p>
      <w:r>
        <w:t>일방의 귀책으로 상대방에게 손해가 발생한 경우 귀책 당사자는 이를 배상한다.</w:t>
      </w:r>
    </w:p>
    <w:p>
      <w:pPr>
        <w:pStyle w:val="Heading1"/>
      </w:pPr>
      <w:r>
        <w:rPr>
          <w:color w:val="1A3C6E"/>
          <w:sz w:val="23"/>
        </w:rPr>
        <w:t>제18조 (분쟁해결)  /  Resolution of Disputes</w:t>
      </w:r>
    </w:p>
    <w:p>
      <w:r>
        <w:t>본 계약과 관련한 분쟁은 상호 협의로 해결하되, 협의가 이루어지지 않을 경우 관할 법원의 판결에 따른다.</w:t>
      </w:r>
    </w:p>
    <w:p/>
    <w:p>
      <w:r>
        <w:t>본 계약의 성립을 증명하기 위하여 계약서 2부를 작성하고 갑과 을이 각 1부씩 보관한다.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갑 (공급자)</w:t>
              <w:br/>
              <w:t>Daon Biopharm Co., Ltd.</w:t>
            </w:r>
          </w:p>
        </w:tc>
        <w:tc>
          <w:tcPr>
            <w:tcW w:type="dxa" w:w="4320"/>
          </w:tcPr>
          <w:p>
            <w:r>
              <w:t>을 (구매자)</w:t>
              <w:br/>
              <w:t>Aurora Medibeauty (Thailand) Co., Ltd.</w:t>
            </w:r>
          </w:p>
        </w:tc>
      </w:tr>
      <w:tr>
        <w:tc>
          <w:tcPr>
            <w:tcW w:type="dxa" w:w="4320"/>
          </w:tcPr>
          <w:p>
            <w:r>
              <w:t>대표  문상혁 / Sanghyeok Moon        (서명/인)</w:t>
            </w:r>
          </w:p>
        </w:tc>
        <w:tc>
          <w:tcPr>
            <w:tcW w:type="dxa" w:w="4320"/>
          </w:tcPr>
          <w:p>
            <w:r>
              <w:t>대표  정해린 / Harin Jung        (서명/인)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[별첨] 부대합의서 (Annex — Side Agreement)</w:t>
      </w:r>
    </w:p>
    <w:p>
      <w:r>
        <w:t>1. 공급 품목 및 공급단가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제품명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규격</w:t>
            </w:r>
          </w:p>
        </w:tc>
        <w:tc>
          <w:tcPr>
            <w:tcW w:type="dxa" w:w="2160"/>
          </w:tcPr>
          <w:p>
            <w:r>
              <w:t>공급단가대 (B2B, THB)</w:t>
            </w:r>
          </w:p>
        </w:tc>
      </w:tr>
      <w:tr>
        <w:tc>
          <w:tcPr>
            <w:tcW w:type="dxa" w:w="2160"/>
          </w:tcPr>
          <w:p>
            <w:r>
              <w:t>루메이톡스 주 100단위 / Lumeitox Inj. 100 Units</w:t>
            </w:r>
          </w:p>
        </w:tc>
        <w:tc>
          <w:tcPr>
            <w:tcW w:type="dxa" w:w="2160"/>
          </w:tcPr>
          <w:p>
            <w:r>
              <w:t>LMTX-100U</w:t>
            </w:r>
          </w:p>
        </w:tc>
        <w:tc>
          <w:tcPr>
            <w:tcW w:type="dxa" w:w="2160"/>
          </w:tcPr>
          <w:p>
            <w:r>
              <w:t>100 Units / vial (동결건조 분말)</w:t>
            </w:r>
          </w:p>
        </w:tc>
        <w:tc>
          <w:tcPr>
            <w:tcW w:type="dxa" w:w="2160"/>
          </w:tcPr>
          <w:p>
            <w:r>
              <w:t>1,150 ~ 1,450 / vial</w:t>
            </w:r>
          </w:p>
        </w:tc>
      </w:tr>
      <w:tr>
        <w:tc>
          <w:tcPr>
            <w:tcW w:type="dxa" w:w="2160"/>
          </w:tcPr>
          <w:p>
            <w:r>
              <w:t>더마럭스 HA 필러 / Dermaluxe HA Filler</w:t>
            </w:r>
          </w:p>
        </w:tc>
        <w:tc>
          <w:tcPr>
            <w:tcW w:type="dxa" w:w="2160"/>
          </w:tcPr>
          <w:p>
            <w:r>
              <w:t>DLX-HA-10</w:t>
            </w:r>
          </w:p>
        </w:tc>
        <w:tc>
          <w:tcPr>
            <w:tcW w:type="dxa" w:w="2160"/>
          </w:tcPr>
          <w:p>
            <w:r>
              <w:t>1.0 mL prefilled syringe (개당), 박스 2 syringe + 2 needle</w:t>
            </w:r>
          </w:p>
        </w:tc>
        <w:tc>
          <w:tcPr>
            <w:tcW w:type="dxa" w:w="2160"/>
          </w:tcPr>
          <w:p>
            <w:r>
              <w:t>900 ~ 1,200 / syringe</w:t>
            </w:r>
          </w:p>
        </w:tc>
      </w:tr>
      <w:tr>
        <w:tc>
          <w:tcPr>
            <w:tcW w:type="dxa" w:w="2160"/>
          </w:tcPr>
          <w:p>
            <w:r>
              <w:t>글로우비타 스킨부스터 / Glowvita Skin Booster</w:t>
            </w:r>
          </w:p>
        </w:tc>
        <w:tc>
          <w:tcPr>
            <w:tcW w:type="dxa" w:w="2160"/>
          </w:tcPr>
          <w:p>
            <w:r>
              <w:t>GLV-SB-20</w:t>
            </w:r>
          </w:p>
        </w:tc>
        <w:tc>
          <w:tcPr>
            <w:tcW w:type="dxa" w:w="2160"/>
          </w:tcPr>
          <w:p>
            <w:r>
              <w:t>2.0 mL vial × 5 / box</w:t>
            </w:r>
          </w:p>
        </w:tc>
        <w:tc>
          <w:tcPr>
            <w:tcW w:type="dxa" w:w="2160"/>
          </w:tcPr>
          <w:p>
            <w:r>
              <w:t>720 ~ 980 / vial</w:t>
            </w:r>
          </w:p>
        </w:tc>
      </w:tr>
    </w:tbl>
    <w:p/>
    <w:p>
      <w:r>
        <w:t>2. 결제 조건</w:t>
      </w:r>
    </w:p>
    <w:p>
      <w:r>
        <w:t xml:space="preserve">    T/T in advance 30% / balance before shipment (계약 공통).</w:t>
      </w:r>
    </w:p>
    <w:p>
      <w:r>
        <w:t>3. 입금 계좌 (공급자 수취 — 수입대금)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은행 (Bank)</w:t>
            </w:r>
          </w:p>
        </w:tc>
        <w:tc>
          <w:tcPr>
            <w:tcW w:type="dxa" w:w="4320"/>
          </w:tcPr>
          <w:p>
            <w:r>
              <w:t>Hangang Bank</w:t>
            </w:r>
          </w:p>
        </w:tc>
      </w:tr>
      <w:tr>
        <w:tc>
          <w:tcPr>
            <w:tcW w:type="dxa" w:w="4320"/>
          </w:tcPr>
          <w:p>
            <w:r>
              <w:t>계좌번호 (Account)</w:t>
            </w:r>
          </w:p>
        </w:tc>
        <w:tc>
          <w:tcPr>
            <w:tcW w:type="dxa" w:w="4320"/>
          </w:tcPr>
          <w:p>
            <w:r>
              <w:t>110-234-567890</w:t>
            </w:r>
          </w:p>
        </w:tc>
      </w:tr>
      <w:tr>
        <w:tc>
          <w:tcPr>
            <w:tcW w:type="dxa" w:w="4320"/>
          </w:tcPr>
          <w:p>
            <w:r>
              <w:t>예금주 (Holder)</w:t>
            </w:r>
          </w:p>
        </w:tc>
        <w:tc>
          <w:tcPr>
            <w:tcW w:type="dxa" w:w="4320"/>
          </w:tcPr>
          <w:p>
            <w:r>
              <w:t>Daon Biopharm Co., Ltd.</w:t>
            </w:r>
          </w:p>
        </w:tc>
      </w:tr>
      <w:tr>
        <w:tc>
          <w:tcPr>
            <w:tcW w:type="dxa" w:w="4320"/>
          </w:tcPr>
          <w:p>
            <w:r>
              <w:t>SWIFT</w:t>
            </w:r>
          </w:p>
        </w:tc>
        <w:tc>
          <w:tcPr>
            <w:tcW w:type="dxa" w:w="4320"/>
          </w:tcPr>
          <w:p>
            <w:r>
              <w:t>HGBKKRSE</w:t>
            </w:r>
          </w:p>
        </w:tc>
      </w:tr>
    </w:tbl>
    <w:p/>
    <w:p>
      <w:r>
        <w:t>수출 담당 (공급자): 한지우 / Jiwoo Han — export@daonbiopharm.co.kr · +82-43-270-5500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