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255628">
        <w:rPr>
          <w:b/>
          <w:sz w:val="32"/>
          <w:szCs w:val="32"/>
        </w:rPr>
        <w:t>/MZ</w:t>
      </w:r>
      <w:r>
        <w:rPr>
          <w:b/>
          <w:sz w:val="32"/>
          <w:szCs w:val="32"/>
        </w:rPr>
        <w:t xml:space="preserve"> z badania rynku </w:t>
      </w:r>
      <w:r w:rsidR="00875E92">
        <w:rPr>
          <w:b/>
          <w:sz w:val="32"/>
          <w:szCs w:val="32"/>
        </w:rPr>
        <w:t>NZDJPY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97735C">
        <w:t>17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75E92" w:rsidRDefault="00C76F15" w:rsidP="00875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Michał Zabłocki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875E92">
      <w:r>
        <w:t>NZDJPY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C76F15">
        <w:t xml:space="preserve"> </w:t>
      </w:r>
      <w:r w:rsidR="00875E92">
        <w:rPr>
          <w:rFonts w:ascii="Monospaced" w:hAnsi="Monospaced" w:cs="Monospaced"/>
          <w:color w:val="000000"/>
          <w:sz w:val="20"/>
          <w:szCs w:val="20"/>
        </w:rPr>
        <w:t>nzdjpy</w:t>
      </w:r>
      <w:r w:rsidR="00C76F15"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875E92" w:rsidRPr="00875E92">
        <w:t>29904</w:t>
      </w:r>
      <w:r w:rsidR="0016344E">
        <w:t xml:space="preserve"> wierszach </w:t>
      </w:r>
      <w:r w:rsidR="0022140B">
        <w:t xml:space="preserve">(okres </w:t>
      </w:r>
      <w:r w:rsidR="00875E92">
        <w:t>około pięciu lat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2C407C">
        <w:t>07</w:t>
      </w:r>
      <w:r w:rsidR="000C5E87">
        <w:t>.0</w:t>
      </w:r>
      <w:r w:rsidR="002C407C">
        <w:t>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76F15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B938D7"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lastRenderedPageBreak/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</w:t>
      </w:r>
      <w:r w:rsidR="0097735C" w:rsidRPr="0097735C">
        <w:t>27904</w:t>
      </w:r>
      <w:r w:rsidR="00364D57">
        <w:t xml:space="preserve"> i kończąc na świecy kon=</w:t>
      </w:r>
      <w:r w:rsidR="001412B4" w:rsidRPr="001412B4">
        <w:t>29894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 xml:space="preserve">Liczbę otwieranych pozycji la, </w:t>
      </w:r>
      <w:proofErr w:type="spellStart"/>
      <w:r>
        <w:t>lb</w:t>
      </w:r>
      <w:proofErr w:type="spellEnd"/>
      <w:r>
        <w:t>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70363B" w:rsidRPr="0070363B">
        <w:t xml:space="preserve"> </w:t>
      </w:r>
      <w:r w:rsidR="0097735C" w:rsidRPr="0097735C">
        <w:t>13.8700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70363B" w:rsidRPr="0070363B">
        <w:t xml:space="preserve"> </w:t>
      </w:r>
      <w:r w:rsidR="0097735C" w:rsidRPr="0097735C">
        <w:t>2.4636</w:t>
      </w:r>
    </w:p>
    <w:p w:rsidR="00707C75" w:rsidRDefault="00707C75" w:rsidP="00707C75">
      <w:pPr>
        <w:ind w:firstLine="708"/>
      </w:pPr>
      <w:r>
        <w:t>la=</w:t>
      </w:r>
      <w:r w:rsidR="00B06B36" w:rsidRPr="00B06B36">
        <w:t xml:space="preserve"> </w:t>
      </w:r>
      <w:r w:rsidR="0097735C" w:rsidRPr="0097735C">
        <w:t>1022</w:t>
      </w:r>
      <w:r w:rsidR="00A312E4">
        <w:t xml:space="preserve"> (</w:t>
      </w:r>
      <w:r w:rsidR="0097735C">
        <w:t>51,4</w:t>
      </w:r>
      <w:r w:rsidR="00A312E4">
        <w:t>%)</w:t>
      </w:r>
    </w:p>
    <w:p w:rsidR="00B249E1" w:rsidRDefault="0097735C" w:rsidP="00B06B36">
      <w:pPr>
        <w:tabs>
          <w:tab w:val="left" w:pos="2092"/>
        </w:tabs>
        <w:ind w:firstLine="708"/>
      </w:pPr>
      <w:r>
        <w:t>ma=</w:t>
      </w:r>
      <w:r w:rsidR="00077A72">
        <w:t>118</w:t>
      </w:r>
    </w:p>
    <w:p w:rsidR="009203EC" w:rsidRDefault="0097735C" w:rsidP="001412B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4228731" cy="3165895"/>
            <wp:effectExtent l="19050" t="0" r="369" b="0"/>
            <wp:docPr id="2" name="Obraz 1" descr="nzdjpy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40" cy="31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1412B4">
        <w:t xml:space="preserve"> </w:t>
      </w:r>
      <w:r w:rsidR="0097735C" w:rsidRPr="0097735C">
        <w:t>-5.2300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1412B4">
        <w:t xml:space="preserve"> </w:t>
      </w:r>
      <w:r w:rsidR="0097735C" w:rsidRPr="0097735C">
        <w:t>0.6286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97735C" w:rsidRPr="0097735C">
        <w:t>1302</w:t>
      </w:r>
      <w:r w:rsidR="00FF27BD" w:rsidRPr="00FF27BD">
        <w:t xml:space="preserve"> </w:t>
      </w:r>
      <w:r w:rsidR="00FF27BD">
        <w:t>(</w:t>
      </w:r>
      <w:r w:rsidR="0097735C">
        <w:t>65,4</w:t>
      </w:r>
      <w:r w:rsidR="00417048">
        <w:t>%)</w:t>
      </w:r>
    </w:p>
    <w:p w:rsidR="00B249E1" w:rsidRDefault="00077A72" w:rsidP="00707C75">
      <w:pPr>
        <w:ind w:firstLine="708"/>
      </w:pPr>
      <w:r>
        <w:t>mb=12</w:t>
      </w:r>
    </w:p>
    <w:p w:rsidR="00ED17F2" w:rsidRDefault="0097735C" w:rsidP="00FF27BD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6" name="Obraz 5" descr="nzdjpy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97735C" w:rsidRDefault="00707C75" w:rsidP="00707C75">
      <w:pPr>
        <w:ind w:firstLine="708"/>
      </w:pPr>
      <w:r w:rsidRPr="0097735C">
        <w:t xml:space="preserve"> </w:t>
      </w:r>
      <w:proofErr w:type="spellStart"/>
      <w:r w:rsidRPr="0097735C">
        <w:t>sumR</w:t>
      </w:r>
      <w:r w:rsidR="00B249E1" w:rsidRPr="0097735C">
        <w:t>c</w:t>
      </w:r>
      <w:proofErr w:type="spellEnd"/>
      <w:r w:rsidRPr="0097735C">
        <w:t>=</w:t>
      </w:r>
      <w:r w:rsidR="0097735C" w:rsidRPr="0097735C">
        <w:t xml:space="preserve"> 19.2300</w:t>
      </w:r>
    </w:p>
    <w:p w:rsidR="0097735C" w:rsidRDefault="0097735C" w:rsidP="0097735C">
      <w:pPr>
        <w:ind w:firstLine="708"/>
      </w:pPr>
      <w:proofErr w:type="spellStart"/>
      <w:r>
        <w:t>Calmar</w:t>
      </w:r>
      <w:proofErr w:type="spellEnd"/>
      <w:r>
        <w:t xml:space="preserve">= </w:t>
      </w:r>
      <w:r w:rsidRPr="0097735C">
        <w:t>0.6286</w:t>
      </w:r>
    </w:p>
    <w:p w:rsidR="0097735C" w:rsidRDefault="0097735C" w:rsidP="0097735C">
      <w:pPr>
        <w:ind w:firstLine="708"/>
      </w:pPr>
      <w:r>
        <w:t>lb=</w:t>
      </w:r>
      <w:r w:rsidRPr="0097735C">
        <w:t>1302</w:t>
      </w:r>
      <w:r w:rsidRPr="00FF27BD">
        <w:t xml:space="preserve"> </w:t>
      </w:r>
      <w:r>
        <w:t>(65,4%)</w:t>
      </w:r>
    </w:p>
    <w:p w:rsidR="0097735C" w:rsidRDefault="00077A72" w:rsidP="0097735C">
      <w:pPr>
        <w:ind w:firstLine="708"/>
      </w:pPr>
      <w:r>
        <w:t>mb=12</w:t>
      </w:r>
    </w:p>
    <w:p w:rsidR="00351A19" w:rsidRDefault="0097735C" w:rsidP="00351A19">
      <w:pPr>
        <w:ind w:firstLine="708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7" name="Obraz 6" descr="nzdjpy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A19"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077A72" w:rsidRDefault="00707C75" w:rsidP="00707C75">
      <w:pPr>
        <w:rPr>
          <w:lang w:val="en-US"/>
        </w:rPr>
      </w:pPr>
      <w:proofErr w:type="spellStart"/>
      <w:r w:rsidRPr="00077A72">
        <w:rPr>
          <w:lang w:val="en-US"/>
        </w:rPr>
        <w:t>Dla</w:t>
      </w:r>
      <w:proofErr w:type="spellEnd"/>
      <w:r w:rsidRPr="00077A72">
        <w:rPr>
          <w:lang w:val="en-US"/>
        </w:rPr>
        <w:t xml:space="preserve"> S1</w:t>
      </w:r>
      <w:r w:rsidR="00B249E1" w:rsidRPr="00077A72">
        <w:rPr>
          <w:lang w:val="en-US"/>
        </w:rPr>
        <w:t>d</w:t>
      </w:r>
      <w:r w:rsidRPr="00077A72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077A72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B06B36" w:rsidRPr="00875E92">
        <w:rPr>
          <w:lang w:val="en-US"/>
        </w:rPr>
        <w:t xml:space="preserve"> </w:t>
      </w:r>
      <w:r w:rsidR="0097735C" w:rsidRPr="0097735C">
        <w:rPr>
          <w:lang w:val="en-US"/>
        </w:rPr>
        <w:t>-10.5900</w:t>
      </w:r>
    </w:p>
    <w:p w:rsidR="0097735C" w:rsidRPr="00077A72" w:rsidRDefault="0097735C" w:rsidP="0097735C">
      <w:pPr>
        <w:ind w:firstLine="708"/>
        <w:rPr>
          <w:lang w:val="en-US"/>
        </w:rPr>
      </w:pPr>
      <w:r w:rsidRPr="00077A72">
        <w:rPr>
          <w:lang w:val="en-US"/>
        </w:rPr>
        <w:t>Calmar= 2.4636</w:t>
      </w:r>
    </w:p>
    <w:p w:rsidR="0097735C" w:rsidRPr="00077A72" w:rsidRDefault="0097735C" w:rsidP="0097735C">
      <w:pPr>
        <w:ind w:firstLine="708"/>
        <w:rPr>
          <w:lang w:val="en-US"/>
        </w:rPr>
      </w:pPr>
      <w:r w:rsidRPr="00077A72">
        <w:rPr>
          <w:lang w:val="en-US"/>
        </w:rPr>
        <w:t>la= 1022 (51,4%)</w:t>
      </w:r>
    </w:p>
    <w:p w:rsidR="0097735C" w:rsidRPr="00077A72" w:rsidRDefault="0097735C" w:rsidP="0097735C">
      <w:pPr>
        <w:tabs>
          <w:tab w:val="left" w:pos="2092"/>
        </w:tabs>
        <w:ind w:firstLine="708"/>
        <w:rPr>
          <w:lang w:val="en-US"/>
        </w:rPr>
      </w:pPr>
      <w:r w:rsidRPr="00077A72">
        <w:rPr>
          <w:lang w:val="en-US"/>
        </w:rPr>
        <w:t>ma=</w:t>
      </w:r>
      <w:r w:rsidR="00077A72" w:rsidRPr="00077A72">
        <w:rPr>
          <w:lang w:val="en-US"/>
        </w:rPr>
        <w:t>1</w:t>
      </w:r>
      <w:r w:rsidR="00077A72">
        <w:rPr>
          <w:lang w:val="en-US"/>
        </w:rPr>
        <w:t>18</w:t>
      </w:r>
    </w:p>
    <w:p w:rsidR="00707C75" w:rsidRDefault="0097735C" w:rsidP="00707C75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8" name="Obraz 7" descr="nzdjpy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D91" w:rsidRDefault="00C70D91" w:rsidP="00DC3887">
      <w:pPr>
        <w:spacing w:after="0" w:line="240" w:lineRule="auto"/>
      </w:pPr>
      <w:r>
        <w:separator/>
      </w:r>
    </w:p>
  </w:endnote>
  <w:endnote w:type="continuationSeparator" w:id="0">
    <w:p w:rsidR="00C70D91" w:rsidRDefault="00C70D91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D91" w:rsidRDefault="00C70D91" w:rsidP="00DC3887">
      <w:pPr>
        <w:spacing w:after="0" w:line="240" w:lineRule="auto"/>
      </w:pPr>
      <w:r>
        <w:separator/>
      </w:r>
    </w:p>
  </w:footnote>
  <w:footnote w:type="continuationSeparator" w:id="0">
    <w:p w:rsidR="00C70D91" w:rsidRDefault="00C70D91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77A72"/>
    <w:rsid w:val="00091E67"/>
    <w:rsid w:val="000C5E87"/>
    <w:rsid w:val="000D43DE"/>
    <w:rsid w:val="000F3DE0"/>
    <w:rsid w:val="00104656"/>
    <w:rsid w:val="00114A51"/>
    <w:rsid w:val="001227A6"/>
    <w:rsid w:val="0012712E"/>
    <w:rsid w:val="00137376"/>
    <w:rsid w:val="001412B4"/>
    <w:rsid w:val="001512F9"/>
    <w:rsid w:val="0016344E"/>
    <w:rsid w:val="001A0D54"/>
    <w:rsid w:val="00204269"/>
    <w:rsid w:val="00210CAC"/>
    <w:rsid w:val="0022140B"/>
    <w:rsid w:val="00255628"/>
    <w:rsid w:val="00261841"/>
    <w:rsid w:val="00272F08"/>
    <w:rsid w:val="002839FA"/>
    <w:rsid w:val="00287FA3"/>
    <w:rsid w:val="002C407C"/>
    <w:rsid w:val="002D4F48"/>
    <w:rsid w:val="002F07C1"/>
    <w:rsid w:val="00310128"/>
    <w:rsid w:val="00317407"/>
    <w:rsid w:val="00327122"/>
    <w:rsid w:val="0033700D"/>
    <w:rsid w:val="00351A19"/>
    <w:rsid w:val="00364D57"/>
    <w:rsid w:val="003D12EB"/>
    <w:rsid w:val="003E5B79"/>
    <w:rsid w:val="003F711F"/>
    <w:rsid w:val="00417048"/>
    <w:rsid w:val="00421D29"/>
    <w:rsid w:val="00427847"/>
    <w:rsid w:val="00460F0D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5C029D"/>
    <w:rsid w:val="0064136D"/>
    <w:rsid w:val="006777F7"/>
    <w:rsid w:val="006B5A56"/>
    <w:rsid w:val="006E284C"/>
    <w:rsid w:val="006F1530"/>
    <w:rsid w:val="006F15AA"/>
    <w:rsid w:val="0070363B"/>
    <w:rsid w:val="00704782"/>
    <w:rsid w:val="00707C75"/>
    <w:rsid w:val="00725970"/>
    <w:rsid w:val="00760355"/>
    <w:rsid w:val="007A43C9"/>
    <w:rsid w:val="007E653B"/>
    <w:rsid w:val="007F2534"/>
    <w:rsid w:val="007F2641"/>
    <w:rsid w:val="007F7409"/>
    <w:rsid w:val="0082317C"/>
    <w:rsid w:val="00833331"/>
    <w:rsid w:val="008736A5"/>
    <w:rsid w:val="00875E92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7735C"/>
    <w:rsid w:val="009928F1"/>
    <w:rsid w:val="009A7B25"/>
    <w:rsid w:val="009B1786"/>
    <w:rsid w:val="00A2037D"/>
    <w:rsid w:val="00A238A8"/>
    <w:rsid w:val="00A312E4"/>
    <w:rsid w:val="00A43B66"/>
    <w:rsid w:val="00A447A9"/>
    <w:rsid w:val="00A60532"/>
    <w:rsid w:val="00A63FC6"/>
    <w:rsid w:val="00A762EE"/>
    <w:rsid w:val="00A77674"/>
    <w:rsid w:val="00A93CFD"/>
    <w:rsid w:val="00AC1FEA"/>
    <w:rsid w:val="00AD67EA"/>
    <w:rsid w:val="00B06B36"/>
    <w:rsid w:val="00B249E1"/>
    <w:rsid w:val="00B31F71"/>
    <w:rsid w:val="00B3596C"/>
    <w:rsid w:val="00B40E17"/>
    <w:rsid w:val="00B46BA6"/>
    <w:rsid w:val="00B5054A"/>
    <w:rsid w:val="00B938D7"/>
    <w:rsid w:val="00BE13D6"/>
    <w:rsid w:val="00BE7678"/>
    <w:rsid w:val="00BF1204"/>
    <w:rsid w:val="00BF3157"/>
    <w:rsid w:val="00C25B3E"/>
    <w:rsid w:val="00C45C8E"/>
    <w:rsid w:val="00C70D91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35E38"/>
    <w:rsid w:val="00D41615"/>
    <w:rsid w:val="00D43215"/>
    <w:rsid w:val="00D916B9"/>
    <w:rsid w:val="00DA3E3B"/>
    <w:rsid w:val="00DC3887"/>
    <w:rsid w:val="00E04652"/>
    <w:rsid w:val="00E0481E"/>
    <w:rsid w:val="00E06CED"/>
    <w:rsid w:val="00E8122E"/>
    <w:rsid w:val="00E872B9"/>
    <w:rsid w:val="00EB3386"/>
    <w:rsid w:val="00ED17F2"/>
    <w:rsid w:val="00ED4D43"/>
    <w:rsid w:val="00EF4AC3"/>
    <w:rsid w:val="00F17AF4"/>
    <w:rsid w:val="00F21FD8"/>
    <w:rsid w:val="00F27330"/>
    <w:rsid w:val="00F56FEE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73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846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8</cp:revision>
  <dcterms:created xsi:type="dcterms:W3CDTF">2013-05-14T12:06:00Z</dcterms:created>
  <dcterms:modified xsi:type="dcterms:W3CDTF">2013-05-18T09:06:00Z</dcterms:modified>
</cp:coreProperties>
</file>