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522ED3"/>
          <w:sz w:val="40"/>
          <w:szCs w:val="40"/>
        </w:rPr>
        <w:t xml:space="preserve">ACKO</w:t>
      </w: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.</w:t>
      </w:r>
    </w:p>
    <w:p>
      <w:pPr>
        <w:spacing w:after="9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64748B"/>
          <w:sz w:val="16"/>
          <w:szCs w:val="16"/>
        </w:rPr>
        <w:t xml:space="preserve">INTERNAL PRODUCT NOTE  ·  APRIL 2026  ·  CONFIDENTIAL</w:t>
      </w:r>
    </w:p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Acko Content Studio</w:t>
      </w:r>
    </w:p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color w:val="522ED3"/>
          <w:sz w:val="40"/>
          <w:szCs w:val="40"/>
        </w:rPr>
        <w:t xml:space="preserve">AI-Powered Publishing at Scale</w:t>
      </w:r>
    </w:p>
    <w:p>
      <w:pPr>
        <w:pBdr>
          <w:bottom w:val="single" w:color="522ED3" w:sz="12"/>
        </w:pBdr>
        <w:spacing w:after="480" w:before="0"/>
      </w:pPr>
    </w:p>
    <w:p>
      <w:pPr>
        <w:spacing w:after="480" w:before="0"/>
      </w:pPr>
    </w:p>
    <w:p>
      <w:pPr>
        <w:spacing w:after="160" w:before="0"/>
      </w:pPr>
      <w:r>
        <w:rPr>
          <w:rFonts w:ascii="Arial" w:cs="Arial" w:eastAsia="Arial" w:hAnsi="Arial"/>
          <w:color w:val="334155"/>
          <w:sz w:val="26"/>
          <w:szCs w:val="26"/>
        </w:rPr>
        <w:t xml:space="preserve">A full-stack AI content engine that transforms raw research, legacy pages, and briefs into publishing-ready blog articles for Acko’s Enterprise, Retail, and Long-tail content lines.</w:t>
      </w:r>
    </w:p>
    <w:p>
      <w:pPr>
        <w:spacing w:after="8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22ED3"/>
                <w:sz w:val="52"/>
                <w:szCs w:val="52"/>
              </w:rPr>
              <w:t xml:space="preserve">128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Pages crawled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154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Clusters created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52"/>
                <w:szCs w:val="52"/>
              </w:rPr>
              <w:t xml:space="preserve">56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Articles generated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Business lines</w:t>
            </w:r>
          </w:p>
        </w:tc>
      </w:tr>
    </w:tbl>
    <w:p>
      <w:pPr>
        <w:spacing w:after="8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9"/>
        <w:gridCol w:w="320"/>
        <w:gridCol w:w="1549"/>
        <w:gridCol w:w="320"/>
        <w:gridCol w:w="1549"/>
        <w:gridCol w:w="320"/>
        <w:gridCol w:w="1549"/>
        <w:gridCol w:w="320"/>
        <w:gridCol w:w="1549"/>
      </w:tblGrid>
      <w:tr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📝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Brief / Crawl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Cluster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✍️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Generate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📊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Evaluate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Library</w:t>
            </w:r>
          </w:p>
        </w:tc>
      </w:tr>
    </w:tbl>
    <w:p>
      <w:pPr>
        <w:spacing w:after="1280" w:before="0"/>
      </w:pPr>
    </w:p>
    <w:p>
      <w:pPr>
        <w:spacing w:after="0" w:before="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Prepared by: Acko Technology &amp; Services · All rights reserved · Not for external distribution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22ED3" w:sz="1"/>
              <w:left w:val="single" w:color="522ED3" w:sz="18"/>
              <w:bottom w:val="single" w:color="522ED3" w:sz="1"/>
              <w:right w:val="single" w:color="522ED3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22ED3"/>
                <w:sz w:val="16"/>
                <w:szCs w:val="16"/>
              </w:rPr>
              <w:t xml:space="preserve">WHAT IS ACKO CONTENT STUDIO?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An in-house AI content engine that converts legacy pages, topic briefs, PDFs, and reference URLs into fully designed, SEO-optimised blog articles. It covers all three of Acko’s content lines — Enterprise (B2B group insurance), Retail (individual/family), and Long-tail (specific niche queries) — and produces output that is ready for editorial review and publishing.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studio is built as a 5-step pipeline running entirely in-house: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9"/>
        <w:gridCol w:w="320"/>
        <w:gridCol w:w="1549"/>
        <w:gridCol w:w="320"/>
        <w:gridCol w:w="1549"/>
        <w:gridCol w:w="320"/>
        <w:gridCol w:w="1549"/>
        <w:gridCol w:w="320"/>
        <w:gridCol w:w="1549"/>
      </w:tblGrid>
      <w:tr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📝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Brief / Crawl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Cluster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✍️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Generate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📊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Evaluate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W w:type="dxa" w:w="15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Publish-ready</w:t>
            </w:r>
          </w:p>
        </w:tc>
      </w:tr>
    </w:tbl>
    <w:p>
      <w:pPr>
        <w:spacing w:after="24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Two entry points: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Start from a 30-second brief (Enterprise + targeted content) or from 3,500+ crawled legacy pages (Retail SEO overhaul).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Three business lines: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Enterprise (🏢 B2B), Retail (👤 B2C), Long-tail (🔍 niche) — each with its own tone, template, and quality rules.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Publishing-quality output: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Every article goes through a 3-pass quality pipeline (extraction → editor → Northstar evaluation) before appearing in the Library.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Fully editable: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Generated articles can be edited section-by-section, reordered, and re-rendered with one click — no raw HTML needed.</w:t>
      </w:r>
    </w:p>
    <w:p>
      <w:pPr>
        <w:spacing w:after="3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The Problem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Acko’s content operation faces four compounding challenges: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Volume vs. quality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3,500+ legacy pages exist on acko.com — many are thin, duplicate, or outdated. Manual rewrites at this scale are impractical.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Enterprise gap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evergreen content exists for Corporate Health, Fleet Insurance, Group Policies, or Workmen’s Comp — the fastest-growing revenue lines.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Production speed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 single well-researched article takes 3-5 hours to brief, write, and SEO-optimise. The backlog grows faster than the team can clear it.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Tone, structure, and quality vary widely across writers and editors. No standard template for B2B vs. B2C vs. long-tail articles.</w:t>
            </w:r>
          </w:p>
        </w:tc>
      </w:tr>
    </w:tbl>
    <w:p>
      <w:pPr>
        <w:spacing w:after="3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The Solution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Acko Content Studio introduces two parallel content creation paths:</w:t>
      </w:r>
    </w:p>
    <w:p>
      <w:pPr>
        <w:spacing w:after="2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Path A — Crawl-Based (Retail SEO overhaul)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crawler extracts content from acko.com/car-insurance/ and related pages, groups them by consumer question (cluster), and generates one authoritative new article per cluster. Legacy pages that map to the same question get consolidated into a single, stronger piece. The old pages can then be 301-redirected.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Path B — Brief-Based (Enterprise + targeted content)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content editor fills in a 3-screen brief: business line, topic/question, audience, key angles, and research material (typed text, uploaded PDF/DOCX, or reference URLs). The brief is processed as a cluster and the same generation pipeline runs. No crawling required — ideal for Enterprise topics where no legacy pages exist.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8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This is not a page rewriter. Every article is written from scratch using source material as research only. The AI is instructed to generate new structure, narrative, and examples — not to copy or paraphrase existing content.</w:t>
            </w:r>
          </w:p>
        </w:tc>
      </w:tr>
    </w:tbl>
    <w:p>
      <w:pPr>
        <w:spacing w:after="3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Current Capabilities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Crawling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Headless Playwright browser extracts title, H1, meta, headings, body text, and internal links from up to 3,500 pages. Checkpoint/resume, 4 retries, robots.txt compliant.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Clustering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groups pages by the real consumer question they answer. One cluster = one article topic. Supports Phase 2 deep enrichment (content gaps, journey stage, quality scores per page).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Brief intake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3-screen wizard for any business line. Accepts typed text, PDF upload, DOCX upload, and reference URLs. All sources are assembled into a structured brief block.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Generation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3-pass pipeline: (1) smart source extraction, (2) article writing, (3) self-editing. Output is a structured JSON article with 12+ section types. Renders to 4 Jinja2 HTML templates.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Quality evaluation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Northstar 6-dimension framework scores every article (0–5). Automatically regenerates if score &lt; 3.5. Dimensions: question clarity, content depth, structure, brand voice, replaceability, visual execution.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Templates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 Jinja2 HTML templates: informational (Retail default), transactional (buying guide), longtail (niche/specific), enterprise (B2B corporate). All are fully responsive with JSON-LD structured data.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Library + editing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Card-based article gallery filtered by business line, status, and score. Inline editor: edit metadata, reorder/delete/add sections, save and re-render HTML. No raw HTML required.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AI model options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Supports gpt-4.1 (default), gpt-4.1-mini, gpt-5, o4-mini, o3, and legacy gpt-4o. Automatic API parameter switching between legacy and new model endpoints.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Content Quality Framework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generated article is scored across six dimensions using the Northstar evaluation framework. Scores are 1–5 per dimension with weighted aggregation.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checked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Consumer question clarity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Does the H1 directly state the question? Do the first two paragraphs fully answer it?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Content depth &amp; usefulness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Specific numbers, examples, adjacent questions covered. No generic statements.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Structure &amp; scannability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H2s are questions, bold text carries 80% of value, bullet lists and tables present.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Brand voice &amp; publishability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Knowledgeable-friend tone, active voice, no banned phrases, no filler.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Replaceability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Covers everything the source pages covered. Internal links preserved. 301-redirect ready.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Design &amp; visual execution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Section variety (tables, callouts, expert tips, FAQ accordions), not just text blocks.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Approve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≥ 4.0 overall AND all dimensions ≥ 3.0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Ready for editorial review and publishing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≥ 3.5 overall AND all dimensions ≥ 2.0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Minor fixes needed — goes back to editor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Reject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3.5 overall OR any dimension &lt; 2.0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Auto-regenerated (max 2 attempts)</w:t>
            </w:r>
          </w:p>
        </w:tc>
      </w:tr>
    </w:tbl>
    <w:p>
      <w:pPr>
        <w:spacing w:after="3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This Week’s Build Roadmap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Three parallel workstreams are in progress this week to move from a functional prototype to a polished internal product: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626"/>
        <w:gridCol w:w="12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Product Note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This document. Full product brief for Product, Marketing, and CXOs.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Shared CSS tokens applied across all pages (colour, type, spacing).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UI — Dashboard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Home page with live KPI strip, activity feed, and pipeline health card.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UI — Library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Masonry article grid, fullscreen preview mode, business line filters.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UI — Brief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3-step wizard with live preview panel and AI-assisted key angle suggestions.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UI — Generate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Split view, real-time quality stepper (extraction → edit → eval).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Quality — Pipeline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Mandatory 3-pass pipeline (no skip toggles), publishing thresholds enforced.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Quality — Eval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Expanded evaluation prompt. Structured per-dimension feedback on regen.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Quality — Fidelity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Brief fidelity check: verifies article covers all key angles from the brief.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8"/>
                <w:szCs w:val="18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QA + Clusters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End-to-end test all business lines. Kanban cluster status board.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Content Studio Vision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studio is designed as a 6-layer stack. Layers 1–4 are built and operational. Layers 5–6 are the next horizon.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22ED3"/>
                <w:sz w:val="16"/>
                <w:szCs w:val="16"/>
              </w:rPr>
              <w:t xml:space="preserve">Layer 1</w:t>
            </w:r>
          </w:p>
          <w:p>
            <w:r>
              <w:rPr>
                <w:rFonts w:ascii="Arial" w:cs="Arial" w:eastAsia="Arial" w:hAnsi="Arial"/>
                <w:b/>
                <w:bCs/>
                <w:color w:val="522ED3"/>
                <w:sz w:val="20"/>
                <w:szCs w:val="20"/>
              </w:rPr>
              <w:t xml:space="preserve">Ingestion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Accept content from multiple sources: Playwright crawler, typed brief, PDF/DOCX upload, reference URLs.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Playwright crawler · Brief intake (3-screen wizard) · PDF / DOCX extraction · Reference URL fetch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Layer 2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Intelligence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Group inputs by consumer question. Deep analysis: content gaps, journey stage, priority scoring, deduplication.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clustering · Phase 2 enrichment · Cross-cluster gap analysis · Content priority scoring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Layer 3</w:t>
            </w:r>
          </w:p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Generation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3-pass AI writing pipeline. Business-line tone adaptation. 4 HTML templates.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Smart extraction · Article writing · Self-editing · 4 Jinja2 templates · 8 AI model options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Layer 4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Review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4"/>
                <w:szCs w:val="14"/>
              </w:rPr>
              <w:t xml:space="preserve">BUILT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Northstar quality scoring. Inline section editor. Approval workflow (draft → reviewed → approved).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6-dimension Northstar eval · Inline section editor · Reorder / delete / add sections · Status workflow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Layer 5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Publishing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4"/>
                <w:szCs w:val="14"/>
              </w:rPr>
              <w:t xml:space="preserve">ROADMAP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 approved articles to CMS, validate SEO metadata, map 301 redirects from legacy pages.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CMS API export (WordPress / Contentful) · Canonical + redirect mapping · SEO validation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Layer 6</w:t>
            </w:r>
          </w:p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Memory</w:t>
            </w:r>
          </w:p>
          <w:p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ROADMAP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Track published performance, identify content gaps automatically, schedule refreshes.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GA4 performance import · Topic inventory (covered vs. missing) · Refresh scheduler · Content calendar</w:t>
            </w:r>
          </w:p>
        </w:tc>
      </w:tr>
    </w:tbl>
    <w:p>
      <w:pPr>
        <w:spacing w:after="3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Business Impact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Publishing velocity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Manual production of one quality article: 3-5 hours (research + write + SEO-optimise). With Content Studio: 8-12 minutes end-to-end, including quality evaluation. Editorial review time is the primary remaining variable.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22ED3"/>
                <w:sz w:val="52"/>
                <w:szCs w:val="52"/>
              </w:rPr>
              <w:t xml:space="preserve">25×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Speed increase (vs. manual)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154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Topics ready to generate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52"/>
                <w:szCs w:val="52"/>
              </w:rPr>
              <w:t xml:space="preserve">3,500+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Legacy pages to consolidate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Enterprise articles today (gap)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Content gap coverage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3,500+ legacy pages across car, health, bike, travel, and home insurance — identified and clustered into 154 unique consumer questions.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Zero evergreen Enterprise content exists today — Content Studio can generate the full library from briefs alone, no crawling needed.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Long-tail cluster identification surfaces questions that existing pages answer poorly or not at all.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"/>
              <w:left w:val="single" w:color="059669" w:sz="18"/>
              <w:bottom w:val="single" w:color="059669" w:sz="1"/>
              <w:right w:val="single" w:color="059669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BOTTOM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Content Studio turns a multi-week content production backlog into a 2-day sprint. The editorial team’s role shifts from writing to reviewing, editing, and approving — which is where their judgment adds the most value.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</w:t>
      </w:r>
    </w:p>
    <w:p>
      <w:pPr>
        <w:pBdr>
          <w:bottom w:val="single" w:color="522ED3" w:sz="6"/>
        </w:pBdr>
        <w:spacing w:after="80" w:before="80"/>
      </w:pP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22ED3"/>
          <w:sz w:val="28"/>
          <w:szCs w:val="28"/>
        </w:rPr>
        <w:t xml:space="preserve">A. Article JSON Schema (section types)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type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content_block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Rich HTML paragraph. Every paragraph opens with a &lt;strong&gt;bold lead-in&lt;/strong&gt; (2–6 words).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bullet_list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Scannable list. Each item is &lt;strong&gt;Lead:&lt;/strong&gt; Explanation format.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comparison / table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Feature or plan tier comparison. Renders as a styled HTML table with header row.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faq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Accordion FAQ. Each item has a question (H3) and HTML answer. Adds FAQPage JSON-LD.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steps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Numbered implementation steps. Each step has a title and description paragraph.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expert_tip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Pull-quote callout. Includes author name and title.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callout_info / warning / tip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Highlighted callout box. Info = blue, warning = amber, tip = green.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cta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Call-to-action block. Heading, description, button text and URL (template-specific).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22ED3"/>
          <w:sz w:val="28"/>
          <w:szCs w:val="28"/>
        </w:rPr>
        <w:t xml:space="preserve">B. Template Guide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line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informational.html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Retail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B2C template. Friendly hero, quick answer box, sticky sidebar TOC, purple CTA.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transactional.html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Retail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Buying guide template. CTA-heavy, comparison tables prominent, “Get a Quote” intent.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longtail.html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Long-tail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Compact template (800–1,200 words). No sidebar, tight layout, laser-focused on one question.</w:t>
            </w:r>
          </w:p>
        </w:tc>
      </w:tr>
      <w:tr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enterprise.html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B2B corporate template. Dark navy header, Executive Summary box, IRDAI compliance badge, “Request a Group Quote” CTA.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22ED3"/>
          <w:sz w:val="28"/>
          <w:szCs w:val="28"/>
        </w:rPr>
        <w:t xml:space="preserve">C. AI Model Options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gpt-4.1 (default)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Best balance of speed and quality. Recommended for all standard generation runs.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gpt-4.1-mini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2× faster, ~70% quality. Good for fast drafts or bulk longtail generation.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gpt-5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Highest quality. Use for flagship Enterprise articles or complex multi-source briefs.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o4-mini / o3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Reasoning models. Ideal for evaluation and brief-fidelity checks.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gpt-4o / gpt-4o-mini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Legacy models. Supported but not recommended for new generation runs.</w:t>
            </w:r>
          </w:p>
        </w:tc>
      </w:tr>
    </w:tbl>
    <w:p>
      <w:pPr>
        <w:spacing w:after="320" w:before="0"/>
      </w:pPr>
    </w:p>
    <w:p>
      <w:pPr>
        <w:spacing w:after="0" w:before="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Acko Technology &amp; Services Pvt. Ltd.  ·  Confidential  ·  April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16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160" w:before="0"/>
    </w:pPr>
    <w:r>
      <w:rPr>
        <w:rFonts w:ascii="Arial" w:cs="Arial" w:eastAsia="Arial" w:hAnsi="Arial"/>
        <w:color w:val="64748B"/>
        <w:sz w:val="16"/>
        <w:szCs w:val="16"/>
      </w:rPr>
      <w:t xml:space="preserve">Acko Content Studio  ·  Product Note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22ED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2026-04-23T09:03:20.300Z</dcterms:created>
  <dcterms:modified xsi:type="dcterms:W3CDTF">2026-04-23T09:03:20.304Z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