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2EA344" w14:textId="77F32455" w:rsidR="007911E7" w:rsidRPr="008623A7" w:rsidRDefault="007911E7" w:rsidP="00A75184">
      <w:pPr>
        <w:pStyle w:val="promulgatetitle"/>
        <w:spacing w:beforeLines="50" w:before="211" w:beforeAutospacing="0" w:after="0" w:afterAutospacing="0" w:line="520" w:lineRule="exact"/>
        <w:rPr>
          <w:b w:val="0"/>
          <w:bCs w:val="0"/>
          <w:vanish w:val="0"/>
          <w:sz w:val="32"/>
          <w:szCs w:val="32"/>
        </w:rPr>
      </w:pPr>
      <w:r w:rsidRPr="008623A7">
        <w:rPr>
          <w:rFonts w:hint="eastAsia"/>
          <w:vanish w:val="0"/>
          <w:sz w:val="32"/>
          <w:szCs w:val="32"/>
        </w:rPr>
        <w:t>个体工商户条例（2016修订）</w:t>
      </w:r>
    </w:p>
    <w:p w14:paraId="0704BE0B" w14:textId="17F6D15A" w:rsidR="00983AF9" w:rsidRDefault="00EE2355" w:rsidP="008623A7">
      <w:pPr>
        <w:pStyle w:val="promulgatesubtitle"/>
        <w:spacing w:beforeLines="50" w:before="211" w:after="0" w:line="480" w:lineRule="exact"/>
        <w:ind w:firstLineChars="1100" w:firstLine="2310"/>
        <w:jc w:val="left"/>
        <w:rPr>
          <w:sz w:val="21"/>
          <w:szCs w:val="21"/>
        </w:rPr>
      </w:pPr>
      <w:r w:rsidRPr="00186C4B">
        <w:rPr>
          <w:sz w:val="21"/>
          <w:szCs w:val="21"/>
        </w:rPr>
        <w:t>国务院令第666号</w:t>
      </w:r>
      <w:r w:rsidR="008623A7">
        <w:rPr>
          <w:rFonts w:hint="eastAsia"/>
          <w:sz w:val="21"/>
          <w:szCs w:val="21"/>
        </w:rPr>
        <w:t>（</w:t>
      </w:r>
      <w:r w:rsidRPr="00186C4B">
        <w:rPr>
          <w:sz w:val="21"/>
          <w:szCs w:val="21"/>
        </w:rPr>
        <w:t>生效日期：2016年02月06日</w:t>
      </w:r>
      <w:r w:rsidR="008623A7">
        <w:rPr>
          <w:rFonts w:hint="eastAsia"/>
          <w:sz w:val="21"/>
          <w:szCs w:val="21"/>
        </w:rPr>
        <w:t>）</w:t>
      </w:r>
    </w:p>
    <w:p w14:paraId="1F5B3236" w14:textId="77777777" w:rsidR="00BA40E8" w:rsidRPr="008623A7" w:rsidRDefault="00BA40E8" w:rsidP="00A75184">
      <w:pPr>
        <w:pStyle w:val="doc-a"/>
        <w:spacing w:before="50" w:beforeAutospacing="0" w:line="240" w:lineRule="exact"/>
        <w:ind w:firstLine="0"/>
        <w:rPr>
          <w:sz w:val="24"/>
          <w:szCs w:val="24"/>
        </w:rPr>
      </w:pPr>
    </w:p>
    <w:p w14:paraId="08E1E112" w14:textId="73B02917" w:rsidR="007911E7" w:rsidRPr="00A75184" w:rsidRDefault="007911E7" w:rsidP="00A75184">
      <w:pPr>
        <w:pStyle w:val="11"/>
        <w:spacing w:beforeLines="50" w:before="211" w:beforeAutospacing="0" w:after="0" w:afterAutospacing="0" w:line="480" w:lineRule="exact"/>
        <w:ind w:firstLineChars="200" w:firstLine="420"/>
      </w:pPr>
      <w:bookmarkStart w:id="0" w:name="No226_T68K1X1"/>
      <w:bookmarkEnd w:id="0"/>
      <w:r w:rsidRPr="00A75184">
        <w:rPr>
          <w:rFonts w:hint="eastAsia"/>
        </w:rPr>
        <w:t>（2011年4月16日中华人民共和国国务院令第596号公布</w:t>
      </w:r>
      <w:r w:rsidR="008623A7">
        <w:rPr>
          <w:rFonts w:hint="eastAsia"/>
        </w:rPr>
        <w:t>；</w:t>
      </w:r>
      <w:r w:rsidRPr="00A75184">
        <w:rPr>
          <w:rFonts w:hint="eastAsia"/>
        </w:rPr>
        <w:t>根据2014年2月19日《国务院关于废止和修改部分行政法规的决定》第一次修订</w:t>
      </w:r>
      <w:r w:rsidR="008623A7">
        <w:rPr>
          <w:rFonts w:hint="eastAsia"/>
        </w:rPr>
        <w:t>；</w:t>
      </w:r>
      <w:r w:rsidRPr="00A75184">
        <w:rPr>
          <w:rFonts w:hint="eastAsia"/>
        </w:rPr>
        <w:t>根据2016年2月6日《国务院关于修改部分行政法规的决定》第二次修订）</w:t>
      </w:r>
    </w:p>
    <w:p w14:paraId="3085933E"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第一条</w:t>
      </w:r>
    </w:p>
    <w:p w14:paraId="22A26534"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为了保护个体工商户的合法权益，鼓励、支持和引导个体工商户健康发展，加强对个体工商户的监督、管理，发挥其在经济社会发展和扩大就业中的重要作用，制定本条例。</w:t>
      </w:r>
    </w:p>
    <w:p w14:paraId="2F7A1262"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第二条</w:t>
      </w:r>
    </w:p>
    <w:p w14:paraId="79200F51"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有经营能力的公民，依照本条例规定经工商行政管理部门登记，从事工商业经营的，为个体工商户。</w:t>
      </w:r>
    </w:p>
    <w:p w14:paraId="5DF88ED6"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个体工商户可以个人经营，也可以家庭经营。</w:t>
      </w:r>
    </w:p>
    <w:p w14:paraId="238C7DB0"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个体工商户的合法权益受法律保护，任何单位和个人不得侵害。</w:t>
      </w:r>
    </w:p>
    <w:p w14:paraId="5FBE8986"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第三条</w:t>
      </w:r>
    </w:p>
    <w:p w14:paraId="2BAEC98D"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县、自治县、不设区的市、市辖区工商行政管理部门为个体工商户的登记机关（以下简称登记机关）。登记机关按照国务院工商行政管理部门的规定，可以委托其下属工商行政管理所办理个体工商户登记。</w:t>
      </w:r>
    </w:p>
    <w:p w14:paraId="6B76E0F7"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第四条</w:t>
      </w:r>
    </w:p>
    <w:p w14:paraId="4AA14D27"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国家对个体工商户实行市场平等准入、公平待遇的原则。</w:t>
      </w:r>
    </w:p>
    <w:p w14:paraId="2919C0E3"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申请办理个体工商户登记，申请登记的经营范围不属于法律、行政法规禁止进入的行业的，登记机关应当依法予以登记。</w:t>
      </w:r>
    </w:p>
    <w:p w14:paraId="5C0997A2"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第五条</w:t>
      </w:r>
    </w:p>
    <w:p w14:paraId="770B1384"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lastRenderedPageBreak/>
        <w:t>工商行政管理部门和县级以上人民政府其他有关部门应当依法对个体工商户实行监督和管理。</w:t>
      </w:r>
    </w:p>
    <w:p w14:paraId="7EF89DD8"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个体工商户从事经营活动，应当遵守法律、法规，遵守社会公德、商业道德，诚实守信，接受政府及其有关部门依法实施的监督。</w:t>
      </w:r>
    </w:p>
    <w:p w14:paraId="22CC6114"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第六条</w:t>
      </w:r>
    </w:p>
    <w:p w14:paraId="15B50E9D"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地方各级人民政府和县级以上人民政府有关部门应当采取措施，在经营场所、创业和职业技能培训、职业技能鉴定、技术创新、参加社会保险等方面，为个体工商户提供支持、便利和信息咨询等服务。</w:t>
      </w:r>
    </w:p>
    <w:p w14:paraId="5DFE6869"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第七条</w:t>
      </w:r>
    </w:p>
    <w:p w14:paraId="03F87A03"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依法成立的个体劳动者协会在工商行政管理部门指导下，为个体工商户提供服务，维护个体工商户合法权益，引导个体工商户诚信自律。</w:t>
      </w:r>
    </w:p>
    <w:p w14:paraId="6E6D6DD9"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个体工商户自愿加入个体劳动者协会。</w:t>
      </w:r>
    </w:p>
    <w:p w14:paraId="771C16D7"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第八条</w:t>
      </w:r>
    </w:p>
    <w:p w14:paraId="0BA51D6F"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申请登记为个体工商户，应当向经营场所所在地登记机关申请注册登记。申请人应当提交登记申请书、身份证明和经营场所证明。</w:t>
      </w:r>
    </w:p>
    <w:p w14:paraId="5866F162"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个体工商户登记事项包括经营者姓名和住所、组成形式、经营范围、经营场所。个体工商户使用名称的，名称作为登记事项。</w:t>
      </w:r>
    </w:p>
    <w:p w14:paraId="00471013"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第九条</w:t>
      </w:r>
    </w:p>
    <w:p w14:paraId="414069B7"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登记机关对申请材料依法审查后，按照下列规定办理：</w:t>
      </w:r>
    </w:p>
    <w:p w14:paraId="5F246FE4"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（一）申请材料齐全、符合法定形式的，当场予以登记；申请材料不齐全或者不符合法定形</w:t>
      </w:r>
      <w:proofErr w:type="gramStart"/>
      <w:r w:rsidRPr="00A75184">
        <w:rPr>
          <w:rFonts w:hint="eastAsia"/>
        </w:rPr>
        <w:t>式要求</w:t>
      </w:r>
      <w:proofErr w:type="gramEnd"/>
      <w:r w:rsidRPr="00A75184">
        <w:rPr>
          <w:rFonts w:hint="eastAsia"/>
        </w:rPr>
        <w:t>的，当场告知申请人需要补正的全部内容。</w:t>
      </w:r>
    </w:p>
    <w:p w14:paraId="13E560F6"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（二）需要对申请材料的实质性内容进行核实的，依法进行核查，并自受理申请之日起15日内</w:t>
      </w:r>
      <w:proofErr w:type="gramStart"/>
      <w:r w:rsidRPr="00A75184">
        <w:rPr>
          <w:rFonts w:hint="eastAsia"/>
        </w:rPr>
        <w:t>作出</w:t>
      </w:r>
      <w:proofErr w:type="gramEnd"/>
      <w:r w:rsidRPr="00A75184">
        <w:rPr>
          <w:rFonts w:hint="eastAsia"/>
        </w:rPr>
        <w:t>是否予以登记的决定。</w:t>
      </w:r>
    </w:p>
    <w:p w14:paraId="61C57CC1"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lastRenderedPageBreak/>
        <w:t>（三）不符合个体工商户登记条件的，不予登记并书面告知申请人，说明理由，告知申请人有权依法申请行政复议、提起行政诉讼。</w:t>
      </w:r>
    </w:p>
    <w:p w14:paraId="704FEB93"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予以注册登记的，登记机关应当自登记之日起10日内发给营业执照。</w:t>
      </w:r>
    </w:p>
    <w:p w14:paraId="450D6315"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国家推行电子营业执照。电子营业执照与纸质营业执照具有同等法律效力。</w:t>
      </w:r>
    </w:p>
    <w:p w14:paraId="2D9F000F"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第十条</w:t>
      </w:r>
    </w:p>
    <w:p w14:paraId="47D21AB6"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个体工商户登记事项变更的，应当向登记机关申请办理变更登记。</w:t>
      </w:r>
    </w:p>
    <w:p w14:paraId="62579B18"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个体工商户变更经营者的，应当在办理注销登记后，由新的经营者重新申请办理注册登记。家庭经营的个体工商户在家庭成员间变更经营者的，依照前款规定办理变更手续。</w:t>
      </w:r>
    </w:p>
    <w:p w14:paraId="55E5E5E6"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第十一条</w:t>
      </w:r>
    </w:p>
    <w:p w14:paraId="6FB17DE5"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申请注册登记或者变更登记的登记事项属于依法须取得行政许可的，应当向登记机关提交许可证明。</w:t>
      </w:r>
    </w:p>
    <w:p w14:paraId="0737B620"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第十二条</w:t>
      </w:r>
    </w:p>
    <w:p w14:paraId="7F52ADE2"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个体工商户不再从事经营活动的，应当到登记机关办理注销登记。</w:t>
      </w:r>
    </w:p>
    <w:p w14:paraId="21E5A326"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第十三条</w:t>
      </w:r>
    </w:p>
    <w:p w14:paraId="01B0BFF3"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个体工商户应当于每年1月1日至6月30日，向登记机关报送年度报告。</w:t>
      </w:r>
    </w:p>
    <w:p w14:paraId="74C08A44"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个体工商户应当对其年度报告的真实性、合法性负责。</w:t>
      </w:r>
    </w:p>
    <w:p w14:paraId="19854D5E"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个体工商户年度报告办法由国务院工商行政管理部门制定。</w:t>
      </w:r>
    </w:p>
    <w:p w14:paraId="29F5C087"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第十四条</w:t>
      </w:r>
    </w:p>
    <w:p w14:paraId="53E7C96B"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登记机关将未按照规定履行年度报告义务的个体工商户载入经营异常名录，并在企业信用信息公示系统上向社会公示。</w:t>
      </w:r>
    </w:p>
    <w:p w14:paraId="7E26E78F"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第十五条</w:t>
      </w:r>
    </w:p>
    <w:p w14:paraId="358E430C"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登记机关接收个体工商户年度报告和抽查不得收取任何费用。</w:t>
      </w:r>
    </w:p>
    <w:p w14:paraId="2DAF04FE"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lastRenderedPageBreak/>
        <w:t>第十六条</w:t>
      </w:r>
    </w:p>
    <w:p w14:paraId="2E5F51C0"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登记机关和有关行政机关应当在其政府网站和办公场所，以便于公众知晓的方式公布个体工商户申请登记和行政许可的条件、程序、期限、需要提交的全部材料目录和收费标准等事项。</w:t>
      </w:r>
    </w:p>
    <w:p w14:paraId="19D0058C"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登记机关和有关行政机关应当为申请人申请行政许可和办理登记提供指导和查询服务。</w:t>
      </w:r>
    </w:p>
    <w:p w14:paraId="5C719AAF"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第十七条</w:t>
      </w:r>
    </w:p>
    <w:p w14:paraId="0D4808B7"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个体工商户在领取营业执照后，应当依法办理税务登记。</w:t>
      </w:r>
    </w:p>
    <w:p w14:paraId="1F82FF7E"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个体工商户税务登记内容发生变化的，应当依法办理变更或者注销税务登记。</w:t>
      </w:r>
    </w:p>
    <w:p w14:paraId="7F904249"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第十八条</w:t>
      </w:r>
    </w:p>
    <w:p w14:paraId="5C4BEF97"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任何部门和单位不得向个体工商户集资、摊派，不得强行要求个体工商户提供赞助或者接受有偿服务。</w:t>
      </w:r>
    </w:p>
    <w:p w14:paraId="68336478"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第十九条</w:t>
      </w:r>
    </w:p>
    <w:p w14:paraId="16A25006"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地方各级人民政府应当将个体工商户所需生产经营场地纳入城乡建设规划，统筹安排。</w:t>
      </w:r>
    </w:p>
    <w:p w14:paraId="6BE4B664"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个体工商户经批准使用的经营场地，任何单位和个人不得侵占。</w:t>
      </w:r>
    </w:p>
    <w:p w14:paraId="40360DB8"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第二十条</w:t>
      </w:r>
    </w:p>
    <w:p w14:paraId="74B91B31"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个体工商户可以凭营业执照及税务登记证明，依法在银行或者其他金融机构开立账户，申请贷款。</w:t>
      </w:r>
    </w:p>
    <w:p w14:paraId="7C550E59"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金融机构应当改进和完善金融服务，为个体工商户申请贷款提供便利。</w:t>
      </w:r>
    </w:p>
    <w:p w14:paraId="66146DBB"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第二十一条</w:t>
      </w:r>
    </w:p>
    <w:p w14:paraId="38C29373"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个体工商户可以根据经营需要招用从业人员。</w:t>
      </w:r>
    </w:p>
    <w:p w14:paraId="1B9F6790"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个体工商户应当依法与招用的从业人员订立劳动合同，履行法律、行政法规规定和合同约定的义务，不得侵害从业人员的合法权益。</w:t>
      </w:r>
    </w:p>
    <w:p w14:paraId="4D54CF69"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第二十二条</w:t>
      </w:r>
    </w:p>
    <w:p w14:paraId="49A5CFA7"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lastRenderedPageBreak/>
        <w:t>个体工商户提交虚假材料骗取注册登记，或者伪造、涂改、出租、出借、转让营业执照的，由登记机关责令改正，处4000元以下的罚款；情节严重的，撤销注册登记或者吊销营业执照。</w:t>
      </w:r>
    </w:p>
    <w:p w14:paraId="791C11B5"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第二十三条</w:t>
      </w:r>
    </w:p>
    <w:p w14:paraId="44E03701"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个体工商户登记事项变更，未办理变更登记的，由登记机关责令改正，处1500元以下的罚款；情节严重的，吊销营业执照。</w:t>
      </w:r>
    </w:p>
    <w:p w14:paraId="68AAEAB7"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个体工商户未办理税务登记的，由税务机关责令限期改正；逾期未改正的，经税务机关提请，由登记机关吊销营业执照。</w:t>
      </w:r>
    </w:p>
    <w:p w14:paraId="7FFB6803"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第二十四条</w:t>
      </w:r>
    </w:p>
    <w:p w14:paraId="6AD22CC1"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在个体工商户营业执照有效期内，有关行政机关依法吊销、撤销个体工商户的行政许可，或者行政许可有效期届满的，应当自吊销、撤销行政许可或者行政许可有效期届满之日起5个工作日内通知登记机关，由登记机关撤销注册登记或者吊销营业执照，或者责令当事人依法办理变更登记。</w:t>
      </w:r>
    </w:p>
    <w:p w14:paraId="1C0BD716"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第二十五条</w:t>
      </w:r>
    </w:p>
    <w:p w14:paraId="0D471AEC"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工商行政管理部门以及其他有关部门应当加强个体工商户管理工作的信息交流，逐步建立个体工商户管理信息系统。</w:t>
      </w:r>
    </w:p>
    <w:p w14:paraId="7BE07E7C"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第二十六条</w:t>
      </w:r>
    </w:p>
    <w:p w14:paraId="6E61686F"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工商行政管理部门以及其他有关部门的工作人员，滥用职权、徇私舞弊、收受贿赂或者侵害个体工商户合法权益的，依法给予处分；构成犯罪的，依法追究刑事责任。</w:t>
      </w:r>
    </w:p>
    <w:p w14:paraId="29F0613D"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第二十七条</w:t>
      </w:r>
    </w:p>
    <w:p w14:paraId="05CF1ED4"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香港特别行政区、澳门特别行政区永久性居民中的中国公民，台湾地区居民可以按照国家有关规定，申请登记为个体工商户。</w:t>
      </w:r>
    </w:p>
    <w:p w14:paraId="75DE714C"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t>第二十八条</w:t>
      </w:r>
    </w:p>
    <w:p w14:paraId="71AD58FB"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个体工商户申请转变为企业组织形式，符合法定条件的，登记机关和有关行政机关应当为其提供便利。</w:t>
      </w:r>
    </w:p>
    <w:p w14:paraId="223B9670"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r w:rsidRPr="00A75184">
        <w:rPr>
          <w:rStyle w:val="sect2title1"/>
          <w:rFonts w:hint="default"/>
          <w:b w:val="0"/>
        </w:rPr>
        <w:lastRenderedPageBreak/>
        <w:t>第二十九条</w:t>
      </w:r>
    </w:p>
    <w:p w14:paraId="630706E6" w14:textId="77777777" w:rsidR="00E4508E" w:rsidRPr="00A75184" w:rsidRDefault="007911E7" w:rsidP="00A75184">
      <w:pPr>
        <w:pStyle w:val="11"/>
        <w:spacing w:beforeLines="50" w:before="211" w:beforeAutospacing="0" w:after="0" w:afterAutospacing="0" w:line="480" w:lineRule="exact"/>
        <w:ind w:firstLineChars="200" w:firstLine="420"/>
      </w:pPr>
      <w:r w:rsidRPr="00A75184">
        <w:rPr>
          <w:rFonts w:hint="eastAsia"/>
        </w:rPr>
        <w:t>无固定经营场所摊贩的管理办法，由省、自治区、直辖市人民政府根据当地实际情况规定。</w:t>
      </w:r>
    </w:p>
    <w:p w14:paraId="1FA098F2" w14:textId="77777777" w:rsidR="007911E7" w:rsidRPr="00A75184" w:rsidRDefault="007911E7" w:rsidP="00DF5DD3">
      <w:pPr>
        <w:pStyle w:val="a9"/>
        <w:spacing w:beforeLines="50" w:before="211" w:beforeAutospacing="0" w:after="0" w:afterAutospacing="0" w:line="480" w:lineRule="exact"/>
        <w:ind w:firstLineChars="200" w:firstLine="420"/>
        <w:rPr>
          <w:rFonts w:ascii="微软雅黑" w:eastAsia="微软雅黑" w:hAnsi="微软雅黑"/>
          <w:sz w:val="21"/>
          <w:szCs w:val="21"/>
        </w:rPr>
      </w:pPr>
      <w:bookmarkStart w:id="1" w:name="No62_Z2J1T13"/>
      <w:bookmarkEnd w:id="1"/>
      <w:r w:rsidRPr="00A75184">
        <w:rPr>
          <w:rStyle w:val="sect2title1"/>
          <w:rFonts w:hint="default"/>
          <w:b w:val="0"/>
        </w:rPr>
        <w:t>第三十条</w:t>
      </w:r>
    </w:p>
    <w:p w14:paraId="6F184B43" w14:textId="77777777" w:rsidR="00E4508E" w:rsidRPr="00A75184" w:rsidRDefault="007911E7" w:rsidP="00A75184">
      <w:pPr>
        <w:pStyle w:val="11"/>
        <w:spacing w:beforeLines="50" w:before="211" w:beforeAutospacing="0" w:after="0" w:afterAutospacing="0" w:line="480" w:lineRule="exact"/>
        <w:ind w:firstLineChars="200" w:firstLine="420"/>
      </w:pPr>
      <w:bookmarkStart w:id="2" w:name="No229_Z3J1T68K2"/>
      <w:bookmarkEnd w:id="2"/>
      <w:r w:rsidRPr="00A75184">
        <w:rPr>
          <w:rFonts w:hint="eastAsia"/>
        </w:rPr>
        <w:t>本条例自2011年11月1日起施行。1987年8月5日国务院发布的《城乡个体工商户管理暂行条例》同时废止。</w:t>
      </w:r>
      <w:bookmarkStart w:id="3" w:name="No230_Z3J1T69"/>
      <w:bookmarkEnd w:id="3"/>
    </w:p>
    <w:sectPr w:rsidR="00E4508E" w:rsidRPr="00A75184" w:rsidSect="000C10B9">
      <w:headerReference w:type="default" r:id="rId8"/>
      <w:footerReference w:type="even" r:id="rId9"/>
      <w:footerReference w:type="default" r:id="rId10"/>
      <w:pgSz w:w="11900" w:h="16840"/>
      <w:pgMar w:top="1440" w:right="1080" w:bottom="1440" w:left="1080" w:header="850" w:footer="992" w:gutter="0"/>
      <w:pgNumType w:start="1"/>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3F32AF" w14:textId="77777777" w:rsidR="00C47A01" w:rsidRDefault="00C47A01" w:rsidP="0058105E">
      <w:r>
        <w:separator/>
      </w:r>
    </w:p>
  </w:endnote>
  <w:endnote w:type="continuationSeparator" w:id="0">
    <w:p w14:paraId="63451B41" w14:textId="77777777" w:rsidR="00C47A01" w:rsidRDefault="00C47A01" w:rsidP="00581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08974F" w14:textId="77777777" w:rsidR="00BE2026" w:rsidRDefault="00BE2026" w:rsidP="002C39FF">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65A1A4A3" w14:textId="77777777" w:rsidR="00E709D0" w:rsidRDefault="00E709D0" w:rsidP="002C39FF">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0535F3A2" w14:textId="77777777" w:rsidR="00E709D0" w:rsidRDefault="00E709D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08D01" w14:textId="77777777" w:rsidR="00BE2026" w:rsidRDefault="00BE2026" w:rsidP="00D83979">
    <w:pPr>
      <w:pStyle w:val="a5"/>
      <w:framePr w:wrap="none" w:vAnchor="text" w:hAnchor="page" w:x="5782" w:y="-101"/>
      <w:rPr>
        <w:rStyle w:val="a7"/>
      </w:rPr>
    </w:pPr>
    <w:r>
      <w:rPr>
        <w:rStyle w:val="a7"/>
      </w:rPr>
      <w:fldChar w:fldCharType="begin"/>
    </w:r>
    <w:r>
      <w:rPr>
        <w:rStyle w:val="a7"/>
      </w:rPr>
      <w:instrText xml:space="preserve">PAGE  </w:instrText>
    </w:r>
    <w:r>
      <w:rPr>
        <w:rStyle w:val="a7"/>
      </w:rPr>
      <w:fldChar w:fldCharType="separate"/>
    </w:r>
    <w:r w:rsidR="008460F3">
      <w:rPr>
        <w:rStyle w:val="a7"/>
        <w:noProof/>
      </w:rPr>
      <w:t>1</w:t>
    </w:r>
    <w:r>
      <w:rPr>
        <w:rStyle w:val="a7"/>
      </w:rPr>
      <w:fldChar w:fldCharType="end"/>
    </w:r>
  </w:p>
  <w:p w14:paraId="71AE3561" w14:textId="77777777" w:rsidR="00BE2026" w:rsidRDefault="00BE202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F5F2A3" w14:textId="77777777" w:rsidR="00C47A01" w:rsidRDefault="00C47A01" w:rsidP="0058105E">
      <w:r>
        <w:separator/>
      </w:r>
    </w:p>
  </w:footnote>
  <w:footnote w:type="continuationSeparator" w:id="0">
    <w:p w14:paraId="321F80D0" w14:textId="77777777" w:rsidR="00C47A01" w:rsidRDefault="00C47A01" w:rsidP="00581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0A06C7" w14:textId="074C8500" w:rsidR="00BE2026" w:rsidRDefault="00D11FA0" w:rsidP="00BE2026">
    <w:pPr>
      <w:pStyle w:val="a3"/>
      <w:pBdr>
        <w:bottom w:val="single" w:sz="4" w:space="1" w:color="auto"/>
      </w:pBdr>
    </w:pPr>
    <w:r>
      <w:rPr>
        <w:noProof/>
      </w:rPr>
      <w:drawing>
        <wp:inline distT="0" distB="0" distL="0" distR="0" wp14:anchorId="1D9710B1" wp14:editId="476818E9">
          <wp:extent cx="1800002" cy="408548"/>
          <wp:effectExtent l="0" t="0" r="0" b="0"/>
          <wp:docPr id="1073741825" name="officeArt object" descr="Alpha-logo-typeface-orange.png"/>
          <wp:cNvGraphicFramePr/>
          <a:graphic xmlns:a="http://schemas.openxmlformats.org/drawingml/2006/main">
            <a:graphicData uri="http://schemas.openxmlformats.org/drawingml/2006/picture">
              <pic:pic xmlns:pic="http://schemas.openxmlformats.org/drawingml/2006/picture">
                <pic:nvPicPr>
                  <pic:cNvPr id="1073741825" name="Alpha-logo-typeface-orange.png" descr="Alpha-logo-typeface-orange.png"/>
                  <pic:cNvPicPr>
                    <a:picLocks noChangeAspect="1"/>
                  </pic:cNvPicPr>
                </pic:nvPicPr>
                <pic:blipFill>
                  <a:blip r:embed="rId1"/>
                  <a:srcRect l="3" t="39474" r="2551" b="38407"/>
                  <a:stretch>
                    <a:fillRect/>
                  </a:stretch>
                </pic:blipFill>
                <pic:spPr>
                  <a:xfrm>
                    <a:off x="0" y="0"/>
                    <a:ext cx="1800002" cy="408548"/>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15D77"/>
    <w:multiLevelType w:val="hybridMultilevel"/>
    <w:tmpl w:val="A04E6BF2"/>
    <w:lvl w:ilvl="0" w:tplc="19F661A6">
      <w:start w:val="1"/>
      <w:numFmt w:val="japaneseCounting"/>
      <w:lvlText w:val="第%1节"/>
      <w:lvlJc w:val="left"/>
      <w:pPr>
        <w:ind w:left="740" w:hanging="74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proofState w:spelling="clean" w:grammar="clean"/>
  <w:defaultTabStop w:val="420"/>
  <w:drawingGridHorizontalSpacing w:val="120"/>
  <w:drawingGridVerticalSpacing w:val="423"/>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05E"/>
    <w:rsid w:val="00011E08"/>
    <w:rsid w:val="00014794"/>
    <w:rsid w:val="00023491"/>
    <w:rsid w:val="00055661"/>
    <w:rsid w:val="000838AC"/>
    <w:rsid w:val="000C10B9"/>
    <w:rsid w:val="00155379"/>
    <w:rsid w:val="0017262F"/>
    <w:rsid w:val="00182C03"/>
    <w:rsid w:val="00186C4B"/>
    <w:rsid w:val="0019779C"/>
    <w:rsid w:val="001A42BB"/>
    <w:rsid w:val="001B24CE"/>
    <w:rsid w:val="001B2E08"/>
    <w:rsid w:val="001D0531"/>
    <w:rsid w:val="001D686D"/>
    <w:rsid w:val="002A2902"/>
    <w:rsid w:val="002C39FF"/>
    <w:rsid w:val="002D5D85"/>
    <w:rsid w:val="002F167B"/>
    <w:rsid w:val="00315774"/>
    <w:rsid w:val="003309EA"/>
    <w:rsid w:val="003458E8"/>
    <w:rsid w:val="00357CE9"/>
    <w:rsid w:val="00374CB2"/>
    <w:rsid w:val="00376810"/>
    <w:rsid w:val="00383B57"/>
    <w:rsid w:val="003B262C"/>
    <w:rsid w:val="003B4437"/>
    <w:rsid w:val="003C10FA"/>
    <w:rsid w:val="003D3437"/>
    <w:rsid w:val="003D5198"/>
    <w:rsid w:val="003F7DB5"/>
    <w:rsid w:val="00405BE7"/>
    <w:rsid w:val="00406A7C"/>
    <w:rsid w:val="00413553"/>
    <w:rsid w:val="00421888"/>
    <w:rsid w:val="00446D77"/>
    <w:rsid w:val="00467D9B"/>
    <w:rsid w:val="00475DC8"/>
    <w:rsid w:val="004B4872"/>
    <w:rsid w:val="004F13D2"/>
    <w:rsid w:val="0050753C"/>
    <w:rsid w:val="0055454B"/>
    <w:rsid w:val="0058105E"/>
    <w:rsid w:val="00581CC2"/>
    <w:rsid w:val="005A545E"/>
    <w:rsid w:val="005D2A44"/>
    <w:rsid w:val="005D6387"/>
    <w:rsid w:val="005E1E7E"/>
    <w:rsid w:val="005E4537"/>
    <w:rsid w:val="005E6D11"/>
    <w:rsid w:val="005F302E"/>
    <w:rsid w:val="00647249"/>
    <w:rsid w:val="0067413F"/>
    <w:rsid w:val="00674271"/>
    <w:rsid w:val="00681022"/>
    <w:rsid w:val="00686367"/>
    <w:rsid w:val="006864EA"/>
    <w:rsid w:val="00687F70"/>
    <w:rsid w:val="0069459A"/>
    <w:rsid w:val="00695BBA"/>
    <w:rsid w:val="006B4B40"/>
    <w:rsid w:val="006C1E70"/>
    <w:rsid w:val="006C2F31"/>
    <w:rsid w:val="006C3857"/>
    <w:rsid w:val="006E374D"/>
    <w:rsid w:val="00701E2A"/>
    <w:rsid w:val="0071172E"/>
    <w:rsid w:val="00762164"/>
    <w:rsid w:val="007729AE"/>
    <w:rsid w:val="007756F7"/>
    <w:rsid w:val="007902D8"/>
    <w:rsid w:val="007911E7"/>
    <w:rsid w:val="00791FE7"/>
    <w:rsid w:val="00795EF7"/>
    <w:rsid w:val="007A21E7"/>
    <w:rsid w:val="007F7F4A"/>
    <w:rsid w:val="00805D1F"/>
    <w:rsid w:val="008157A1"/>
    <w:rsid w:val="008460F3"/>
    <w:rsid w:val="00846EED"/>
    <w:rsid w:val="008623A7"/>
    <w:rsid w:val="008770F6"/>
    <w:rsid w:val="008A0D66"/>
    <w:rsid w:val="008B30B1"/>
    <w:rsid w:val="008E22F9"/>
    <w:rsid w:val="008F7C89"/>
    <w:rsid w:val="00911F3F"/>
    <w:rsid w:val="009121D8"/>
    <w:rsid w:val="009260CB"/>
    <w:rsid w:val="00950CBB"/>
    <w:rsid w:val="00963F94"/>
    <w:rsid w:val="00966E87"/>
    <w:rsid w:val="00983AF9"/>
    <w:rsid w:val="009D7F36"/>
    <w:rsid w:val="009F0946"/>
    <w:rsid w:val="009F1EAF"/>
    <w:rsid w:val="00A07EE7"/>
    <w:rsid w:val="00A23C07"/>
    <w:rsid w:val="00A5155E"/>
    <w:rsid w:val="00A6261D"/>
    <w:rsid w:val="00A67A2B"/>
    <w:rsid w:val="00A75184"/>
    <w:rsid w:val="00A7683F"/>
    <w:rsid w:val="00AD29DF"/>
    <w:rsid w:val="00B26EB6"/>
    <w:rsid w:val="00B33D8B"/>
    <w:rsid w:val="00B42D0D"/>
    <w:rsid w:val="00B45CD8"/>
    <w:rsid w:val="00B94875"/>
    <w:rsid w:val="00BA40E8"/>
    <w:rsid w:val="00BB260D"/>
    <w:rsid w:val="00BB56F9"/>
    <w:rsid w:val="00BE2026"/>
    <w:rsid w:val="00BE618D"/>
    <w:rsid w:val="00C47A01"/>
    <w:rsid w:val="00CB0C3C"/>
    <w:rsid w:val="00D11826"/>
    <w:rsid w:val="00D11FA0"/>
    <w:rsid w:val="00D21CC8"/>
    <w:rsid w:val="00D350CF"/>
    <w:rsid w:val="00D429FF"/>
    <w:rsid w:val="00D707CE"/>
    <w:rsid w:val="00D83979"/>
    <w:rsid w:val="00D87B1D"/>
    <w:rsid w:val="00D9483C"/>
    <w:rsid w:val="00DB3F75"/>
    <w:rsid w:val="00DD4082"/>
    <w:rsid w:val="00DD6EBA"/>
    <w:rsid w:val="00DF5DD3"/>
    <w:rsid w:val="00E16E7C"/>
    <w:rsid w:val="00E20705"/>
    <w:rsid w:val="00E367EF"/>
    <w:rsid w:val="00E4508E"/>
    <w:rsid w:val="00E519E7"/>
    <w:rsid w:val="00E62A39"/>
    <w:rsid w:val="00E6789D"/>
    <w:rsid w:val="00E709D0"/>
    <w:rsid w:val="00E9315A"/>
    <w:rsid w:val="00E93E4A"/>
    <w:rsid w:val="00EE2355"/>
    <w:rsid w:val="00F15993"/>
    <w:rsid w:val="00F42084"/>
    <w:rsid w:val="00F47B0B"/>
    <w:rsid w:val="00F63D38"/>
    <w:rsid w:val="00F6559B"/>
    <w:rsid w:val="00FA04AF"/>
    <w:rsid w:val="00FD2CD5"/>
    <w:rsid w:val="00FD7099"/>
    <w:rsid w:val="00FE1BFB"/>
    <w:rsid w:val="00FF6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B08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7911E7"/>
    <w:rPr>
      <w:rFonts w:ascii="宋体" w:eastAsia="宋体" w:hAnsi="宋体" w:cs="宋体"/>
      <w:kern w:val="0"/>
    </w:rPr>
  </w:style>
  <w:style w:type="paragraph" w:styleId="1">
    <w:name w:val="heading 1"/>
    <w:basedOn w:val="a"/>
    <w:link w:val="10"/>
    <w:uiPriority w:val="9"/>
    <w:qFormat/>
    <w:rsid w:val="007911E7"/>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6864E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E235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a2">
    <w:name w:val="No List"/>
    <w:uiPriority w:val="99"/>
    <w:semiHidden/>
    <w:unhideWhenUsed/>
  </w:style>
  <w:style w:type="paragraph" w:styleId="a3">
    <w:name w:val="header"/>
    <w:basedOn w:val="a"/>
    <w:link w:val="a4"/>
    <w:uiPriority w:val="99"/>
    <w:unhideWhenUsed/>
    <w:rsid w:val="0058105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8105E"/>
    <w:rPr>
      <w:sz w:val="18"/>
      <w:szCs w:val="18"/>
    </w:rPr>
  </w:style>
  <w:style w:type="paragraph" w:styleId="a5">
    <w:name w:val="footer"/>
    <w:basedOn w:val="a"/>
    <w:link w:val="a6"/>
    <w:uiPriority w:val="99"/>
    <w:unhideWhenUsed/>
    <w:rsid w:val="0058105E"/>
    <w:pPr>
      <w:tabs>
        <w:tab w:val="center" w:pos="4153"/>
        <w:tab w:val="right" w:pos="8306"/>
      </w:tabs>
      <w:snapToGrid w:val="0"/>
    </w:pPr>
    <w:rPr>
      <w:sz w:val="18"/>
      <w:szCs w:val="18"/>
    </w:rPr>
  </w:style>
  <w:style w:type="character" w:customStyle="1" w:styleId="a6">
    <w:name w:val="页脚 字符"/>
    <w:basedOn w:val="a0"/>
    <w:link w:val="a5"/>
    <w:uiPriority w:val="99"/>
    <w:rsid w:val="0058105E"/>
    <w:rPr>
      <w:sz w:val="18"/>
      <w:szCs w:val="18"/>
    </w:rPr>
  </w:style>
  <w:style w:type="character" w:styleId="a7">
    <w:name w:val="page number"/>
    <w:basedOn w:val="a0"/>
    <w:uiPriority w:val="99"/>
    <w:semiHidden/>
    <w:unhideWhenUsed/>
    <w:rsid w:val="00E709D0"/>
  </w:style>
  <w:style w:type="character" w:customStyle="1" w:styleId="10">
    <w:name w:val="标题 1 字符"/>
    <w:basedOn w:val="a0"/>
    <w:link w:val="1"/>
    <w:uiPriority w:val="9"/>
    <w:rsid w:val="007911E7"/>
    <w:rPr>
      <w:rFonts w:ascii="宋体" w:eastAsia="宋体" w:hAnsi="宋体" w:cs="宋体"/>
      <w:b/>
      <w:bCs/>
      <w:kern w:val="36"/>
      <w:sz w:val="48"/>
      <w:szCs w:val="48"/>
    </w:rPr>
  </w:style>
  <w:style w:type="character" w:styleId="a8">
    <w:name w:val="Hyperlink"/>
    <w:basedOn w:val="a0"/>
    <w:uiPriority w:val="99"/>
    <w:unhideWhenUsed/>
    <w:rsid w:val="007911E7"/>
    <w:rPr>
      <w:strike w:val="0"/>
      <w:dstrike w:val="0"/>
      <w:color w:val="0000FF"/>
      <w:u w:val="none"/>
      <w:effect w:val="none"/>
    </w:rPr>
  </w:style>
  <w:style w:type="paragraph" w:styleId="a9">
    <w:name w:val="Normal (Web)"/>
    <w:basedOn w:val="a"/>
    <w:uiPriority w:val="99"/>
    <w:unhideWhenUsed/>
    <w:rsid w:val="007911E7"/>
    <w:pPr>
      <w:spacing w:before="100" w:beforeAutospacing="1" w:after="100" w:afterAutospacing="1"/>
    </w:pPr>
  </w:style>
  <w:style w:type="paragraph" w:customStyle="1" w:styleId="doc-a">
    <w:name w:val="doc-a"/>
    <w:basedOn w:val="a"/>
    <w:rsid w:val="007911E7"/>
    <w:pPr>
      <w:spacing w:before="100" w:beforeAutospacing="1" w:after="100" w:afterAutospacing="1"/>
      <w:ind w:firstLine="480"/>
    </w:pPr>
    <w:rPr>
      <w:rFonts w:ascii="微软雅黑" w:eastAsia="微软雅黑" w:hAnsi="微软雅黑"/>
      <w:sz w:val="21"/>
      <w:szCs w:val="21"/>
    </w:rPr>
  </w:style>
  <w:style w:type="paragraph" w:customStyle="1" w:styleId="cnsubtitle">
    <w:name w:val="cnsubtitle"/>
    <w:basedOn w:val="a"/>
    <w:uiPriority w:val="99"/>
    <w:semiHidden/>
    <w:rsid w:val="007911E7"/>
    <w:pPr>
      <w:spacing w:before="315" w:after="315" w:line="300" w:lineRule="exact"/>
    </w:pPr>
    <w:rPr>
      <w:rFonts w:ascii="微软雅黑" w:eastAsia="微软雅黑" w:hAnsi="微软雅黑"/>
      <w:sz w:val="21"/>
      <w:szCs w:val="21"/>
    </w:rPr>
  </w:style>
  <w:style w:type="paragraph" w:customStyle="1" w:styleId="cntitle">
    <w:name w:val="cntitle"/>
    <w:basedOn w:val="a"/>
    <w:uiPriority w:val="99"/>
    <w:semiHidden/>
    <w:rsid w:val="007911E7"/>
    <w:pPr>
      <w:spacing w:before="150" w:after="150"/>
      <w:ind w:left="150" w:right="150"/>
      <w:jc w:val="center"/>
    </w:pPr>
    <w:rPr>
      <w:rFonts w:ascii="微软雅黑" w:eastAsia="微软雅黑" w:hAnsi="微软雅黑"/>
      <w:b/>
      <w:bCs/>
      <w:vanish/>
    </w:rPr>
  </w:style>
  <w:style w:type="paragraph" w:customStyle="1" w:styleId="promulgatetitle">
    <w:name w:val="promulgatetitle"/>
    <w:basedOn w:val="a"/>
    <w:uiPriority w:val="99"/>
    <w:semiHidden/>
    <w:rsid w:val="007911E7"/>
    <w:pPr>
      <w:spacing w:before="100" w:beforeAutospacing="1" w:after="100" w:afterAutospacing="1"/>
      <w:jc w:val="center"/>
    </w:pPr>
    <w:rPr>
      <w:rFonts w:ascii="微软雅黑" w:eastAsia="微软雅黑" w:hAnsi="微软雅黑"/>
      <w:b/>
      <w:bCs/>
      <w:vanish/>
    </w:rPr>
  </w:style>
  <w:style w:type="paragraph" w:customStyle="1" w:styleId="promulgatesubtitle">
    <w:name w:val="promulgatesubtitle"/>
    <w:basedOn w:val="a"/>
    <w:uiPriority w:val="99"/>
    <w:semiHidden/>
    <w:rsid w:val="007911E7"/>
    <w:pPr>
      <w:spacing w:before="150" w:after="150"/>
      <w:ind w:left="150" w:right="150"/>
      <w:jc w:val="center"/>
    </w:pPr>
    <w:rPr>
      <w:rFonts w:ascii="微软雅黑" w:eastAsia="微软雅黑" w:hAnsi="微软雅黑"/>
      <w:sz w:val="23"/>
      <w:szCs w:val="23"/>
    </w:rPr>
  </w:style>
  <w:style w:type="paragraph" w:customStyle="1" w:styleId="promulgatedate">
    <w:name w:val="promulgatedate"/>
    <w:basedOn w:val="a"/>
    <w:rsid w:val="007911E7"/>
    <w:pPr>
      <w:jc w:val="right"/>
    </w:pPr>
    <w:rPr>
      <w:sz w:val="21"/>
      <w:szCs w:val="21"/>
    </w:rPr>
  </w:style>
  <w:style w:type="paragraph" w:customStyle="1" w:styleId="promulgatesignatory">
    <w:name w:val="promulgatesignatory"/>
    <w:basedOn w:val="a"/>
    <w:rsid w:val="007911E7"/>
    <w:pPr>
      <w:jc w:val="right"/>
    </w:pPr>
    <w:rPr>
      <w:sz w:val="21"/>
      <w:szCs w:val="21"/>
    </w:rPr>
  </w:style>
  <w:style w:type="paragraph" w:customStyle="1" w:styleId="11">
    <w:name w:val="标题1"/>
    <w:basedOn w:val="a"/>
    <w:uiPriority w:val="99"/>
    <w:semiHidden/>
    <w:rsid w:val="007911E7"/>
    <w:pPr>
      <w:spacing w:before="100" w:beforeAutospacing="1" w:after="100" w:afterAutospacing="1"/>
      <w:ind w:firstLine="480"/>
    </w:pPr>
    <w:rPr>
      <w:rFonts w:ascii="微软雅黑" w:eastAsia="微软雅黑" w:hAnsi="微软雅黑"/>
      <w:sz w:val="21"/>
      <w:szCs w:val="21"/>
    </w:rPr>
  </w:style>
  <w:style w:type="paragraph" w:customStyle="1" w:styleId="catalog-a">
    <w:name w:val="catalog-a"/>
    <w:basedOn w:val="a"/>
    <w:uiPriority w:val="99"/>
    <w:semiHidden/>
    <w:rsid w:val="007911E7"/>
    <w:pPr>
      <w:spacing w:before="100" w:beforeAutospacing="1" w:after="100" w:afterAutospacing="1"/>
    </w:pPr>
  </w:style>
  <w:style w:type="character" w:customStyle="1" w:styleId="chaptertitle">
    <w:name w:val="chaptertitle"/>
    <w:basedOn w:val="a0"/>
    <w:rsid w:val="007911E7"/>
    <w:rPr>
      <w:rFonts w:ascii="微软雅黑" w:eastAsia="微软雅黑" w:hAnsi="微软雅黑" w:hint="eastAsia"/>
      <w:b/>
      <w:bCs/>
      <w:sz w:val="21"/>
      <w:szCs w:val="21"/>
    </w:rPr>
  </w:style>
  <w:style w:type="character" w:customStyle="1" w:styleId="metaname1">
    <w:name w:val="metaname1"/>
    <w:basedOn w:val="a0"/>
    <w:rsid w:val="007911E7"/>
    <w:rPr>
      <w:rFonts w:ascii="微软雅黑" w:eastAsia="微软雅黑" w:hAnsi="微软雅黑" w:hint="eastAsia"/>
      <w:b/>
      <w:bCs/>
      <w:sz w:val="21"/>
      <w:szCs w:val="21"/>
    </w:rPr>
  </w:style>
  <w:style w:type="character" w:customStyle="1" w:styleId="sect2title1">
    <w:name w:val="sect2title1"/>
    <w:basedOn w:val="a0"/>
    <w:rsid w:val="007911E7"/>
    <w:rPr>
      <w:rFonts w:ascii="微软雅黑" w:eastAsia="微软雅黑" w:hAnsi="微软雅黑" w:hint="eastAsia"/>
      <w:b/>
      <w:bCs/>
      <w:sz w:val="21"/>
      <w:szCs w:val="21"/>
    </w:rPr>
  </w:style>
  <w:style w:type="character" w:customStyle="1" w:styleId="title1">
    <w:name w:val="title1"/>
    <w:basedOn w:val="a0"/>
    <w:rsid w:val="007911E7"/>
    <w:rPr>
      <w:rFonts w:ascii="微软雅黑" w:eastAsia="微软雅黑" w:hAnsi="微软雅黑" w:hint="eastAsia"/>
      <w:sz w:val="21"/>
      <w:szCs w:val="21"/>
    </w:rPr>
  </w:style>
  <w:style w:type="character" w:customStyle="1" w:styleId="sect1title1">
    <w:name w:val="sect1title1"/>
    <w:basedOn w:val="a0"/>
    <w:rsid w:val="007911E7"/>
    <w:rPr>
      <w:rFonts w:ascii="微软雅黑" w:eastAsia="微软雅黑" w:hAnsi="微软雅黑" w:hint="eastAsia"/>
      <w:b/>
      <w:bCs/>
      <w:sz w:val="21"/>
      <w:szCs w:val="21"/>
    </w:rPr>
  </w:style>
  <w:style w:type="character" w:styleId="aa">
    <w:name w:val="annotation reference"/>
    <w:basedOn w:val="a0"/>
    <w:uiPriority w:val="99"/>
    <w:semiHidden/>
    <w:unhideWhenUsed/>
    <w:rsid w:val="001B2E08"/>
    <w:rPr>
      <w:sz w:val="21"/>
      <w:szCs w:val="21"/>
    </w:rPr>
  </w:style>
  <w:style w:type="paragraph" w:styleId="ab">
    <w:name w:val="annotation text"/>
    <w:basedOn w:val="a"/>
    <w:link w:val="ac"/>
    <w:uiPriority w:val="99"/>
    <w:unhideWhenUsed/>
    <w:rsid w:val="001B2E08"/>
  </w:style>
  <w:style w:type="character" w:customStyle="1" w:styleId="ac">
    <w:name w:val="批注文字 字符"/>
    <w:basedOn w:val="a0"/>
    <w:link w:val="ab"/>
    <w:uiPriority w:val="99"/>
    <w:rsid w:val="001B2E08"/>
    <w:rPr>
      <w:rFonts w:ascii="宋体" w:eastAsia="宋体" w:hAnsi="宋体" w:cs="宋体"/>
      <w:kern w:val="0"/>
    </w:rPr>
  </w:style>
  <w:style w:type="paragraph" w:styleId="ad">
    <w:name w:val="annotation subject"/>
    <w:basedOn w:val="ab"/>
    <w:next w:val="ab"/>
    <w:link w:val="ae"/>
    <w:uiPriority w:val="99"/>
    <w:semiHidden/>
    <w:unhideWhenUsed/>
    <w:rsid w:val="001B2E08"/>
    <w:rPr>
      <w:b/>
      <w:bCs/>
    </w:rPr>
  </w:style>
  <w:style w:type="character" w:customStyle="1" w:styleId="ae">
    <w:name w:val="批注主题 字符"/>
    <w:basedOn w:val="ac"/>
    <w:link w:val="ad"/>
    <w:uiPriority w:val="99"/>
    <w:semiHidden/>
    <w:rsid w:val="001B2E08"/>
    <w:rPr>
      <w:rFonts w:ascii="宋体" w:eastAsia="宋体" w:hAnsi="宋体" w:cs="宋体"/>
      <w:b/>
      <w:bCs/>
      <w:kern w:val="0"/>
    </w:rPr>
  </w:style>
  <w:style w:type="paragraph" w:styleId="af">
    <w:name w:val="Balloon Text"/>
    <w:basedOn w:val="a"/>
    <w:link w:val="af0"/>
    <w:uiPriority w:val="99"/>
    <w:semiHidden/>
    <w:unhideWhenUsed/>
    <w:rsid w:val="001B2E08"/>
    <w:rPr>
      <w:rFonts w:ascii="Times New Roman" w:hAnsi="Times New Roman" w:cs="Times New Roman"/>
      <w:sz w:val="18"/>
      <w:szCs w:val="18"/>
    </w:rPr>
  </w:style>
  <w:style w:type="character" w:customStyle="1" w:styleId="af0">
    <w:name w:val="批注框文本 字符"/>
    <w:basedOn w:val="a0"/>
    <w:link w:val="af"/>
    <w:uiPriority w:val="99"/>
    <w:semiHidden/>
    <w:rsid w:val="001B2E08"/>
    <w:rPr>
      <w:rFonts w:ascii="Times New Roman" w:eastAsia="宋体" w:hAnsi="Times New Roman" w:cs="Times New Roman"/>
      <w:kern w:val="0"/>
      <w:sz w:val="18"/>
      <w:szCs w:val="18"/>
    </w:rPr>
  </w:style>
  <w:style w:type="table" w:styleId="af1">
    <w:name w:val="Table Grid"/>
    <w:basedOn w:val="a1"/>
    <w:uiPriority w:val="39"/>
    <w:rsid w:val="00E6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val="0"/>
    </w:trPr>
  </w:style>
  <w:style w:type="character" w:customStyle="1" w:styleId="30">
    <w:name w:val="标题 3 字符"/>
    <w:basedOn w:val="a0"/>
    <w:link w:val="3"/>
    <w:uiPriority w:val="9"/>
    <w:rsid w:val="00EE2355"/>
    <w:rPr>
      <w:rFonts w:ascii="宋体" w:eastAsia="宋体" w:hAnsi="宋体" w:cs="宋体"/>
      <w:b/>
      <w:bCs/>
      <w:kern w:val="0"/>
      <w:sz w:val="32"/>
      <w:szCs w:val="32"/>
    </w:rPr>
  </w:style>
  <w:style w:type="character" w:styleId="af2">
    <w:name w:val="FollowedHyperlink"/>
    <w:basedOn w:val="a0"/>
    <w:uiPriority w:val="99"/>
    <w:semiHidden/>
    <w:unhideWhenUsed/>
    <w:rsid w:val="001D0531"/>
    <w:rPr>
      <w:color w:val="954F72" w:themeColor="followedHyperlink"/>
      <w:u w:val="single"/>
    </w:rPr>
  </w:style>
  <w:style w:type="character" w:customStyle="1" w:styleId="20">
    <w:name w:val="标题 2 字符"/>
    <w:basedOn w:val="a0"/>
    <w:link w:val="2"/>
    <w:uiPriority w:val="9"/>
    <w:rsid w:val="006864EA"/>
    <w:rPr>
      <w:rFonts w:asciiTheme="majorHAnsi" w:eastAsiaTheme="majorEastAsia" w:hAnsiTheme="majorHAnsi" w:cstheme="majorBidi"/>
      <w:b/>
      <w:bCs/>
      <w:kern w:val="0"/>
      <w:sz w:val="32"/>
      <w:szCs w:val="32"/>
    </w:rPr>
  </w:style>
  <w:style w:type="paragraph" w:styleId="TOC1">
    <w:name w:val="toc 1"/>
    <w:basedOn w:val="1"/>
    <w:next w:val="1"/>
    <w:autoRedefine/>
    <w:uiPriority w:val="39"/>
    <w:unhideWhenUsed/>
    <w:rsid w:val="00475DC8"/>
    <w:pPr>
      <w:spacing w:before="120" w:beforeAutospacing="0" w:after="0" w:afterAutospacing="0"/>
      <w:outlineLvl w:val="9"/>
    </w:pPr>
    <w:rPr>
      <w:rFonts w:asciiTheme="minorHAnsi" w:eastAsiaTheme="minorHAnsi"/>
      <w:kern w:val="0"/>
      <w:sz w:val="24"/>
      <w:szCs w:val="24"/>
    </w:rPr>
  </w:style>
  <w:style w:type="paragraph" w:styleId="TOC2">
    <w:name w:val="toc 2"/>
    <w:basedOn w:val="a"/>
    <w:next w:val="a"/>
    <w:autoRedefine/>
    <w:uiPriority w:val="39"/>
    <w:unhideWhenUsed/>
    <w:rsid w:val="00D83979"/>
    <w:pPr>
      <w:ind w:left="240"/>
    </w:pPr>
    <w:rPr>
      <w:rFonts w:asciiTheme="minorHAnsi" w:eastAsiaTheme="minorHAnsi"/>
      <w:b/>
      <w:bCs/>
      <w:sz w:val="22"/>
      <w:szCs w:val="22"/>
    </w:rPr>
  </w:style>
  <w:style w:type="paragraph" w:styleId="TOC3">
    <w:name w:val="toc 3"/>
    <w:basedOn w:val="a"/>
    <w:next w:val="a"/>
    <w:autoRedefine/>
    <w:uiPriority w:val="39"/>
    <w:unhideWhenUsed/>
    <w:rsid w:val="00D83979"/>
    <w:pPr>
      <w:ind w:left="480"/>
    </w:pPr>
    <w:rPr>
      <w:rFonts w:asciiTheme="minorHAnsi" w:eastAsiaTheme="minorHAnsi"/>
      <w:sz w:val="22"/>
      <w:szCs w:val="22"/>
    </w:rPr>
  </w:style>
  <w:style w:type="paragraph" w:styleId="TOC4">
    <w:name w:val="toc 4"/>
    <w:basedOn w:val="a"/>
    <w:next w:val="a"/>
    <w:autoRedefine/>
    <w:uiPriority w:val="39"/>
    <w:unhideWhenUsed/>
    <w:rsid w:val="00D83979"/>
    <w:pPr>
      <w:ind w:left="720"/>
    </w:pPr>
    <w:rPr>
      <w:rFonts w:asciiTheme="minorHAnsi" w:eastAsiaTheme="minorHAnsi"/>
      <w:sz w:val="20"/>
      <w:szCs w:val="20"/>
    </w:rPr>
  </w:style>
  <w:style w:type="paragraph" w:styleId="TOC5">
    <w:name w:val="toc 5"/>
    <w:basedOn w:val="a"/>
    <w:next w:val="a"/>
    <w:autoRedefine/>
    <w:uiPriority w:val="39"/>
    <w:unhideWhenUsed/>
    <w:rsid w:val="00D83979"/>
    <w:pPr>
      <w:ind w:left="960"/>
    </w:pPr>
    <w:rPr>
      <w:rFonts w:asciiTheme="minorHAnsi" w:eastAsiaTheme="minorHAnsi"/>
      <w:sz w:val="20"/>
      <w:szCs w:val="20"/>
    </w:rPr>
  </w:style>
  <w:style w:type="paragraph" w:styleId="TOC6">
    <w:name w:val="toc 6"/>
    <w:basedOn w:val="a"/>
    <w:next w:val="a"/>
    <w:autoRedefine/>
    <w:uiPriority w:val="39"/>
    <w:unhideWhenUsed/>
    <w:rsid w:val="00D83979"/>
    <w:pPr>
      <w:ind w:left="1200"/>
    </w:pPr>
    <w:rPr>
      <w:rFonts w:asciiTheme="minorHAnsi" w:eastAsiaTheme="minorHAnsi"/>
      <w:sz w:val="20"/>
      <w:szCs w:val="20"/>
    </w:rPr>
  </w:style>
  <w:style w:type="paragraph" w:styleId="TOC7">
    <w:name w:val="toc 7"/>
    <w:basedOn w:val="a"/>
    <w:next w:val="a"/>
    <w:autoRedefine/>
    <w:uiPriority w:val="39"/>
    <w:unhideWhenUsed/>
    <w:rsid w:val="00D83979"/>
    <w:pPr>
      <w:ind w:left="1440"/>
    </w:pPr>
    <w:rPr>
      <w:rFonts w:asciiTheme="minorHAnsi" w:eastAsiaTheme="minorHAnsi"/>
      <w:sz w:val="20"/>
      <w:szCs w:val="20"/>
    </w:rPr>
  </w:style>
  <w:style w:type="paragraph" w:styleId="TOC8">
    <w:name w:val="toc 8"/>
    <w:basedOn w:val="a"/>
    <w:next w:val="a"/>
    <w:autoRedefine/>
    <w:uiPriority w:val="39"/>
    <w:unhideWhenUsed/>
    <w:rsid w:val="00D83979"/>
    <w:pPr>
      <w:ind w:left="1680"/>
    </w:pPr>
    <w:rPr>
      <w:rFonts w:asciiTheme="minorHAnsi" w:eastAsiaTheme="minorHAnsi"/>
      <w:sz w:val="20"/>
      <w:szCs w:val="20"/>
    </w:rPr>
  </w:style>
  <w:style w:type="paragraph" w:styleId="TOC9">
    <w:name w:val="toc 9"/>
    <w:basedOn w:val="a"/>
    <w:next w:val="a"/>
    <w:autoRedefine/>
    <w:uiPriority w:val="39"/>
    <w:unhideWhenUsed/>
    <w:rsid w:val="00D83979"/>
    <w:pPr>
      <w:ind w:left="1920"/>
    </w:pPr>
    <w:rPr>
      <w:rFonts w:asciiTheme="minorHAnsi" w:eastAsiaTheme="minorHAnsi"/>
      <w:sz w:val="20"/>
      <w:szCs w:val="20"/>
    </w:rPr>
  </w:style>
  <w:style w:type="paragraph" w:styleId="TOC">
    <w:name w:val="TOC Heading"/>
    <w:basedOn w:val="1"/>
    <w:next w:val="a"/>
    <w:uiPriority w:val="39"/>
    <w:unhideWhenUsed/>
    <w:qFormat/>
    <w:rsid w:val="00475DC8"/>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table" w:styleId="af3">
    <w:name w:val="Grid Table Light"/>
    <w:basedOn w:val="a1"/>
    <w:uiPriority w:val="40"/>
    <w:rsid w:val="00A07E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val="0"/>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22269">
      <w:bodyDiv w:val="1"/>
      <w:marLeft w:val="0"/>
      <w:marRight w:val="0"/>
      <w:marTop w:val="0"/>
      <w:marBottom w:val="0"/>
      <w:divBdr>
        <w:top w:val="none" w:sz="0" w:space="0" w:color="auto"/>
        <w:left w:val="none" w:sz="0" w:space="0" w:color="auto"/>
        <w:bottom w:val="none" w:sz="0" w:space="0" w:color="auto"/>
        <w:right w:val="none" w:sz="0" w:space="0" w:color="auto"/>
      </w:divBdr>
    </w:div>
    <w:div w:id="100272850">
      <w:bodyDiv w:val="1"/>
      <w:marLeft w:val="0"/>
      <w:marRight w:val="0"/>
      <w:marTop w:val="0"/>
      <w:marBottom w:val="0"/>
      <w:divBdr>
        <w:top w:val="none" w:sz="0" w:space="0" w:color="auto"/>
        <w:left w:val="none" w:sz="0" w:space="0" w:color="auto"/>
        <w:bottom w:val="none" w:sz="0" w:space="0" w:color="auto"/>
        <w:right w:val="none" w:sz="0" w:space="0" w:color="auto"/>
      </w:divBdr>
    </w:div>
    <w:div w:id="183591487">
      <w:bodyDiv w:val="1"/>
      <w:marLeft w:val="0"/>
      <w:marRight w:val="0"/>
      <w:marTop w:val="0"/>
      <w:marBottom w:val="0"/>
      <w:divBdr>
        <w:top w:val="none" w:sz="0" w:space="0" w:color="auto"/>
        <w:left w:val="none" w:sz="0" w:space="0" w:color="auto"/>
        <w:bottom w:val="none" w:sz="0" w:space="0" w:color="auto"/>
        <w:right w:val="none" w:sz="0" w:space="0" w:color="auto"/>
      </w:divBdr>
    </w:div>
    <w:div w:id="213002848">
      <w:bodyDiv w:val="1"/>
      <w:marLeft w:val="0"/>
      <w:marRight w:val="0"/>
      <w:marTop w:val="0"/>
      <w:marBottom w:val="0"/>
      <w:divBdr>
        <w:top w:val="none" w:sz="0" w:space="0" w:color="auto"/>
        <w:left w:val="none" w:sz="0" w:space="0" w:color="auto"/>
        <w:bottom w:val="none" w:sz="0" w:space="0" w:color="auto"/>
        <w:right w:val="none" w:sz="0" w:space="0" w:color="auto"/>
      </w:divBdr>
    </w:div>
    <w:div w:id="238178481">
      <w:bodyDiv w:val="1"/>
      <w:marLeft w:val="0"/>
      <w:marRight w:val="0"/>
      <w:marTop w:val="0"/>
      <w:marBottom w:val="0"/>
      <w:divBdr>
        <w:top w:val="none" w:sz="0" w:space="0" w:color="auto"/>
        <w:left w:val="none" w:sz="0" w:space="0" w:color="auto"/>
        <w:bottom w:val="none" w:sz="0" w:space="0" w:color="auto"/>
        <w:right w:val="none" w:sz="0" w:space="0" w:color="auto"/>
      </w:divBdr>
    </w:div>
    <w:div w:id="250428242">
      <w:bodyDiv w:val="1"/>
      <w:marLeft w:val="0"/>
      <w:marRight w:val="0"/>
      <w:marTop w:val="0"/>
      <w:marBottom w:val="0"/>
      <w:divBdr>
        <w:top w:val="none" w:sz="0" w:space="0" w:color="auto"/>
        <w:left w:val="none" w:sz="0" w:space="0" w:color="auto"/>
        <w:bottom w:val="none" w:sz="0" w:space="0" w:color="auto"/>
        <w:right w:val="none" w:sz="0" w:space="0" w:color="auto"/>
      </w:divBdr>
    </w:div>
    <w:div w:id="405348421">
      <w:bodyDiv w:val="1"/>
      <w:marLeft w:val="0"/>
      <w:marRight w:val="0"/>
      <w:marTop w:val="0"/>
      <w:marBottom w:val="0"/>
      <w:divBdr>
        <w:top w:val="none" w:sz="0" w:space="0" w:color="auto"/>
        <w:left w:val="none" w:sz="0" w:space="0" w:color="auto"/>
        <w:bottom w:val="none" w:sz="0" w:space="0" w:color="auto"/>
        <w:right w:val="none" w:sz="0" w:space="0" w:color="auto"/>
      </w:divBdr>
    </w:div>
    <w:div w:id="424032115">
      <w:bodyDiv w:val="1"/>
      <w:marLeft w:val="0"/>
      <w:marRight w:val="0"/>
      <w:marTop w:val="0"/>
      <w:marBottom w:val="0"/>
      <w:divBdr>
        <w:top w:val="none" w:sz="0" w:space="0" w:color="auto"/>
        <w:left w:val="none" w:sz="0" w:space="0" w:color="auto"/>
        <w:bottom w:val="none" w:sz="0" w:space="0" w:color="auto"/>
        <w:right w:val="none" w:sz="0" w:space="0" w:color="auto"/>
      </w:divBdr>
    </w:div>
    <w:div w:id="726029957">
      <w:bodyDiv w:val="1"/>
      <w:marLeft w:val="0"/>
      <w:marRight w:val="0"/>
      <w:marTop w:val="0"/>
      <w:marBottom w:val="0"/>
      <w:divBdr>
        <w:top w:val="none" w:sz="0" w:space="0" w:color="auto"/>
        <w:left w:val="none" w:sz="0" w:space="0" w:color="auto"/>
        <w:bottom w:val="none" w:sz="0" w:space="0" w:color="auto"/>
        <w:right w:val="none" w:sz="0" w:space="0" w:color="auto"/>
      </w:divBdr>
    </w:div>
    <w:div w:id="778986626">
      <w:bodyDiv w:val="1"/>
      <w:marLeft w:val="0"/>
      <w:marRight w:val="0"/>
      <w:marTop w:val="0"/>
      <w:marBottom w:val="0"/>
      <w:divBdr>
        <w:top w:val="none" w:sz="0" w:space="0" w:color="auto"/>
        <w:left w:val="none" w:sz="0" w:space="0" w:color="auto"/>
        <w:bottom w:val="none" w:sz="0" w:space="0" w:color="auto"/>
        <w:right w:val="none" w:sz="0" w:space="0" w:color="auto"/>
      </w:divBdr>
    </w:div>
    <w:div w:id="806164819">
      <w:bodyDiv w:val="1"/>
      <w:marLeft w:val="0"/>
      <w:marRight w:val="0"/>
      <w:marTop w:val="0"/>
      <w:marBottom w:val="0"/>
      <w:divBdr>
        <w:top w:val="none" w:sz="0" w:space="0" w:color="auto"/>
        <w:left w:val="none" w:sz="0" w:space="0" w:color="auto"/>
        <w:bottom w:val="none" w:sz="0" w:space="0" w:color="auto"/>
        <w:right w:val="none" w:sz="0" w:space="0" w:color="auto"/>
      </w:divBdr>
    </w:div>
    <w:div w:id="828904415">
      <w:bodyDiv w:val="1"/>
      <w:marLeft w:val="0"/>
      <w:marRight w:val="0"/>
      <w:marTop w:val="0"/>
      <w:marBottom w:val="0"/>
      <w:divBdr>
        <w:top w:val="none" w:sz="0" w:space="0" w:color="auto"/>
        <w:left w:val="none" w:sz="0" w:space="0" w:color="auto"/>
        <w:bottom w:val="none" w:sz="0" w:space="0" w:color="auto"/>
        <w:right w:val="none" w:sz="0" w:space="0" w:color="auto"/>
      </w:divBdr>
    </w:div>
    <w:div w:id="926886637">
      <w:bodyDiv w:val="1"/>
      <w:marLeft w:val="0"/>
      <w:marRight w:val="0"/>
      <w:marTop w:val="0"/>
      <w:marBottom w:val="0"/>
      <w:divBdr>
        <w:top w:val="none" w:sz="0" w:space="0" w:color="auto"/>
        <w:left w:val="none" w:sz="0" w:space="0" w:color="auto"/>
        <w:bottom w:val="none" w:sz="0" w:space="0" w:color="auto"/>
        <w:right w:val="none" w:sz="0" w:space="0" w:color="auto"/>
      </w:divBdr>
    </w:div>
    <w:div w:id="956058882">
      <w:bodyDiv w:val="1"/>
      <w:marLeft w:val="0"/>
      <w:marRight w:val="0"/>
      <w:marTop w:val="0"/>
      <w:marBottom w:val="0"/>
      <w:divBdr>
        <w:top w:val="none" w:sz="0" w:space="0" w:color="auto"/>
        <w:left w:val="none" w:sz="0" w:space="0" w:color="auto"/>
        <w:bottom w:val="none" w:sz="0" w:space="0" w:color="auto"/>
        <w:right w:val="none" w:sz="0" w:space="0" w:color="auto"/>
      </w:divBdr>
    </w:div>
    <w:div w:id="1139808803">
      <w:bodyDiv w:val="1"/>
      <w:marLeft w:val="0"/>
      <w:marRight w:val="0"/>
      <w:marTop w:val="0"/>
      <w:marBottom w:val="0"/>
      <w:divBdr>
        <w:top w:val="none" w:sz="0" w:space="0" w:color="auto"/>
        <w:left w:val="none" w:sz="0" w:space="0" w:color="auto"/>
        <w:bottom w:val="none" w:sz="0" w:space="0" w:color="auto"/>
        <w:right w:val="none" w:sz="0" w:space="0" w:color="auto"/>
      </w:divBdr>
    </w:div>
    <w:div w:id="1471051882">
      <w:bodyDiv w:val="1"/>
      <w:marLeft w:val="0"/>
      <w:marRight w:val="0"/>
      <w:marTop w:val="0"/>
      <w:marBottom w:val="0"/>
      <w:divBdr>
        <w:top w:val="none" w:sz="0" w:space="0" w:color="auto"/>
        <w:left w:val="none" w:sz="0" w:space="0" w:color="auto"/>
        <w:bottom w:val="none" w:sz="0" w:space="0" w:color="auto"/>
        <w:right w:val="none" w:sz="0" w:space="0" w:color="auto"/>
      </w:divBdr>
    </w:div>
    <w:div w:id="1539705773">
      <w:bodyDiv w:val="1"/>
      <w:marLeft w:val="0"/>
      <w:marRight w:val="0"/>
      <w:marTop w:val="0"/>
      <w:marBottom w:val="0"/>
      <w:divBdr>
        <w:top w:val="none" w:sz="0" w:space="0" w:color="auto"/>
        <w:left w:val="none" w:sz="0" w:space="0" w:color="auto"/>
        <w:bottom w:val="none" w:sz="0" w:space="0" w:color="auto"/>
        <w:right w:val="none" w:sz="0" w:space="0" w:color="auto"/>
      </w:divBdr>
    </w:div>
    <w:div w:id="1577739002">
      <w:bodyDiv w:val="1"/>
      <w:marLeft w:val="0"/>
      <w:marRight w:val="0"/>
      <w:marTop w:val="0"/>
      <w:marBottom w:val="0"/>
      <w:divBdr>
        <w:top w:val="none" w:sz="0" w:space="0" w:color="auto"/>
        <w:left w:val="none" w:sz="0" w:space="0" w:color="auto"/>
        <w:bottom w:val="none" w:sz="0" w:space="0" w:color="auto"/>
        <w:right w:val="none" w:sz="0" w:space="0" w:color="auto"/>
      </w:divBdr>
    </w:div>
    <w:div w:id="1582375529">
      <w:bodyDiv w:val="1"/>
      <w:marLeft w:val="0"/>
      <w:marRight w:val="0"/>
      <w:marTop w:val="0"/>
      <w:marBottom w:val="0"/>
      <w:divBdr>
        <w:top w:val="none" w:sz="0" w:space="0" w:color="auto"/>
        <w:left w:val="none" w:sz="0" w:space="0" w:color="auto"/>
        <w:bottom w:val="none" w:sz="0" w:space="0" w:color="auto"/>
        <w:right w:val="none" w:sz="0" w:space="0" w:color="auto"/>
      </w:divBdr>
    </w:div>
    <w:div w:id="1609773436">
      <w:bodyDiv w:val="1"/>
      <w:marLeft w:val="0"/>
      <w:marRight w:val="0"/>
      <w:marTop w:val="0"/>
      <w:marBottom w:val="0"/>
      <w:divBdr>
        <w:top w:val="none" w:sz="0" w:space="0" w:color="auto"/>
        <w:left w:val="none" w:sz="0" w:space="0" w:color="auto"/>
        <w:bottom w:val="none" w:sz="0" w:space="0" w:color="auto"/>
        <w:right w:val="none" w:sz="0" w:space="0" w:color="auto"/>
      </w:divBdr>
    </w:div>
    <w:div w:id="1629704995">
      <w:bodyDiv w:val="1"/>
      <w:marLeft w:val="0"/>
      <w:marRight w:val="0"/>
      <w:marTop w:val="0"/>
      <w:marBottom w:val="0"/>
      <w:divBdr>
        <w:top w:val="none" w:sz="0" w:space="0" w:color="auto"/>
        <w:left w:val="none" w:sz="0" w:space="0" w:color="auto"/>
        <w:bottom w:val="none" w:sz="0" w:space="0" w:color="auto"/>
        <w:right w:val="none" w:sz="0" w:space="0" w:color="auto"/>
      </w:divBdr>
    </w:div>
    <w:div w:id="1849640525">
      <w:bodyDiv w:val="1"/>
      <w:marLeft w:val="0"/>
      <w:marRight w:val="0"/>
      <w:marTop w:val="0"/>
      <w:marBottom w:val="0"/>
      <w:divBdr>
        <w:top w:val="none" w:sz="0" w:space="0" w:color="auto"/>
        <w:left w:val="none" w:sz="0" w:space="0" w:color="auto"/>
        <w:bottom w:val="none" w:sz="0" w:space="0" w:color="auto"/>
        <w:right w:val="none" w:sz="0" w:space="0" w:color="auto"/>
      </w:divBdr>
    </w:div>
    <w:div w:id="1886021398">
      <w:bodyDiv w:val="1"/>
      <w:marLeft w:val="0"/>
      <w:marRight w:val="0"/>
      <w:marTop w:val="0"/>
      <w:marBottom w:val="0"/>
      <w:divBdr>
        <w:top w:val="none" w:sz="0" w:space="0" w:color="auto"/>
        <w:left w:val="none" w:sz="0" w:space="0" w:color="auto"/>
        <w:bottom w:val="none" w:sz="0" w:space="0" w:color="auto"/>
        <w:right w:val="none" w:sz="0" w:space="0" w:color="auto"/>
      </w:divBdr>
    </w:div>
    <w:div w:id="1888683317">
      <w:bodyDiv w:val="1"/>
      <w:marLeft w:val="0"/>
      <w:marRight w:val="0"/>
      <w:marTop w:val="0"/>
      <w:marBottom w:val="0"/>
      <w:divBdr>
        <w:top w:val="none" w:sz="0" w:space="0" w:color="auto"/>
        <w:left w:val="none" w:sz="0" w:space="0" w:color="auto"/>
        <w:bottom w:val="none" w:sz="0" w:space="0" w:color="auto"/>
        <w:right w:val="none" w:sz="0" w:space="0" w:color="auto"/>
      </w:divBdr>
    </w:div>
    <w:div w:id="1889996008">
      <w:bodyDiv w:val="1"/>
      <w:marLeft w:val="0"/>
      <w:marRight w:val="0"/>
      <w:marTop w:val="0"/>
      <w:marBottom w:val="0"/>
      <w:divBdr>
        <w:top w:val="none" w:sz="0" w:space="0" w:color="auto"/>
        <w:left w:val="none" w:sz="0" w:space="0" w:color="auto"/>
        <w:bottom w:val="none" w:sz="0" w:space="0" w:color="auto"/>
        <w:right w:val="none" w:sz="0" w:space="0" w:color="auto"/>
      </w:divBdr>
    </w:div>
    <w:div w:id="19929020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8B234DB-D624-D148-9615-346C5B10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6</Pages>
  <Words>408</Words>
  <Characters>2331</Characters>
  <Application>Microsoft Office Word</Application>
  <DocSecurity>0</DocSecurity>
  <Lines>19</Lines>
  <Paragraphs>5</Paragraphs>
  <ScaleCrop>false</ScaleCrop>
  <HeadingPairs>
    <vt:vector size="4" baseType="variant">
      <vt:variant>
        <vt:lpstr>标题</vt:lpstr>
      </vt:variant>
      <vt:variant>
        <vt:i4>1</vt:i4>
      </vt:variant>
      <vt:variant>
        <vt:lpstr>Headings</vt:lpstr>
      </vt:variant>
      <vt:variant>
        <vt:i4>5</vt:i4>
      </vt:variant>
    </vt:vector>
  </HeadingPairs>
  <TitlesOfParts>
    <vt:vector size="6" baseType="lpstr">
      <vt:lpstr/>
      <vt:lpstr>        (2017年3月15日第十二届全国人民代表大会第五次会议通过) </vt:lpstr>
      <vt:lpstr>    第一章 基本规定</vt:lpstr>
      <vt:lpstr>第二编 审判程序 </vt:lpstr>
      <vt:lpstr>    第二章 自然人 </vt:lpstr>
      <vt:lpstr>        第一节 民事权利能力和民事行为能力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郑玮</dc:creator>
  <cp:keywords/>
  <dc:description/>
  <cp:lastModifiedBy>姚 佳宁</cp:lastModifiedBy>
  <cp:revision>45</cp:revision>
  <dcterms:created xsi:type="dcterms:W3CDTF">2017-10-10T03:02:00Z</dcterms:created>
  <dcterms:modified xsi:type="dcterms:W3CDTF">2020-08-31T08:46:00Z</dcterms:modified>
</cp:coreProperties>
</file>