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842504"/>
          <w:sz w:val="36"/>
          <w:szCs w:val="36"/>
        </w:rPr>
        <w:t xml:space="preserve">WDZ Online — Analiza balansu gry</w:t>
      </w:r>
    </w:p>
    <w:p>
      <w:pPr>
        <w:spacing w:after="40"/>
        <w:jc w:val="center"/>
      </w:pPr>
      <w:r>
        <w:rPr>
          <w:rFonts w:ascii="Arial" w:cs="Arial" w:eastAsia="Arial" w:hAnsi="Arial"/>
          <w:color w:val="8B7355"/>
          <w:sz w:val="24"/>
          <w:szCs w:val="24"/>
        </w:rPr>
        <w:t xml:space="preserve">Raport z symulacji Monte Carlo</w:t>
      </w:r>
    </w:p>
    <w:p>
      <w:pPr>
        <w:spacing w:after="200"/>
        <w:jc w:val="center"/>
      </w:pPr>
      <w:r>
        <w:rPr>
          <w:rFonts w:ascii="Arial" w:cs="Arial" w:eastAsia="Arial" w:hAnsi="Arial"/>
          <w:color w:val="8B7355"/>
          <w:sz w:val="20"/>
          <w:szCs w:val="20"/>
        </w:rPr>
        <w:t xml:space="preserve">16 maja 2026 | WDZ Test Simulator v1.4.1 | 2000 rozgrywek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1. Streszczenie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Przeprowadzono 2000 symulacji rozgrywki Wschód Dzikiego Zachodu w celu zbadania balansu mechanik gry. Wyniki wykazały istotną asymetrię: mechanika Biznes na Boku (BnB) systematycznie faworyzuje rodzinę Dexterów i dyskwalifikuje Clintonów. Bez BnB gra jest czterokrotnie bardziej wyrównana.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2. Metodologia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Każda symulacja to pełna rozgrywka (przygotowanie, 3 fazy po 3 tury, zakończenie) prowadzona przez 4 boty z losowo przydzielanymi profilami osobowości (Racjonalny, Agresywny, Zachowawczy, Hazardzista). Mechaniki: Ślepy Los, Złotodajna Żyła, opcjonalnie Biznes na Boku. Tryb: realistic (3 rundy handlu na turę).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Przeprowadzono 4 serie po 500 symulacji: dwie z BnB, dwie bez BnB. Wyniki obu serii w ramach wariantu były stabilne (różnice 1–3 p.p.), co potwierdza wiarygodność statystyczną.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3. Wyniki — z Biznesem na Boku</w:t>
      </w:r>
    </w:p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Średnia z 2 serii (1000 rozgrywek):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Rodzina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Wygrane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pkt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zasoby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komp.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kasa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Dexterowie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58%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93.9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98.1%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+8.3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Adamsowie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87.9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98.3%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+6.8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Bennetowie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82.2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98.3%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+2.5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Clintonowie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75.8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98.4%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-4.8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Dexterowie wygrywają 58% rozgrywek — prawie 3 na 5 gier. Clintonowie wygrywają 1.5% — praktycznie nigdy. Zasoby i kompetencje nie różnicują (98–100% u wszystkich). O wyniku decyduje gotówka i BnB. Rozrzut średnich punktów: 18.1 pkt.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4. Wyniki — bez Biznesu na Boku</w:t>
      </w:r>
    </w:p>
    <w:p>
      <w:pPr>
        <w:spacing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Średnia z 2 serii (1000 rozgrywek):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Rodzina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Wygrane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pkt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zasoby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komp.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kasa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Adamsowie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75.8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98.2%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+1.7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Dexterowie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75.5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98.5%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+1.0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Bennetowie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71.7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98.4%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-2.8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Clintonowie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68.6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98.2%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99.9%</w:t>
            </w:r>
          </w:p>
        </w:tc>
        <w:tc>
          <w:tcPr>
            <w:tcW w:type="dxa" w:w="1432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-5.8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 jest znacznie bardziej wyrównana: rozrzut zwycięstw 10–41% (vs 1.5–58% z BnB). Rozrzut średnich punktów: 7.2 pkt — czterokrotnie mniejszy niż z BnB. Hierarchia się zmienia: bez BnB liderem jest Adams, nie Dexter.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5. Wpływ BnB na poszczególne rodziny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6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Rodzina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 wygr.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 śr. pkt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Kierunek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Adams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→ 41%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87.9 → 75.8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BnB osłabia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Bennet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 → 15%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82.2 → 71.7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BnB osłabia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Clinton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1.5% → 10%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75.8 → 68.6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BnB niszczy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Dexter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58% → 33%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93.9 → 75.5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BnB wzmacnia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BnB odwraca naturalną hierarchię gry (Adams &gt; Dexter) na Dexter &gt;&gt; Adams i potęguje słabość Clintona.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6. Diagnoza przyczyn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42504"/>
          <w:sz w:val="26"/>
          <w:szCs w:val="26"/>
        </w:rPr>
        <w:t xml:space="preserve">Nierówna liczba produktów BnB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6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Rodzina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 BnB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Ilość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C13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Efekt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Adams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Mikstura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+4% komp. lub 1 pkt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Bennet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Kwatera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punkt bonusowy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Clinton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Obligacje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mnożnik kasy ×1.2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D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Dexter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Voucher Kuriera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8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+4% zasobów lub 1 pkt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Clinton ma 4 produkty do sprzedania, podczas gdy każda inna rodzina ma 10. To powoduje mniejszy przychód ze sprzedaży BnB, mniej Obligacji w obiegu, oraz paradoks: Obligacje są najpotężniejszym produktem (mnożnikowy efekt na gotówkę), ale jest ich najmniej.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Nawet bez BnB, Clinton kończy ze średnią -5.8 pkt za gotówkę. To sugeruje, że pozycja negocjacyjna Clintonów jest strukturalnie słabsza.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7. Opcje balansujące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Opcja A: Wyrównanie liczby produktów BnB — zwiększyć liczbę Obligacji Clintonów z 4 do 10.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Opcja B: Kompensacja wartością jednostkową — zachować 4 Obligacje, ale podnieść mnożnik (np. z ×1.2 na ×1.5 per karta).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Opcja C: Mechanizm kompensacyjny — dodać Clintonowi inną przewagę (np. niższy koszt konsultacji, bonus za działkę).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Opcja D: Akceptacja asymetrii — uznać nierówność za celową cechę gry. Wymaga komunikacji w instrukcji.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42504"/>
          <w:sz w:val="32"/>
          <w:szCs w:val="32"/>
        </w:rPr>
        <w:t xml:space="preserve">8. Uwagi metodologiczne</w:t>
      </w:r>
    </w:p>
    <w:p>
      <w:pPr>
        <w:spacing w:after="2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Symulator nie odwzorowuje ludzkiego zachowania (negocjacje, emocje, blef). Wyniki pokazują tendencje mechaniki, nie przewidują konkretnych rozgrywek. Anomalie gotówkowe (~0.8 per grę) wymagają zbadania. Walidacja TASKS we wszystkich seriach potwierdza spójność wag kart z tabelami wyników.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B7355"/>
          <w:sz w:val="18"/>
          <w:szCs w:val="18"/>
        </w:rPr>
        <w:t xml:space="preserve">Raport wygenerowany na podstawie danych z WDZ Test Simulator v1.4.1</w:t>
      </w:r>
    </w:p>
    <w:p>
      <w:pPr>
        <w:spacing w:after="120"/>
        <w:jc w:val="center"/>
      </w:pPr>
      <w:r>
        <w:rPr>
          <w:rFonts w:ascii="Arial" w:cs="Arial" w:eastAsia="Arial" w:hAnsi="Arial"/>
          <w:color w:val="8B7355"/>
          <w:sz w:val="18"/>
          <w:szCs w:val="18"/>
        </w:rPr>
        <w:t xml:space="preserve">aleGRA Twórczy Rozwój ©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4250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4250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2026-05-16T07:01:45.583Z</dcterms:created>
  <dcterms:modified xsi:type="dcterms:W3CDTF">2026-05-16T07:01:45.583Z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