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82"/>
        <w:gridCol w:w="2392"/>
        <w:gridCol w:w="2392"/>
        <w:gridCol w:w="2392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at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71.0 (63.0,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68.0 (60.5, 76.0)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74.0 (64.0, 77.0)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Primary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Tumor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 (8.0,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 (7.0, 13.7)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 (8.0,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dose (cGy)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GTV volume (cc)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(0.4,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(0.3,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(0.8, 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PTV mean BED₁₀ (Gy)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 (125.4, 146.4)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139.0 (128.8, 143.9)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133.8 (123.9, 149.0)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Median (Q1, 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Pearson's Chi-squared test; Wilcoxon rank sum test; Fisher's exact test; Wilcoxon rank sum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2026-06-15T18:35:19Z</dcterms:modified>
  <cp:category/>
</cp:coreProperties>
</file>