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82"/>
        <w:gridCol w:w="2392"/>
        <w:gridCol w:w="2392"/>
        <w:gridCol w:w="2392"/>
        <w:gridCol w:w="118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Alive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Dead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(54.8%)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(63.6%)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(45.2%)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at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71.0 (63.0, 76.0)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 (60.5, 76.0)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74.0 (64.0, 77.0)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Primary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Multiplicity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(64.5%)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Tumor size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 (8.0, 17.0)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 (7.0, 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 (8.0, 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dose (cGy)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GTV volume (cc)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 (0.4,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 (0.3,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 (0.8,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PTV mean BED₁₀ (Gy)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135.7 (125.4, 146.4)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139.0 (128.8, 143.9)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133.8 (123.9, 149.0)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test; Wilcoxon rank sum test; Fisher's exact test; Wilcoxon rank sum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2026-05-18T17:59:59Z</dcterms:modified>
  <cp:category/>
</cp:coreProperties>
</file>