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82"/>
        <w:gridCol w:w="2392"/>
        <w:gridCol w:w="2392"/>
        <w:gridCol w:w="2392"/>
        <w:gridCol w:w="118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Alive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at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71.0 (63.0, 76.0)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68.0 (60.5, 76.0)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74.0 (64.0, 77.0)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Primary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Multiplicity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Tumor size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 (8.0, 17.0)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 (7.0, 13.7)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 (8.0, 20.0)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dose (cGy)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GTV volume (cc)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(0.4,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(0.3,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(0.8, 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PTV mean BED₁₀ (Gy)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135.7 (125.4, 146.4)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139.0 (128.8, 143.9)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133.8 (123.9, 149.0)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Median (Q1, Q3)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Wilcoxon rank sum test; Fisher's exact test; Wilcoxon rank sum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2026-06-15T18:45:44Z</dcterms:modified>
  <cp:category/>
</cp:coreProperties>
</file>