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82"/>
        <w:gridCol w:w="2392"/>
        <w:gridCol w:w="2392"/>
        <w:gridCol w:w="2392"/>
        <w:gridCol w:w="1181"/>
      </w:tblGrid>
      <w:tr>
        <w:trPr>
          <w:trHeight w:val="734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55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Alive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Dead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at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71.0 (63.0, 76.0)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68.0 (60.5, 76.0)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74.0 (64.0, 77.0)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Primary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Multiplicity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single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(64.5%)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Tumor size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 (8.0, 17.0)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 (7.0, 13.7)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16.0 (8.0, 20.0)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dose (cGy)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(32.3%)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(32.3%)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(37.5%)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GTV volume (cc)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 (0.4, 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 (0.3,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(0.8, 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PTV mean BED₁₀ (Gy)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135.7 (125.4, 146.4)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139.0 (128.8, 143.9)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133.8 (123.9, 149.0)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Median (Q1, Q3)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test; Wilcoxon rank sum test; Fisher's exact test; Wilcoxon rank sum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2026-05-15T17:52:13Z</dcterms:modified>
  <cp:category/>
</cp:coreProperties>
</file>