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82"/>
        <w:gridCol w:w="2392"/>
        <w:gridCol w:w="2392"/>
        <w:gridCol w:w="2392"/>
        <w:gridCol w:w="1181"/>
      </w:tblGrid>
      <w:tr>
        <w:trPr>
          <w:trHeight w:val="734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55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Alive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Dead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(54.8%)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(63.6%)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(87.5%)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(45.2%)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at treatment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71.0 (63.0, 76.0)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68.0 (60.5, 76.0)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74.0 (64.0, 77.0)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Primary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Multiplicity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single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(64.5%)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Tumor size (mm)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 (8.0, 17.0)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 (7.0, 13.7)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16.0 (8.0, 20.0)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 dose (cGy)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(32.3%)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(32.3%)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(37.5%)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GTV volume (cc)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 (0.4, 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 (0.3,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(0.8, 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PTV mean BED₁₀ (Gy)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135.7 (125.4, 146.4)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139.0 (128.8, 143.9)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133.8 (123.9, 149.0)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(%); Median (Q1, Q3)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Pearson's Chi-squared test; Wilcoxon rank sum test; Fisher's exact test; Wilcoxon rank sum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2026-05-18T17:44:58Z</dcterms:modified>
  <cp:category/>
</cp:coreProperties>
</file>