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71E" w:rsidRDefault="00CF69FD">
      <w:bookmarkStart w:id="0" w:name="_GoBack"/>
      <w:r w:rsidRPr="006228BA">
        <w:rPr>
          <w:noProof/>
          <w:color w:val="000000"/>
          <w:lang w:eastAsia="ru-RU"/>
        </w:rPr>
        <w:drawing>
          <wp:inline distT="0" distB="0" distL="0" distR="0">
            <wp:extent cx="5940425" cy="3274850"/>
            <wp:effectExtent l="0" t="0" r="3175" b="1905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F9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92A"/>
    <w:rsid w:val="00AD292A"/>
    <w:rsid w:val="00CF69FD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8E1FC-F2D2-4E77-8A65-0CED9302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28"/>
      <c:hPercent val="53"/>
      <c:rotY val="44"/>
      <c:depthPercent val="12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615635179153094"/>
          <c:y val="0.17664670658682635"/>
          <c:w val="0.59934853420195444"/>
          <c:h val="0.5419161676646706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Kaz.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secondary</c:v>
                </c:pt>
                <c:pt idx="1">
                  <c:v>secondary-technical</c:v>
                </c:pt>
                <c:pt idx="2">
                  <c:v>incomplete higher edu.</c:v>
                </c:pt>
                <c:pt idx="3">
                  <c:v>higher edu.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78.3</c:v>
                </c:pt>
                <c:pt idx="1">
                  <c:v>83.4</c:v>
                </c:pt>
                <c:pt idx="2">
                  <c:v>90.1</c:v>
                </c:pt>
                <c:pt idx="3">
                  <c:v>84.7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Rus.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secondary</c:v>
                </c:pt>
                <c:pt idx="1">
                  <c:v>secondary-technical</c:v>
                </c:pt>
                <c:pt idx="2">
                  <c:v>incomplete higher edu.</c:v>
                </c:pt>
                <c:pt idx="3">
                  <c:v>higher edu.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82.1</c:v>
                </c:pt>
                <c:pt idx="1">
                  <c:v>85.6</c:v>
                </c:pt>
                <c:pt idx="2">
                  <c:v>86.3</c:v>
                </c:pt>
                <c:pt idx="3">
                  <c:v>92.5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Eng.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secondary</c:v>
                </c:pt>
                <c:pt idx="1">
                  <c:v>secondary-technical</c:v>
                </c:pt>
                <c:pt idx="2">
                  <c:v>incomplete higher edu.</c:v>
                </c:pt>
                <c:pt idx="3">
                  <c:v>higher edu.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32.4</c:v>
                </c:pt>
                <c:pt idx="2">
                  <c:v>21.3</c:v>
                </c:pt>
                <c:pt idx="3">
                  <c:v>68.2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gapDepth val="120"/>
        <c:shape val="box"/>
        <c:axId val="323416128"/>
        <c:axId val="323418480"/>
        <c:axId val="0"/>
      </c:bar3DChart>
      <c:catAx>
        <c:axId val="323416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-162000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32341848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23418480"/>
        <c:scaling>
          <c:orientation val="minMax"/>
          <c:max val="10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23416128"/>
        <c:crosses val="autoZero"/>
        <c:crossBetween val="between"/>
      </c:valAx>
      <c:spPr>
        <a:noFill/>
        <a:ln w="25399">
          <a:noFill/>
        </a:ln>
      </c:spPr>
    </c:plotArea>
    <c:legend>
      <c:legendPos val="r"/>
      <c:layout>
        <c:manualLayout>
          <c:xMode val="edge"/>
          <c:yMode val="edge"/>
          <c:x val="0.87785016286644946"/>
          <c:y val="0.21257485029940121"/>
          <c:w val="0.11563517915309446"/>
          <c:h val="0.56886227544910184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14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2022-02-04T19:38:00Z</dcterms:created>
  <dcterms:modified xsi:type="dcterms:W3CDTF">2022-02-04T19:38:00Z</dcterms:modified>
</cp:coreProperties>
</file>