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jc w:val="center"/>
      </w:pPr>
      <w:r>
        <w:rPr>
          <w:rFonts w:ascii="黑体" w:hAnsi="黑体"/>
          <w:b/>
          <w:sz w:val="34"/>
        </w:rPr>
        <w:t>软件工程与测试 期末设计报告</w:t>
      </w:r>
    </w:p>
    <w:p>
      <w:pPr>
        <w:ind w:firstLine="0"/>
      </w:pPr>
    </w:p>
    <w:p>
      <w:pPr>
        <w:pStyle w:val="Title"/>
        <w:jc w:val="center"/>
      </w:pPr>
      <w:r>
        <w:t>基于微信小程序的花卉商城系统开发与设计</w:t>
      </w:r>
    </w:p>
    <w:p>
      <w:pPr>
        <w:ind w:firstLine="0"/>
      </w:pPr>
    </w:p>
    <w:p>
      <w:pPr>
        <w:pStyle w:val="Subtitle"/>
        <w:ind w:firstLine="0"/>
        <w:jc w:val="center"/>
      </w:pPr>
      <w:r>
        <w:t>软件工程与测试课程设计</w:t>
      </w:r>
    </w:p>
    <w:p>
      <w:pPr>
        <w:ind w:firstLine="0"/>
      </w:pPr>
    </w:p>
    <w:p>
      <w:pPr>
        <w:ind w:firstLine="0"/>
      </w:pPr>
    </w:p>
    <w:p>
      <w:pPr>
        <w:ind w:firstLine="0"/>
      </w:pPr>
    </w:p>
    <w:p>
      <w:pPr>
        <w:ind w:firstLine="0"/>
      </w:pPr>
    </w:p>
    <w:p>
      <w:pPr>
        <w:ind w:firstLine="0"/>
      </w:pPr>
    </w:p>
    <w:p>
      <w:pPr>
        <w:spacing w:after="260"/>
        <w:ind w:firstLine="0"/>
        <w:jc w:val="center"/>
      </w:pPr>
      <w:r>
        <w:t>学号：________________</w:t>
      </w:r>
    </w:p>
    <w:p>
      <w:pPr>
        <w:spacing w:after="260"/>
        <w:ind w:firstLine="0"/>
        <w:jc w:val="center"/>
      </w:pPr>
      <w:r>
        <w:t>姓名：________________</w:t>
      </w:r>
    </w:p>
    <w:p>
      <w:pPr>
        <w:spacing w:after="260"/>
        <w:ind w:firstLine="0"/>
        <w:jc w:val="center"/>
      </w:pPr>
      <w:r>
        <w:t>专业班级：________________</w:t>
      </w:r>
    </w:p>
    <w:p>
      <w:pPr>
        <w:spacing w:after="260"/>
        <w:ind w:firstLine="0"/>
        <w:jc w:val="center"/>
      </w:pPr>
      <w:r>
        <w:t>指导教师：________________</w:t>
      </w:r>
    </w:p>
    <w:p>
      <w:pPr>
        <w:spacing w:after="260"/>
        <w:ind w:firstLine="0"/>
        <w:jc w:val="center"/>
      </w:pPr>
      <w:r>
        <w:t>完成日期：2026 年 9 月</w:t>
      </w:r>
    </w:p>
    <w:p>
      <w:r>
        <w:br w:type="page"/>
      </w:r>
    </w:p>
    <w:p>
      <w:pPr>
        <w:pStyle w:val="Heading1"/>
      </w:pPr>
      <w:r>
        <w:t>摘要</w:t>
      </w:r>
    </w:p>
    <w:p>
      <w:pPr>
        <w:ind w:firstLine="0"/>
      </w:pPr>
      <w:r>
        <w:t>本报告以单店同城鲜花销售与履约为场景，分析并设计基于微信小程序的花卉商城系统。系统包含商品、订单、用户和权限等基础模块，并设计花卉商品信息、配送区域与预约时段、送花订单履约、花材批次与配方、养护知识等业务模块。报告重点展开需求分析：明确顾客、花店员工与管理员的职责，给出下单、预约配送、制作和送达等用例的前置条件、业务规则、异常分支与验收标准。系统采用小程序和 Web 后台两类前端、Spring Boot 接口服务、业务层以及 MySQL 和 Redis 的分层结构。针对时段超卖、花材过期、重复状态变更与模拟支付一致性等问题，提出事务校验、条件更新、批次锁定、幂等记录和权限控制方案。测试部分记录本地已执行的自动化测试，并明确完整业务链路仍需结合数据库和页面进行现场验收。</w:t>
      </w:r>
    </w:p>
    <w:p>
      <w:pPr>
        <w:ind w:firstLine="0"/>
      </w:pPr>
      <w:r>
        <w:t>关键词：微信小程序；花卉商城；需求分析；预约配送；订单履约；软件测试</w:t>
      </w:r>
    </w:p>
    <w:p>
      <w:pPr>
        <w:pStyle w:val="Heading1"/>
      </w:pPr>
      <w:r>
        <w:t>目录</w:t>
      </w:r>
    </w:p>
    <w:p>
      <w:pPr>
        <w:spacing w:after="180"/>
        <w:ind w:firstLine="0" w:left="240"/>
      </w:pPr>
      <w:r>
        <w:t>第一章 绪论</w:t>
      </w:r>
    </w:p>
    <w:p>
      <w:pPr>
        <w:spacing w:after="180"/>
        <w:ind w:firstLine="0" w:left="240"/>
      </w:pPr>
      <w:r>
        <w:t>第二章 需求分析</w:t>
      </w:r>
    </w:p>
    <w:p>
      <w:pPr>
        <w:spacing w:after="180"/>
        <w:ind w:firstLine="0" w:left="240"/>
      </w:pPr>
      <w:r>
        <w:t>第三章 系统设计</w:t>
      </w:r>
    </w:p>
    <w:p>
      <w:pPr>
        <w:spacing w:after="180"/>
        <w:ind w:firstLine="0" w:left="240"/>
      </w:pPr>
      <w:r>
        <w:t>第四章 系统实现</w:t>
      </w:r>
    </w:p>
    <w:p>
      <w:pPr>
        <w:spacing w:after="180"/>
        <w:ind w:firstLine="0" w:left="240"/>
      </w:pPr>
      <w:r>
        <w:t>第五章 系统测试</w:t>
      </w:r>
    </w:p>
    <w:p>
      <w:pPr>
        <w:pStyle w:val="SmallCN"/>
        <w:ind w:firstLine="0"/>
      </w:pPr>
      <w:r>
        <w:t>说明：本报告采用五章结构；目录可在 Word 中依据标题样式更新页码。</w:t>
      </w:r>
    </w:p>
    <w:p>
      <w:r>
        <w:br w:type="page"/>
      </w:r>
    </w:p>
    <w:p>
      <w:pPr>
        <w:pStyle w:val="Heading1"/>
      </w:pPr>
      <w:r>
        <w:t>第一章 绪论</w:t>
      </w:r>
    </w:p>
    <w:p>
      <w:pPr>
        <w:pStyle w:val="Heading2"/>
      </w:pPr>
      <w:r>
        <w:t>1.1 研究背景与意义</w:t>
      </w:r>
    </w:p>
    <w:p>
      <w:r>
        <w:t>鲜花销售具有商品易损耗、节日需求波动明显、收花人与下单人不同、配送时间敏感等特点。普通商城能够处理商品与订单，却难以直接表达送花祝福、替换花材、预约送达和花束制作进度。实体花店若只依靠即时通信接单，容易出现地址信息散落、热门时段超额接单、制作进度难追踪等问题。</w:t>
      </w:r>
    </w:p>
    <w:p>
      <w:r>
        <w:t>本系统面向单店同城经营。顾客可在线选花、填写送花资料、预约时段并查看履约过程；店员围绕花材、制作和配送进行协同。研究重点是将花店特有的业务约束转化为可校验的需求、数据结构和测试用例。</w:t>
      </w:r>
    </w:p>
    <w:p>
      <w:pPr>
        <w:pStyle w:val="Heading2"/>
      </w:pPr>
      <w:r>
        <w:t>1.2 系统目标与研究范围</w:t>
      </w:r>
    </w:p>
    <w:p>
      <w:r>
        <w:t>系统以单店花卉零售为目标，包含微信小程序顾客端、Web 管理端和 Java 后端。顾客端完成商品浏览、预约下单、支付演示与进度查询；管理端处理商品、花材、配送时段和订单履约。系统分别设计商城订单主状态与花店履约阶段，在保持交易状态清晰的同时呈现制作和配送进度。</w:t>
      </w:r>
    </w:p>
    <w:p>
      <w:r>
        <w:t>本报告覆盖微信小程序顾客端、Web 花店管理后台、后端业务服务和数据库设计。真实微信支付、正式小程序发布、骑手实时定位、顾客 PC 商城与多商户结算不属于本次报告的验收范围；演示支付必须显式受开发配置控制。</w:t>
      </w:r>
    </w:p>
    <w:p>
      <w:pPr>
        <w:pStyle w:val="Heading2"/>
      </w:pPr>
      <w:r>
        <w:t>1.3 研究内容与方法</w:t>
      </w:r>
    </w:p>
    <w:p>
      <w:r>
        <w:t>首先分析角色、业务流程、功能与非功能需求，并建立关键规则和异常处理清单；其次设计分层架构、数据模型及状态流转；然后结合控制器、服务和数据库结构说明实现方式；最后用可复现的自动化测试和待现场验证的端到端场景评价实现情况。需求通过“角色—场景—规则—验收项”的链条展开，避免仅以页面功能代替业务需求。</w:t>
      </w:r>
    </w:p>
    <w:p>
      <w:pPr>
        <w:pStyle w:val="Heading2"/>
      </w:pPr>
      <w:r>
        <w:t>1.4 本章小结</w:t>
      </w:r>
    </w:p>
    <w:p>
      <w:r>
        <w:t>本章明确了单店同城鲜花商城的应用背景、项目来源和边界。后续章节以预约配送与花束履约作为主线，重点分析鲜花商品与常规商城商品之间的差异。</w:t>
      </w:r>
    </w:p>
    <w:p>
      <w:pPr>
        <w:pStyle w:val="Heading1"/>
      </w:pPr>
      <w:r>
        <w:t>第二章 需求分析</w:t>
      </w:r>
    </w:p>
    <w:p>
      <w:pPr>
        <w:pStyle w:val="Heading2"/>
      </w:pPr>
      <w:r>
        <w:t>2.1 业务现状与问题定义</w:t>
      </w:r>
    </w:p>
    <w:p>
      <w:r>
        <w:t>同城花店的一笔订单通常包含两组联系人、指定收花日期和时段、贺卡内容、是否匿名以及花材缺货处理偏好。订单创建后，还需要经历接单、备料、制作、配送和确认送达。若只记录“已付款／已发货”等通用状态，顾客无法了解花束是否制作完成，员工也难以判断当前可执行的任务。</w:t>
      </w:r>
    </w:p>
    <w:p>
      <w:r>
        <w:t>由此可归纳四类核心问题：一是商品资料缺少花材、花语和适用场景，顾客选花成本高；二是热门时段并发预约可能超出花店产能；三是花材随时间失鲜，账面 SKU 库存不能独立证明预约日可制作；四是送花订单状态、凭证和售后需要形成可追踪记录。需求分析应把这些问题转换为输入、处理、约束与可验证输出。</w:t>
      </w:r>
    </w:p>
    <w:p>
      <w:pPr>
        <w:pStyle w:val="Heading2"/>
      </w:pPr>
      <w:r>
        <w:t>2.2 用户角色与业务边界</w:t>
      </w:r>
    </w:p>
    <w:p>
      <w:pPr>
        <w:pStyle w:val="CaptionCN"/>
        <w:keepNext/>
      </w:pPr>
      <w:r>
        <w:t>表 2-1 系统角色与职责</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04"/>
        <w:gridCol w:w="1701"/>
        <w:gridCol w:w="3402"/>
        <w:gridCol w:w="2324"/>
      </w:tblGrid>
      <w:tr>
        <w:trPr>
          <w:trHeight w:hRule="atLeast" w:val="397"/>
          <w:tblHeader/>
          <w:cantSplit/>
        </w:trPr>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角色</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主要目标</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可执行操作</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权限边界</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顾客</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顺利选花并按约定时间收花</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检索商品、填写收送花信息、预约、模拟支付、查进度、售后</w:t>
            </w:r>
          </w:p>
        </w:tc>
        <w:tc>
          <w:tcPr>
            <w:tcW w:type="dxa" w:w="2324"/>
            <w:vAlign w:val="center"/>
            <w:tcMar>
              <w:top w:w="80" w:type="dxa"/>
              <w:left w:w="90" w:type="dxa"/>
              <w:bottom w:w="80" w:type="dxa"/>
              <w:right w:w="90" w:type="dxa"/>
            </w:tcMar>
          </w:tcPr>
          <w:p>
            <w:pPr>
              <w:spacing w:after="0" w:line="276" w:lineRule="auto"/>
              <w:ind w:firstLine="0"/>
            </w:pPr>
            <w:r>
              <w:rPr>
                <w:rFonts w:ascii="宋体" w:hAnsi="宋体" w:eastAsia="宋体"/>
                <w:sz w:val="18"/>
              </w:rPr>
              <w:t>只能查看和操作本人订单</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花店员工</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按流程完成备料、制作与配送</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查看分配任务、更新履约阶段、上传照片和备注</w:t>
            </w:r>
          </w:p>
        </w:tc>
        <w:tc>
          <w:tcPr>
            <w:tcW w:type="dxa" w:w="2324"/>
            <w:vAlign w:val="center"/>
            <w:tcMar>
              <w:top w:w="80" w:type="dxa"/>
              <w:left w:w="90" w:type="dxa"/>
              <w:bottom w:w="80" w:type="dxa"/>
              <w:right w:w="90" w:type="dxa"/>
            </w:tcMar>
          </w:tcPr>
          <w:p>
            <w:pPr>
              <w:spacing w:after="0" w:line="276" w:lineRule="auto"/>
              <w:ind w:firstLine="0"/>
            </w:pPr>
            <w:r>
              <w:rPr>
                <w:rFonts w:ascii="宋体" w:hAnsi="宋体" w:eastAsia="宋体"/>
                <w:sz w:val="18"/>
              </w:rPr>
              <w:t>不能改系统配置与角色权限</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花店管理员</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管理商品、产能与经营</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维护花卉商品、配送区域与时段、花材批次、订单、员工和看板</w:t>
            </w:r>
          </w:p>
        </w:tc>
        <w:tc>
          <w:tcPr>
            <w:tcW w:type="dxa" w:w="2324"/>
            <w:vAlign w:val="center"/>
            <w:tcMar>
              <w:top w:w="80" w:type="dxa"/>
              <w:left w:w="90" w:type="dxa"/>
              <w:bottom w:w="80" w:type="dxa"/>
              <w:right w:w="90" w:type="dxa"/>
            </w:tcMar>
          </w:tcPr>
          <w:p>
            <w:pPr>
              <w:spacing w:after="0" w:line="276" w:lineRule="auto"/>
              <w:ind w:firstLine="0"/>
            </w:pPr>
            <w:r>
              <w:rPr>
                <w:rFonts w:ascii="宋体" w:hAnsi="宋体" w:eastAsia="宋体"/>
                <w:sz w:val="18"/>
              </w:rPr>
              <w:t>拥有经授权的管理能力并留操作记录</w:t>
            </w:r>
          </w:p>
        </w:tc>
      </w:tr>
    </w:tbl>
    <w:p>
      <w:pPr>
        <w:spacing w:after="0"/>
      </w:pPr>
    </w:p>
    <w:p>
      <w:r>
        <w:t>系统边界内的数据由顾客端与后台通过接口访问，不依赖客户端自行计算最终可用库存或预约名额。系统边界外的短信、真实微信交易与骑手定位等第三方能力，采用接口预留或模拟方式处理，不能在报告中视为已上线能力。</w:t>
      </w:r>
    </w:p>
    <w:p>
      <w:pPr>
        <w:pStyle w:val="Heading2"/>
      </w:pPr>
      <w:r>
        <w:t>2.3 功能需求</w:t>
      </w:r>
    </w:p>
    <w:p>
      <w:pPr>
        <w:pStyle w:val="Heading3"/>
      </w:pPr>
      <w:r>
        <w:t>2.3.1 花卉商品与内容需求</w:t>
      </w:r>
    </w:p>
    <w:p>
      <w:r>
        <w:t>顾客应能按关键词、适用场景、赠送对象、色系及预算区间筛选商品，并在详情页看到价格、规格、主要花材、花语、枝数、包装、养护说明和建议观赏期。后台应能维护商品分类、SKU、图片、价格、库存与花卉扩展资料。若扩展资料缺失，应保留基础商品展示，但不可把未配置的花材批次商品误标为交付日有货。养护知识应支持列表、关键词查询和详情阅读。</w:t>
      </w:r>
    </w:p>
    <w:p>
      <w:pPr>
        <w:pStyle w:val="Heading3"/>
      </w:pPr>
      <w:r>
        <w:t>2.3.2 下单与预约配送需求</w:t>
      </w:r>
    </w:p>
    <w:p>
      <w:r>
        <w:t>顾客选择同城配送时，应填写订花人与收花人的姓名和电话、配送地址、日期与时间段，可选贺卡文字、匿名送花、提前联系和缺花替换策略；到店自提只需下单联系人与取花日期。地址须属于启用的配送区域，商品金额须达到该区域起送金额；系统显示配送费。已满额、已截单或已停用的时段不得提交。下单接口必须在提交时重新校验这些条件，避免浏览阶段的数据过时。</w:t>
      </w:r>
    </w:p>
    <w:p>
      <w:pPr>
        <w:pStyle w:val="Heading3"/>
      </w:pPr>
      <w:r>
        <w:t>2.3.3 花店履约与售后需求</w:t>
      </w:r>
    </w:p>
    <w:p>
      <w:r>
        <w:t>支付后订单进入待接单状态，管理员按待制作、制作中、待配送、配送中、已完成的顺序推进。制作和送达环节可保存成品照、配送人员及送达凭证。顾客可查看阶段和时间记录，并确认收花。鲜花品质售后限定在送达后两小时内申请，原因包括不新鲜、花材不符、包装破损和配送超时；超时后转人工处理。制作前取消可释放预约资源，制作后的损耗由店员人工处理。</w:t>
      </w:r>
    </w:p>
    <w:p>
      <w:pPr>
        <w:pStyle w:val="Heading3"/>
      </w:pPr>
      <w:r>
        <w:t>2.3.4 花材与经营管理需求</w:t>
      </w:r>
    </w:p>
    <w:p>
      <w:r>
        <w:t>后台应维护花材名称、单位、保鲜天数、低库存阈值、批次到期日与数量，并为商品配置每件花材用量。启用批次管理的商品需要同时通过原 SKU 库存和花材可分配量两项校验；按照到期日优先分配，允许拆分多个合格批次。经营看板应展示订单、销售、待处理任务及配送相关指标，供店员安排当日工作。</w:t>
      </w:r>
    </w:p>
    <w:p>
      <w:pPr>
        <w:pStyle w:val="Heading2"/>
      </w:pPr>
      <w:r>
        <w:t>2.4 关键用例分析</w:t>
      </w:r>
    </w:p>
    <w:p>
      <w:pPr>
        <w:pStyle w:val="CaptionCN"/>
        <w:keepNext/>
      </w:pPr>
      <w:r>
        <w:t>表 2-2 预约送花用例 UC-01</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7143"/>
      </w:tblGrid>
      <w:tr>
        <w:trPr>
          <w:trHeight w:hRule="atLeast" w:val="397"/>
          <w:tblHeader/>
          <w:cantSplit/>
        </w:trPr>
        <w:tc>
          <w:tcPr>
            <w:tcW w:type="dxa" w:w="4422"/>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要素</w:t>
            </w:r>
          </w:p>
        </w:tc>
        <w:tc>
          <w:tcPr>
            <w:tcW w:type="dxa" w:w="4422"/>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具体内容</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参与者</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顾客；配送区域与时段服务；订单服务；花材服务</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前置条件</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顾客已登录；商品上架；已选择合法 SKU；有收货地址</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主流程</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填写订花人、收花人及贺卡；选择地址、日期和时段；系统报价并核对容量与花材；创建待付款订单，保留预约名额；顾客完成模拟支付</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后置条件</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订单与扩展信息保存；预约容量被占用；启用批次管理的花材被锁定；支付成功后进入待接单</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异常分支</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地址不在范围、未达起送金额、时段已满或截单、花材不足、库存不足时拒绝下单且不留下部分占用；支付失败保持待付款</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验收依据</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同一时段的已预约量不超过容量；订单中的联系人、地址快照、时段和花材分配可追溯</w:t>
            </w:r>
          </w:p>
        </w:tc>
      </w:tr>
    </w:tbl>
    <w:p>
      <w:pPr>
        <w:spacing w:after="0"/>
      </w:pPr>
    </w:p>
    <w:p>
      <w:pPr>
        <w:pStyle w:val="CaptionCN"/>
        <w:keepNext/>
      </w:pPr>
      <w:r>
        <w:t>表 2-3 履约流转用例 UC-02</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7143"/>
      </w:tblGrid>
      <w:tr>
        <w:trPr>
          <w:trHeight w:hRule="atLeast" w:val="397"/>
          <w:tblHeader/>
          <w:cantSplit/>
        </w:trPr>
        <w:tc>
          <w:tcPr>
            <w:tcW w:type="dxa" w:w="4422"/>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要素</w:t>
            </w:r>
          </w:p>
        </w:tc>
        <w:tc>
          <w:tcPr>
            <w:tcW w:type="dxa" w:w="4422"/>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具体内容</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参与者</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花店员工、管理员、顾客</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前置条件</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订单已付款；操作人员具有相应阶段权限</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主流程</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接单→待制作→制作中→待配送→配送中→已完成；保存操作人、时间、备注和相关图片</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异常分支</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越级操作、重复提交、未授权操作被拒绝；制作前取消释放资源；制作后不自动返还已消耗花材</w:t>
            </w:r>
          </w:p>
        </w:tc>
      </w:tr>
      <w:tr>
        <w:trPr>
          <w:trHeight w:hRule="atLeast" w:val="397"/>
          <w:cantSplit/>
        </w:trPr>
        <w:tc>
          <w:tcPr>
            <w:tcW w:type="dxa" w:w="1587"/>
            <w:vAlign w:val="center"/>
            <w:tcMar>
              <w:top w:w="80" w:type="dxa"/>
              <w:left w:w="90" w:type="dxa"/>
              <w:bottom w:w="80" w:type="dxa"/>
              <w:right w:w="90" w:type="dxa"/>
            </w:tcMar>
          </w:tcPr>
          <w:p>
            <w:pPr>
              <w:spacing w:after="0" w:line="276" w:lineRule="auto"/>
              <w:ind w:firstLine="0"/>
            </w:pPr>
            <w:r>
              <w:rPr>
                <w:rFonts w:ascii="宋体" w:hAnsi="宋体" w:eastAsia="宋体"/>
                <w:sz w:val="18"/>
              </w:rPr>
              <w:t>验收依据</w:t>
            </w:r>
          </w:p>
        </w:tc>
        <w:tc>
          <w:tcPr>
            <w:tcW w:type="dxa" w:w="7143"/>
            <w:vAlign w:val="center"/>
            <w:tcMar>
              <w:top w:w="80" w:type="dxa"/>
              <w:left w:w="90" w:type="dxa"/>
              <w:bottom w:w="80" w:type="dxa"/>
              <w:right w:w="90" w:type="dxa"/>
            </w:tcMar>
          </w:tcPr>
          <w:p>
            <w:pPr>
              <w:spacing w:after="0" w:line="276" w:lineRule="auto"/>
              <w:ind w:firstLine="0"/>
            </w:pPr>
            <w:r>
              <w:rPr>
                <w:rFonts w:ascii="宋体" w:hAnsi="宋体" w:eastAsia="宋体"/>
                <w:sz w:val="18"/>
              </w:rPr>
              <w:t>每个阶段只产生一次有效记录；商城主状态与花店细分阶段一致；顾客仅见自己的订单</w:t>
            </w:r>
          </w:p>
        </w:tc>
      </w:tr>
    </w:tbl>
    <w:p>
      <w:pPr>
        <w:spacing w:after="0"/>
      </w:pPr>
    </w:p>
    <w:p>
      <w:pPr>
        <w:pStyle w:val="Heading2"/>
      </w:pPr>
      <w:r>
        <w:t>2.5 业务规则与数据需求</w:t>
      </w:r>
    </w:p>
    <w:p>
      <w:pPr>
        <w:pStyle w:val="CaptionCN"/>
        <w:keepNext/>
      </w:pPr>
      <w:r>
        <w:t>表 2-4 核心业务规则</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3685"/>
        <w:gridCol w:w="1701"/>
        <w:gridCol w:w="3005"/>
      </w:tblGrid>
      <w:tr>
        <w:trPr>
          <w:trHeight w:hRule="atLeast" w:val="397"/>
          <w:tblHeader/>
          <w:cantSplit/>
        </w:trPr>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编号</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规则</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判定位置</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错误或边界处理</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BR-01</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地址属于启用配送区域，且达到起送金额</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服务端报价及下单复核</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提示更换地址或自提</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BR-02</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已预约数小于容量且当前时间早于截单时间</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时段条件更新</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名额已满时要求重新选择</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BR-03</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待付款预约逾期释放名额</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定时任务与幂等释放</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重复释放不减成负数</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BR-04</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启用批次管理后，合格批次到期日不早于交付日</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下单事务中的批次分配</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不足则整单回滚</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BR-05</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首次进入制作中才消耗已锁定花材</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履约状态服务</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重复回调不重复扣减</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BR-06</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顾客仅访问本人订单；员工按权限更新阶段</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接口鉴权与业务校验</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拒绝未授权请求</w:t>
            </w:r>
          </w:p>
        </w:tc>
      </w:tr>
      <w:tr>
        <w:trPr>
          <w:trHeight w:hRule="atLeast" w:val="397"/>
          <w:cantSplit/>
        </w:trPr>
        <w:tc>
          <w:tcPr>
            <w:tcW w:type="dxa" w:w="907"/>
            <w:vAlign w:val="center"/>
            <w:tcMar>
              <w:top w:w="80" w:type="dxa"/>
              <w:left w:w="90" w:type="dxa"/>
              <w:bottom w:w="80" w:type="dxa"/>
              <w:right w:w="90" w:type="dxa"/>
            </w:tcMar>
          </w:tcPr>
          <w:p>
            <w:pPr>
              <w:spacing w:after="0" w:line="276" w:lineRule="auto"/>
              <w:ind w:firstLine="0"/>
            </w:pPr>
            <w:r>
              <w:rPr>
                <w:rFonts w:ascii="宋体" w:hAnsi="宋体" w:eastAsia="宋体"/>
                <w:sz w:val="18"/>
              </w:rPr>
              <w:t>BR-07</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品质售后在送达后两小时内提交</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售后服务端校验</w:t>
            </w:r>
          </w:p>
        </w:tc>
        <w:tc>
          <w:tcPr>
            <w:tcW w:type="dxa" w:w="3005"/>
            <w:vAlign w:val="center"/>
            <w:tcMar>
              <w:top w:w="80" w:type="dxa"/>
              <w:left w:w="90" w:type="dxa"/>
              <w:bottom w:w="80" w:type="dxa"/>
              <w:right w:w="90" w:type="dxa"/>
            </w:tcMar>
          </w:tcPr>
          <w:p>
            <w:pPr>
              <w:spacing w:after="0" w:line="276" w:lineRule="auto"/>
              <w:ind w:firstLine="0"/>
            </w:pPr>
            <w:r>
              <w:rPr>
                <w:rFonts w:ascii="宋体" w:hAnsi="宋体" w:eastAsia="宋体"/>
                <w:sz w:val="18"/>
              </w:rPr>
              <w:t>超时转人工客服</w:t>
            </w:r>
          </w:p>
        </w:tc>
      </w:tr>
    </w:tbl>
    <w:p>
      <w:pPr>
        <w:spacing w:after="0"/>
      </w:pPr>
    </w:p>
    <w:p>
      <w:r>
        <w:t>核心数据包括商城商品、SKU、订单、订单明细、用户和地址，以及花卉商品扩展、配送区域、预约时段、订单扩展、进度记录、花材、批次、配方和分配记录。地址应在下单时保存快照，避免顾客后续修改常用地址影响历史订单。时段容量、花材数量与订单状态均须以服务端持久化数据为准。</w:t>
      </w:r>
    </w:p>
    <w:p>
      <w:pPr>
        <w:pStyle w:val="Heading2"/>
      </w:pPr>
      <w:r>
        <w:t>2.6 非功能需求与验收口径</w:t>
      </w:r>
    </w:p>
    <w:p>
      <w:pPr>
        <w:pStyle w:val="CaptionCN"/>
        <w:keepNext/>
      </w:pPr>
      <w:r>
        <w:t>表 2-5 非功能需求与拟验收方式</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04"/>
        <w:gridCol w:w="4309"/>
        <w:gridCol w:w="3685"/>
      </w:tblGrid>
      <w:tr>
        <w:trPr>
          <w:trHeight w:hRule="atLeast" w:val="397"/>
          <w:tblHeader/>
          <w:cantSplit/>
        </w:trPr>
        <w:tc>
          <w:tcPr>
            <w:tcW w:type="dxa" w:w="2948"/>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类别</w:t>
            </w:r>
          </w:p>
        </w:tc>
        <w:tc>
          <w:tcPr>
            <w:tcW w:type="dxa" w:w="2948"/>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设计要求</w:t>
            </w:r>
          </w:p>
        </w:tc>
        <w:tc>
          <w:tcPr>
            <w:tcW w:type="dxa" w:w="2948"/>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验收方式</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正确性</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订单、容量、花材的变更具有事务边界；重复请求结果一致</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并发名额测试、回滚与幂等测试</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安全性</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顾客订单归属校验；后台按角色和接口权限控制</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越权请求和角色隔离测试</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可用性</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关键失败给出明确提示，表单失败时尽量保留已输入信息</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页面走查与异常场景检查</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可维护性</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花店特有字段与商城基础模型分离；服务职责清晰</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代码结构及变更影响检查</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兼容性</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历史商品默认沿用原 SKU 流程；小程序和后台共用业务服务</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回归测试与历史数据检查</w:t>
            </w:r>
          </w:p>
        </w:tc>
      </w:tr>
      <w:tr>
        <w:trPr>
          <w:trHeight w:hRule="atLeast" w:val="397"/>
          <w:cantSplit/>
        </w:trPr>
        <w:tc>
          <w:tcPr>
            <w:tcW w:type="dxa" w:w="1304"/>
            <w:vAlign w:val="center"/>
            <w:tcMar>
              <w:top w:w="80" w:type="dxa"/>
              <w:left w:w="90" w:type="dxa"/>
              <w:bottom w:w="80" w:type="dxa"/>
              <w:right w:w="90" w:type="dxa"/>
            </w:tcMar>
          </w:tcPr>
          <w:p>
            <w:pPr>
              <w:spacing w:after="0" w:line="276" w:lineRule="auto"/>
              <w:ind w:firstLine="0"/>
            </w:pPr>
            <w:r>
              <w:rPr>
                <w:rFonts w:ascii="宋体" w:hAnsi="宋体" w:eastAsia="宋体"/>
                <w:sz w:val="18"/>
              </w:rPr>
              <w:t>性能</w:t>
            </w:r>
          </w:p>
        </w:tc>
        <w:tc>
          <w:tcPr>
            <w:tcW w:type="dxa" w:w="4309"/>
            <w:vAlign w:val="center"/>
            <w:tcMar>
              <w:top w:w="80" w:type="dxa"/>
              <w:left w:w="90" w:type="dxa"/>
              <w:bottom w:w="80" w:type="dxa"/>
              <w:right w:w="90" w:type="dxa"/>
            </w:tcMar>
          </w:tcPr>
          <w:p>
            <w:pPr>
              <w:spacing w:after="0" w:line="276" w:lineRule="auto"/>
              <w:ind w:firstLine="0"/>
            </w:pPr>
            <w:r>
              <w:rPr>
                <w:rFonts w:ascii="宋体" w:hAnsi="宋体" w:eastAsia="宋体"/>
                <w:sz w:val="18"/>
              </w:rPr>
              <w:t>目标是在典型单店负载下保持结算响应可用，具体阈值以部署环境压测确定</w:t>
            </w:r>
          </w:p>
        </w:tc>
        <w:tc>
          <w:tcPr>
            <w:tcW w:type="dxa" w:w="3685"/>
            <w:vAlign w:val="center"/>
            <w:tcMar>
              <w:top w:w="80" w:type="dxa"/>
              <w:left w:w="90" w:type="dxa"/>
              <w:bottom w:w="80" w:type="dxa"/>
              <w:right w:w="90" w:type="dxa"/>
            </w:tcMar>
          </w:tcPr>
          <w:p>
            <w:pPr>
              <w:spacing w:after="0" w:line="276" w:lineRule="auto"/>
              <w:ind w:firstLine="0"/>
            </w:pPr>
            <w:r>
              <w:rPr>
                <w:rFonts w:ascii="宋体" w:hAnsi="宋体" w:eastAsia="宋体"/>
                <w:sz w:val="18"/>
              </w:rPr>
              <w:t>压测记录响应时间与错误率；当前未提供实测指标</w:t>
            </w:r>
          </w:p>
        </w:tc>
      </w:tr>
    </w:tbl>
    <w:p>
      <w:pPr>
        <w:spacing w:after="0"/>
      </w:pPr>
    </w:p>
    <w:p>
      <w:pPr>
        <w:pStyle w:val="Heading2"/>
      </w:pPr>
      <w:r>
        <w:t>2.7 关键问题的思辨分析</w:t>
      </w:r>
    </w:p>
    <w:p>
      <w:r>
        <w:t>问题一：为什么 SKU 库存仍不足以判断鲜花可售？SKU 表示商品规格的可销售数量，却不包含原料批次及交付日期。一个花束即使 SKU 尚有库存，若交付日所需玫瑰批次已过期，也不应允许下单。启用批次管理的商品需同时满足 SKU 库存与花材可分配量两项条件，并记录订单实际分配的批次；未启用批次管理的商品以 SKU 可售量为准。</w:t>
      </w:r>
    </w:p>
    <w:p>
      <w:r>
        <w:t>问题二：前端显示“还剩一个时段”是否足以防止超卖？多个顾客可能同时看到相同余量。因此列表只承担选择提示，最终提交在数据库事务内以条件更新占位；若更新失败，订单创建与花材锁定一并回滚。对逾期待付款订单，释放操作需有“已释放”标记，防止重复任务把已预约数量减为负值。</w:t>
      </w:r>
    </w:p>
    <w:p>
      <w:r>
        <w:t>问题三：花店履约状态如何与交易状态保持一致？支付、退款、发货和统计依赖订单主状态，花束制作与配送又需要更细的业务阶段。系统在订单主表记录交易状态，在送花订单与进度表记录细分阶段，并在关键节点同步两者；状态映射必须明确，且需用测试防止越级和重复变更。</w:t>
      </w:r>
    </w:p>
    <w:p>
      <w:r>
        <w:t>问题四：演示支付应怎样避免形成不真实的结论？模拟支付仅用于课程演示，开关默认关闭，且必须进入与真实支付成功相同的内部订单处理流程。报告只能证明模拟流程的设计与相关测试，不得把它写成真实微信交易已上线。</w:t>
      </w:r>
    </w:p>
    <w:p>
      <w:pPr>
        <w:pStyle w:val="Heading2"/>
      </w:pPr>
      <w:r>
        <w:t>2.8 本章小结</w:t>
      </w:r>
    </w:p>
    <w:p>
      <w:r>
        <w:t>本章把花店经营问题转化为角色、功能、用例、业务规则、数据和非功能需求。需求分析的核心结论是：预约容量、交付日花材可用性和履约状态必须由服务端统一校验，并在异常与重复请求下保持一致。</w:t>
      </w:r>
    </w:p>
    <w:p>
      <w:pPr>
        <w:pStyle w:val="Heading1"/>
      </w:pPr>
      <w:r>
        <w:t>第三章 系统设计</w:t>
      </w:r>
    </w:p>
    <w:p>
      <w:pPr>
        <w:pStyle w:val="Heading2"/>
      </w:pPr>
      <w:r>
        <w:t>3.1 系统总体设计</w:t>
      </w:r>
    </w:p>
    <w:p>
      <w:r>
        <w:t>系统面向顾客、花店员工和管理员三类角色，采用顾客小程序、花店管理端、业务服务与数据存储四层结构。顾客端负责选花、填写送花资料和查看订单；管理端负责商品、配送、花材与履约；服务层统一执行金额、预约和库存规则。图 3-1 展示部署与调用关系。</w:t>
      </w:r>
    </w:p>
    <w:p>
      <w:pPr>
        <w:keepNext/>
        <w:spacing w:before="140" w:after="40"/>
        <w:ind w:firstLine="0"/>
        <w:jc w:val="center"/>
      </w:pPr>
      <w:r>
        <w:drawing>
          <wp:inline xmlns:a="http://schemas.openxmlformats.org/drawingml/2006/main" xmlns:pic="http://schemas.openxmlformats.org/drawingml/2006/picture">
            <wp:extent cx="5652000" cy="235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52000" cy="2355000"/>
                    </a:xfrm>
                    <a:prstGeom prst="rect"/>
                  </pic:spPr>
                </pic:pic>
              </a:graphicData>
            </a:graphic>
          </wp:inline>
        </w:drawing>
      </w:r>
    </w:p>
    <w:p>
      <w:pPr>
        <w:pStyle w:val="CaptionCN"/>
        <w:keepNext w:val="0"/>
        <w:jc w:val="center"/>
      </w:pPr>
      <w:r>
        <w:t>图 3-1 系统总体架构图</w:t>
      </w:r>
    </w:p>
    <w:p>
      <w:r>
        <w:t>顾客的业务主线是“浏览商品—选择地址和时段—提交订单—支付—查看制作与配送进度”；店员从待接单列表开始，依次完成接单、制作、配送和送达记录。管理员配置可配送区域、时段容量、花材批次及员工权限。各角色通过同一订单与库存数据协作，关系见图 3-2。</w:t>
      </w:r>
    </w:p>
    <w:p>
      <w:pPr>
        <w:keepNext/>
        <w:jc w:val="center"/>
      </w:pPr>
      <w:r>
        <w:drawing>
          <wp:inline xmlns:a="http://schemas.openxmlformats.org/drawingml/2006/main" xmlns:pic="http://schemas.openxmlformats.org/drawingml/2006/picture">
            <wp:extent cx="5623560" cy="1727236"/>
            <wp:docPr id="2" name="Picture 2"/>
            <wp:cNvGraphicFramePr>
              <a:graphicFrameLocks noChangeAspect="1"/>
            </wp:cNvGraphicFramePr>
            <a:graphic>
              <a:graphicData uri="http://schemas.openxmlformats.org/drawingml/2006/picture">
                <pic:pic>
                  <pic:nvPicPr>
                    <pic:cNvPr id="0" name="figure-role-flow.png"/>
                    <pic:cNvPicPr/>
                  </pic:nvPicPr>
                  <pic:blipFill>
                    <a:blip r:embed="rId14"/>
                    <a:stretch>
                      <a:fillRect/>
                    </a:stretch>
                  </pic:blipFill>
                  <pic:spPr>
                    <a:xfrm>
                      <a:off x="0" y="0"/>
                      <a:ext cx="5623560" cy="1727236"/>
                    </a:xfrm>
                    <a:prstGeom prst="rect"/>
                  </pic:spPr>
                </pic:pic>
              </a:graphicData>
            </a:graphic>
          </wp:inline>
        </w:drawing>
      </w:r>
    </w:p>
    <w:p>
      <w:pPr>
        <w:pStyle w:val="CaptionCN"/>
        <w:keepNext w:val="0"/>
        <w:jc w:val="center"/>
      </w:pPr>
      <w:r>
        <w:t>图 3-2 系统角色与业务协作图</w:t>
      </w:r>
    </w:p>
    <w:p>
      <w:pPr>
        <w:pStyle w:val="Heading2"/>
      </w:pPr>
      <w:r>
        <w:t>3.2 系统详细设计</w:t>
      </w:r>
    </w:p>
    <w:p>
      <w:pPr>
        <w:pStyle w:val="Heading3"/>
      </w:pPr>
      <w:r>
        <w:t>3.2.1 关键类及职责</w:t>
      </w:r>
    </w:p>
    <w:p>
      <w:r>
        <w:t>后端采用控制器、服务和数据访问层组织业务。控制器接收请求并完成角色校验，服务层落实订单、配送与花材规则，数据访问层执行带条件的数据库更新。核心协作关系如图 3-3，主要职责列于表 3-1。</w:t>
      </w:r>
    </w:p>
    <w:p>
      <w:pPr>
        <w:keepNext/>
        <w:jc w:val="center"/>
      </w:pPr>
      <w:r>
        <w:drawing>
          <wp:inline xmlns:a="http://schemas.openxmlformats.org/drawingml/2006/main" xmlns:pic="http://schemas.openxmlformats.org/drawingml/2006/picture">
            <wp:extent cx="5623560" cy="2410097"/>
            <wp:docPr id="3" name="Picture 3"/>
            <wp:cNvGraphicFramePr>
              <a:graphicFrameLocks noChangeAspect="1"/>
            </wp:cNvGraphicFramePr>
            <a:graphic>
              <a:graphicData uri="http://schemas.openxmlformats.org/drawingml/2006/picture">
                <pic:pic>
                  <pic:nvPicPr>
                    <pic:cNvPr id="0" name="figure-class-design.png"/>
                    <pic:cNvPicPr/>
                  </pic:nvPicPr>
                  <pic:blipFill>
                    <a:blip r:embed="rId15"/>
                    <a:stretch>
                      <a:fillRect/>
                    </a:stretch>
                  </pic:blipFill>
                  <pic:spPr>
                    <a:xfrm>
                      <a:off x="0" y="0"/>
                      <a:ext cx="5623560" cy="2410097"/>
                    </a:xfrm>
                    <a:prstGeom prst="rect"/>
                  </pic:spPr>
                </pic:pic>
              </a:graphicData>
            </a:graphic>
          </wp:inline>
        </w:drawing>
      </w:r>
    </w:p>
    <w:p>
      <w:pPr>
        <w:pStyle w:val="CaptionCN"/>
        <w:keepNext w:val="0"/>
        <w:jc w:val="center"/>
      </w:pPr>
      <w:r>
        <w:t>图 3-3 送花订单关键类协作图</w:t>
      </w:r>
    </w:p>
    <w:p>
      <w:pPr>
        <w:pStyle w:val="CaptionCN"/>
        <w:keepNext/>
        <w:jc w:val="center"/>
      </w:pPr>
      <w:r>
        <w:t>表 3-1 关键类职责</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2880"/>
            <w:shd w:fill="DCE7F0"/>
            <w:vAlign w:val="center"/>
          </w:tcPr>
          <w:p>
            <w:pPr>
              <w:keepNext/>
              <w:spacing w:after="0"/>
            </w:pPr>
            <w:r>
              <w:rPr>
                <w:sz w:val="18"/>
              </w:rPr>
              <w:t>类或接口</w:t>
            </w:r>
          </w:p>
        </w:tc>
        <w:tc>
          <w:tcPr>
            <w:tcW w:type="dxa" w:w="3816"/>
            <w:shd w:fill="DCE7F0"/>
            <w:vAlign w:val="center"/>
          </w:tcPr>
          <w:p>
            <w:pPr>
              <w:keepNext/>
              <w:spacing w:after="0"/>
            </w:pPr>
            <w:r>
              <w:rPr>
                <w:sz w:val="18"/>
              </w:rPr>
              <w:t>核心职责</w:t>
            </w:r>
          </w:p>
        </w:tc>
        <w:tc>
          <w:tcPr>
            <w:tcW w:type="dxa" w:w="2376"/>
            <w:shd w:fill="DCE7F0"/>
            <w:vAlign w:val="center"/>
          </w:tcPr>
          <w:p>
            <w:pPr>
              <w:keepNext/>
              <w:spacing w:after="0"/>
            </w:pPr>
            <w:r>
              <w:rPr>
                <w:sz w:val="18"/>
              </w:rPr>
              <w:t>主要数据</w:t>
            </w:r>
          </w:p>
        </w:tc>
      </w:tr>
      <w:tr>
        <w:trPr>
          <w:cantSplit/>
        </w:trPr>
        <w:tc>
          <w:tcPr>
            <w:tcW w:type="dxa" w:w="2880"/>
            <w:vAlign w:val="center"/>
          </w:tcPr>
          <w:p>
            <w:pPr>
              <w:spacing w:after="0"/>
            </w:pPr>
            <w:r>
              <w:rPr>
                <w:sz w:val="18"/>
              </w:rPr>
              <w:t>FlowerProductService</w:t>
            </w:r>
          </w:p>
        </w:tc>
        <w:tc>
          <w:tcPr>
            <w:tcW w:type="dxa" w:w="3816"/>
            <w:vAlign w:val="center"/>
          </w:tcPr>
          <w:p>
            <w:pPr>
              <w:spacing w:after="0"/>
            </w:pPr>
            <w:r>
              <w:rPr>
                <w:sz w:val="18"/>
              </w:rPr>
              <w:t>组合商品与花卉属性，完成筛选和详情查询</w:t>
            </w:r>
          </w:p>
        </w:tc>
        <w:tc>
          <w:tcPr>
            <w:tcW w:type="dxa" w:w="2376"/>
            <w:vAlign w:val="center"/>
          </w:tcPr>
          <w:p>
            <w:pPr>
              <w:spacing w:after="0"/>
            </w:pPr>
            <w:r>
              <w:rPr>
                <w:sz w:val="18"/>
              </w:rPr>
              <w:t>商品、花卉商品信息</w:t>
            </w:r>
          </w:p>
        </w:tc>
      </w:tr>
      <w:tr>
        <w:trPr>
          <w:cantSplit/>
        </w:trPr>
        <w:tc>
          <w:tcPr>
            <w:tcW w:type="dxa" w:w="2880"/>
            <w:vAlign w:val="center"/>
          </w:tcPr>
          <w:p>
            <w:r>
              <w:t>FlowerOrderService</w:t>
            </w:r>
          </w:p>
        </w:tc>
        <w:tc>
          <w:tcPr>
            <w:tcW w:type="dxa" w:w="3816"/>
            <w:vAlign w:val="center"/>
          </w:tcPr>
          <w:p>
            <w:pPr>
              <w:spacing w:after="0"/>
            </w:pPr>
            <w:r>
              <w:rPr>
                <w:sz w:val="18"/>
              </w:rPr>
              <w:t>校验送花资料，保存订单扩展与进度记录</w:t>
            </w:r>
          </w:p>
        </w:tc>
        <w:tc>
          <w:tcPr>
            <w:tcW w:type="dxa" w:w="2376"/>
            <w:vAlign w:val="center"/>
          </w:tcPr>
          <w:p>
            <w:pPr>
              <w:spacing w:after="0"/>
            </w:pPr>
            <w:r>
              <w:rPr>
                <w:sz w:val="18"/>
              </w:rPr>
              <w:t>订单、送花订单、进度</w:t>
            </w:r>
          </w:p>
        </w:tc>
      </w:tr>
      <w:tr>
        <w:trPr>
          <w:cantSplit/>
        </w:trPr>
        <w:tc>
          <w:tcPr>
            <w:tcW w:type="dxa" w:w="2880"/>
            <w:vAlign w:val="center"/>
          </w:tcPr>
          <w:p>
            <w:r>
              <w:t>FlowerDelivery</w:t>
              <w:br/>
              <w:t>Service</w:t>
            </w:r>
          </w:p>
        </w:tc>
        <w:tc>
          <w:tcPr>
            <w:tcW w:type="dxa" w:w="3816"/>
            <w:vAlign w:val="center"/>
          </w:tcPr>
          <w:p>
            <w:pPr>
              <w:spacing w:after="0"/>
            </w:pPr>
            <w:r>
              <w:rPr>
                <w:sz w:val="18"/>
              </w:rPr>
              <w:t>计算配送费，校验并占用或释放时段</w:t>
            </w:r>
          </w:p>
        </w:tc>
        <w:tc>
          <w:tcPr>
            <w:tcW w:type="dxa" w:w="2376"/>
            <w:vAlign w:val="center"/>
          </w:tcPr>
          <w:p>
            <w:pPr>
              <w:spacing w:after="0"/>
            </w:pPr>
            <w:r>
              <w:rPr>
                <w:sz w:val="18"/>
              </w:rPr>
              <w:t>区域、时段、送花订单</w:t>
            </w:r>
          </w:p>
        </w:tc>
      </w:tr>
    </w:tbl>
    <w:p>
      <w:pPr>
        <w:pStyle w:val="Heading3"/>
      </w:pPr>
      <w:r>
        <w:t>3.2.2 重要数据结构</w:t>
      </w:r>
    </w:p>
    <w:p>
      <w:r>
        <w:t>商品主数据保存名称、价格与销售状态，花卉商品信息补充主要花材、花语、适用场景和养护说明。订单主数据保存交易状态，送花订单信息保存收送花人、地址快照、预约日期、时段和当前履约阶段。表 3-2 列出直接影响预约与花材分配的数据结构。</w:t>
      </w:r>
    </w:p>
    <w:p>
      <w:pPr>
        <w:pStyle w:val="CaptionCN"/>
        <w:keepNext/>
        <w:jc w:val="center"/>
      </w:pPr>
      <w:r>
        <w:t>表 3-2 重要业务数据结构</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1728"/>
            <w:shd w:fill="DCE7F0"/>
            <w:vAlign w:val="center"/>
          </w:tcPr>
          <w:p>
            <w:pPr>
              <w:keepNext/>
              <w:spacing w:after="0"/>
            </w:pPr>
            <w:r>
              <w:rPr>
                <w:sz w:val="18"/>
              </w:rPr>
              <w:t>数据结构</w:t>
            </w:r>
          </w:p>
        </w:tc>
        <w:tc>
          <w:tcPr>
            <w:tcW w:type="dxa" w:w="4320"/>
            <w:shd w:fill="DCE7F0"/>
            <w:vAlign w:val="center"/>
          </w:tcPr>
          <w:p>
            <w:pPr>
              <w:keepNext/>
              <w:spacing w:after="0"/>
            </w:pPr>
            <w:r>
              <w:rPr>
                <w:sz w:val="18"/>
              </w:rPr>
              <w:t>关键字段</w:t>
            </w:r>
          </w:p>
        </w:tc>
        <w:tc>
          <w:tcPr>
            <w:tcW w:type="dxa" w:w="3024"/>
            <w:shd w:fill="DCE7F0"/>
            <w:vAlign w:val="center"/>
          </w:tcPr>
          <w:p>
            <w:pPr>
              <w:keepNext/>
              <w:spacing w:after="0"/>
            </w:pPr>
            <w:r>
              <w:rPr>
                <w:sz w:val="18"/>
              </w:rPr>
              <w:t>设计作用</w:t>
            </w:r>
          </w:p>
        </w:tc>
      </w:tr>
      <w:tr>
        <w:trPr>
          <w:cantSplit/>
        </w:trPr>
        <w:tc>
          <w:tcPr>
            <w:tcW w:type="dxa" w:w="1728"/>
            <w:vAlign w:val="center"/>
          </w:tcPr>
          <w:p>
            <w:pPr>
              <w:spacing w:after="0"/>
            </w:pPr>
            <w:r>
              <w:rPr>
                <w:sz w:val="18"/>
              </w:rPr>
              <w:t>配送时段</w:t>
            </w:r>
          </w:p>
        </w:tc>
        <w:tc>
          <w:tcPr>
            <w:tcW w:type="dxa" w:w="4320"/>
            <w:vAlign w:val="center"/>
          </w:tcPr>
          <w:p>
            <w:pPr>
              <w:spacing w:after="0"/>
            </w:pPr>
            <w:r>
              <w:rPr>
                <w:sz w:val="18"/>
              </w:rPr>
              <w:t>delivery_date、capacity、booked_count、cutoff_time</w:t>
            </w:r>
          </w:p>
        </w:tc>
        <w:tc>
          <w:tcPr>
            <w:tcW w:type="dxa" w:w="3024"/>
            <w:vAlign w:val="center"/>
          </w:tcPr>
          <w:p>
            <w:pPr>
              <w:spacing w:after="0"/>
            </w:pPr>
            <w:r>
              <w:rPr>
                <w:sz w:val="18"/>
              </w:rPr>
              <w:t>判断日期、截单时间及剩余名额</w:t>
            </w:r>
          </w:p>
        </w:tc>
      </w:tr>
      <w:tr>
        <w:trPr>
          <w:cantSplit/>
        </w:trPr>
        <w:tc>
          <w:tcPr>
            <w:tcW w:type="dxa" w:w="1728"/>
            <w:vAlign w:val="center"/>
          </w:tcPr>
          <w:p>
            <w:pPr>
              <w:spacing w:after="0"/>
            </w:pPr>
            <w:r>
              <w:rPr>
                <w:sz w:val="18"/>
              </w:rPr>
              <w:t>送花订单</w:t>
            </w:r>
          </w:p>
        </w:tc>
        <w:tc>
          <w:tcPr>
            <w:tcW w:type="dxa" w:w="4320"/>
            <w:vAlign w:val="center"/>
          </w:tcPr>
          <w:p>
            <w:pPr>
              <w:spacing w:after="0"/>
            </w:pPr>
            <w:r>
              <w:rPr>
                <w:sz w:val="18"/>
              </w:rPr>
              <w:t>order_id、slot_id、current_stage、reservation_released</w:t>
            </w:r>
          </w:p>
        </w:tc>
        <w:tc>
          <w:tcPr>
            <w:tcW w:type="dxa" w:w="3024"/>
            <w:vAlign w:val="center"/>
          </w:tcPr>
          <w:p>
            <w:pPr>
              <w:spacing w:after="0"/>
            </w:pPr>
            <w:r>
              <w:rPr>
                <w:sz w:val="18"/>
              </w:rPr>
              <w:t>关联交易订单、履约阶段与释放标记</w:t>
            </w:r>
          </w:p>
        </w:tc>
      </w:tr>
      <w:tr>
        <w:trPr>
          <w:cantSplit/>
        </w:trPr>
        <w:tc>
          <w:tcPr>
            <w:tcW w:type="dxa" w:w="1728"/>
            <w:vAlign w:val="center"/>
          </w:tcPr>
          <w:p>
            <w:pPr>
              <w:spacing w:after="0"/>
            </w:pPr>
            <w:r>
              <w:rPr>
                <w:sz w:val="18"/>
              </w:rPr>
              <w:t>花材批次</w:t>
            </w:r>
          </w:p>
        </w:tc>
        <w:tc>
          <w:tcPr>
            <w:tcW w:type="dxa" w:w="4320"/>
            <w:vAlign w:val="center"/>
          </w:tcPr>
          <w:p>
            <w:pPr>
              <w:spacing w:after="0"/>
            </w:pPr>
            <w:r>
              <w:rPr>
                <w:sz w:val="18"/>
              </w:rPr>
              <w:t>material_id、expiry_date、current_qty、reserved_qty</w:t>
            </w:r>
          </w:p>
        </w:tc>
        <w:tc>
          <w:tcPr>
            <w:tcW w:type="dxa" w:w="3024"/>
            <w:vAlign w:val="center"/>
          </w:tcPr>
          <w:p>
            <w:pPr>
              <w:spacing w:after="0"/>
            </w:pPr>
            <w:r>
              <w:rPr>
                <w:sz w:val="18"/>
              </w:rPr>
              <w:t>按到期日分配并计算可用数量</w:t>
            </w:r>
          </w:p>
        </w:tc>
      </w:tr>
      <w:tr>
        <w:trPr>
          <w:cantSplit/>
        </w:trPr>
        <w:tc>
          <w:tcPr>
            <w:tcW w:type="dxa" w:w="1728"/>
            <w:vAlign w:val="center"/>
          </w:tcPr>
          <w:p>
            <w:pPr>
              <w:spacing w:after="0"/>
            </w:pPr>
            <w:r>
              <w:rPr>
                <w:sz w:val="18"/>
              </w:rPr>
              <w:t>批次分配</w:t>
            </w:r>
          </w:p>
        </w:tc>
        <w:tc>
          <w:tcPr>
            <w:tcW w:type="dxa" w:w="4320"/>
            <w:vAlign w:val="center"/>
          </w:tcPr>
          <w:p>
            <w:pPr>
              <w:spacing w:after="0"/>
            </w:pPr>
            <w:r>
              <w:rPr>
                <w:sz w:val="18"/>
              </w:rPr>
              <w:t>order_id、batch_id、quantity、status</w:t>
            </w:r>
          </w:p>
        </w:tc>
        <w:tc>
          <w:tcPr>
            <w:tcW w:type="dxa" w:w="3024"/>
            <w:vAlign w:val="center"/>
          </w:tcPr>
          <w:p>
            <w:pPr>
              <w:spacing w:after="0"/>
            </w:pPr>
            <w:r>
              <w:rPr>
                <w:sz w:val="18"/>
              </w:rPr>
              <w:t>记录某订单锁定或消耗的具体批次</w:t>
            </w:r>
          </w:p>
        </w:tc>
      </w:tr>
    </w:tbl>
    <w:p>
      <w:r>
        <w:t>花材批次的可分配量定义为 current_qty－reserved_qty；时段剩余名额定义为 capacity－booked_count。两个值均由数据库条件更新保护，避免多名顾客并发提交时超卖。</w:t>
      </w:r>
    </w:p>
    <w:p>
      <w:pPr>
        <w:pStyle w:val="Heading3"/>
      </w:pPr>
      <w:r>
        <w:t>3.2.3 关键模块流程</w:t>
      </w:r>
    </w:p>
    <w:p>
      <w:r>
        <w:t>下单流程先校验当前用户地址、配送区域、起送金额和预约日期，再占用时段、创建订单、保存送花资料并锁定花材批次。图 3-4 表示服务间调用顺序，图 3-5 表示顾客从下单到送达的业务分支。任一步失败均回滚当前事务；待付款超时和制作前取消只释放尚未消耗的预约与花材。</w:t>
      </w:r>
    </w:p>
    <w:p>
      <w:pPr>
        <w:keepNext/>
        <w:jc w:val="center"/>
      </w:pPr>
      <w:r>
        <w:drawing>
          <wp:inline xmlns:a="http://schemas.openxmlformats.org/drawingml/2006/main" xmlns:pic="http://schemas.openxmlformats.org/drawingml/2006/picture">
            <wp:extent cx="5623560" cy="2450265"/>
            <wp:docPr id="4" name="Picture 4"/>
            <wp:cNvGraphicFramePr>
              <a:graphicFrameLocks noChangeAspect="1"/>
            </wp:cNvGraphicFramePr>
            <a:graphic>
              <a:graphicData uri="http://schemas.openxmlformats.org/drawingml/2006/picture">
                <pic:pic>
                  <pic:nvPicPr>
                    <pic:cNvPr id="0" name="figure-order-sequence.png"/>
                    <pic:cNvPicPr/>
                  </pic:nvPicPr>
                  <pic:blipFill>
                    <a:blip r:embed="rId16"/>
                    <a:stretch>
                      <a:fillRect/>
                    </a:stretch>
                  </pic:blipFill>
                  <pic:spPr>
                    <a:xfrm>
                      <a:off x="0" y="0"/>
                      <a:ext cx="5623560" cy="2450265"/>
                    </a:xfrm>
                    <a:prstGeom prst="rect"/>
                  </pic:spPr>
                </pic:pic>
              </a:graphicData>
            </a:graphic>
          </wp:inline>
        </w:drawing>
      </w:r>
    </w:p>
    <w:p>
      <w:pPr>
        <w:pStyle w:val="CaptionCN"/>
        <w:keepNext w:val="0"/>
        <w:jc w:val="center"/>
      </w:pPr>
      <w:r>
        <w:t>图 3-4 预约下单关键调用时序图</w:t>
      </w:r>
    </w:p>
    <w:p>
      <w:pPr>
        <w:keepNext/>
        <w:spacing w:before="140" w:after="40"/>
        <w:ind w:firstLine="0"/>
        <w:jc w:val="center"/>
      </w:pPr>
      <w:r>
        <w:drawing>
          <wp:inline xmlns:a="http://schemas.openxmlformats.org/drawingml/2006/main" xmlns:pic="http://schemas.openxmlformats.org/drawingml/2006/picture">
            <wp:extent cx="5652000" cy="2448000"/>
            <wp:docPr id="4" name="Picture 4"/>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652000" cy="2448000"/>
                    </a:xfrm>
                    <a:prstGeom prst="rect"/>
                  </pic:spPr>
                </pic:pic>
              </a:graphicData>
            </a:graphic>
          </wp:inline>
        </w:drawing>
      </w:r>
    </w:p>
    <w:p>
      <w:pPr>
        <w:pStyle w:val="CaptionCN"/>
        <w:keepNext w:val="0"/>
        <w:jc w:val="center"/>
      </w:pPr>
      <w:r>
        <w:t>图 3-5 送花订单业务流程图</w:t>
      </w:r>
    </w:p>
    <w:p>
      <w:r>
        <w:t>履约阶段依次为待付款、待接单、待制作、制作中、待配送、配送中和已完成。阶段变更使用允许的前置状态作为条件，每次成功变更追加进度记录；顾客只可读取本人订单，后台操作由权限标识限制。制作开始时，花材分配由 RESERVED 转为 CONSUMED；取消或超时时转为 RELEASED。</w:t>
      </w:r>
    </w:p>
    <w:p>
      <w:pPr>
        <w:pStyle w:val="Heading2"/>
      </w:pPr>
      <w:r>
        <w:t>3.3 数据库设计</w:t>
      </w:r>
    </w:p>
    <w:p>
      <w:pPr>
        <w:pStyle w:val="Heading3"/>
      </w:pPr>
      <w:r>
        <w:t>3.3.1 概念结构设计</w:t>
      </w:r>
    </w:p>
    <w:p>
      <w:r>
        <w:t>概念模型以商品、订单、配送区域、预约时段、花材、花材批次、配方和批次分配为核心。商品与花卉信息、订单与送花信息均是一对一；区域与送花订单、时段与送花订单是一对多。花材与商品通过配方形成多对多关系，订单与花材批次通过分配记录形成多对多关系。图 3-6 和图 3-7 分别给出两组 ER 关系。</w:t>
      </w:r>
    </w:p>
    <w:p>
      <w:pPr>
        <w:keepNext/>
        <w:spacing w:before="140" w:after="40"/>
        <w:ind w:firstLine="0"/>
        <w:jc w:val="center"/>
      </w:pPr>
      <w:r>
        <w:drawing>
          <wp:inline xmlns:a="http://schemas.openxmlformats.org/drawingml/2006/main" xmlns:pic="http://schemas.openxmlformats.org/drawingml/2006/picture">
            <wp:extent cx="5652000" cy="3266416"/>
            <wp:docPr id="2" name="Picture 2"/>
            <wp:cNvGraphicFramePr>
              <a:graphicFrameLocks noChangeAspect="1"/>
            </wp:cNvGraphicFramePr>
            <a:graphic>
              <a:graphicData uri="http://schemas.openxmlformats.org/drawingml/2006/picture">
                <pic:pic>
                  <pic:nvPicPr>
                    <pic:cNvPr id="0" name="er_business.png"/>
                    <pic:cNvPicPr/>
                  </pic:nvPicPr>
                  <pic:blipFill>
                    <a:blip r:embed="rId11"/>
                    <a:stretch>
                      <a:fillRect/>
                    </a:stretch>
                  </pic:blipFill>
                  <pic:spPr>
                    <a:xfrm>
                      <a:off x="0" y="0"/>
                      <a:ext cx="5652000" cy="3266416"/>
                    </a:xfrm>
                    <a:prstGeom prst="rect"/>
                  </pic:spPr>
                </pic:pic>
              </a:graphicData>
            </a:graphic>
          </wp:inline>
        </w:drawing>
      </w:r>
    </w:p>
    <w:p>
      <w:pPr>
        <w:pStyle w:val="CaptionCN"/>
        <w:keepNext w:val="0"/>
        <w:jc w:val="center"/>
      </w:pPr>
      <w:r>
        <w:t>图 3-6 商品、订单与配送实体关系图</w:t>
      </w:r>
    </w:p>
    <w:p>
      <w:pPr>
        <w:keepNext/>
        <w:spacing w:before="140" w:after="40"/>
        <w:ind w:firstLine="0"/>
        <w:jc w:val="center"/>
      </w:pPr>
      <w:r>
        <w:drawing>
          <wp:inline xmlns:a="http://schemas.openxmlformats.org/drawingml/2006/main" xmlns:pic="http://schemas.openxmlformats.org/drawingml/2006/picture">
            <wp:extent cx="5652000" cy="3266416"/>
            <wp:docPr id="3" name="Picture 3"/>
            <wp:cNvGraphicFramePr>
              <a:graphicFrameLocks noChangeAspect="1"/>
            </wp:cNvGraphicFramePr>
            <a:graphic>
              <a:graphicData uri="http://schemas.openxmlformats.org/drawingml/2006/picture">
                <pic:pic>
                  <pic:nvPicPr>
                    <pic:cNvPr id="0" name="er_material.png"/>
                    <pic:cNvPicPr/>
                  </pic:nvPicPr>
                  <pic:blipFill>
                    <a:blip r:embed="rId12"/>
                    <a:stretch>
                      <a:fillRect/>
                    </a:stretch>
                  </pic:blipFill>
                  <pic:spPr>
                    <a:xfrm>
                      <a:off x="0" y="0"/>
                      <a:ext cx="5652000" cy="3266416"/>
                    </a:xfrm>
                    <a:prstGeom prst="rect"/>
                  </pic:spPr>
                </pic:pic>
              </a:graphicData>
            </a:graphic>
          </wp:inline>
        </w:drawing>
      </w:r>
    </w:p>
    <w:p>
      <w:pPr>
        <w:pStyle w:val="CaptionCN"/>
        <w:keepNext w:val="0"/>
        <w:jc w:val="center"/>
      </w:pPr>
      <w:r>
        <w:t>图 3-7 花材、配方与批次实体关系图</w:t>
      </w:r>
    </w:p>
    <w:p>
      <w:pPr>
        <w:pStyle w:val="Heading3"/>
      </w:pPr>
      <w:r>
        <w:t>3.3.2 数据库表设计</w:t>
      </w:r>
    </w:p>
    <w:p>
      <w:r>
        <w:t>逻辑模型以 eb_store_product 和 eb_store_order 保存商品与交易主数据；送花业务由专门表保存。商品、订单扩展表分别以 product_id、order_id 建立唯一关联；配送时段以“日期、开始时间、结束时间”建立唯一约束；订单进度以“订单号、阶段”避免同一阶段重复写入。主要表的用途见表 3-3。</w:t>
      </w:r>
    </w:p>
    <w:p>
      <w:pPr>
        <w:pStyle w:val="CaptionCN"/>
        <w:keepNext/>
        <w:jc w:val="center"/>
      </w:pPr>
      <w:r>
        <w:t>表 3-3 核心数据表及关系</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3240"/>
            <w:shd w:fill="DCE7F0"/>
            <w:vAlign w:val="center"/>
          </w:tcPr>
          <w:p>
            <w:pPr>
              <w:keepNext/>
              <w:spacing w:after="0"/>
            </w:pPr>
            <w:r>
              <w:rPr>
                <w:sz w:val="18"/>
              </w:rPr>
              <w:t>表名</w:t>
            </w:r>
          </w:p>
        </w:tc>
        <w:tc>
          <w:tcPr>
            <w:tcW w:type="dxa" w:w="2952"/>
            <w:shd w:fill="DCE7F0"/>
            <w:vAlign w:val="center"/>
          </w:tcPr>
          <w:p>
            <w:pPr>
              <w:keepNext/>
              <w:spacing w:after="0"/>
            </w:pPr>
            <w:r>
              <w:rPr>
                <w:sz w:val="18"/>
              </w:rPr>
              <w:t>业务内容</w:t>
            </w:r>
          </w:p>
        </w:tc>
        <w:tc>
          <w:tcPr>
            <w:tcW w:type="dxa" w:w="2880"/>
            <w:shd w:fill="DCE7F0"/>
            <w:vAlign w:val="center"/>
          </w:tcPr>
          <w:p>
            <w:pPr>
              <w:keepNext/>
              <w:spacing w:after="0"/>
            </w:pPr>
            <w:r>
              <w:rPr>
                <w:sz w:val="18"/>
              </w:rPr>
              <w:t>关联或约束</w:t>
            </w:r>
          </w:p>
        </w:tc>
      </w:tr>
      <w:tr>
        <w:trPr>
          <w:cantSplit/>
        </w:trPr>
        <w:tc>
          <w:tcPr>
            <w:tcW w:type="dxa" w:w="3240"/>
            <w:vAlign w:val="center"/>
          </w:tcPr>
          <w:p>
            <w:pPr>
              <w:spacing w:after="0"/>
            </w:pPr>
            <w:r>
              <w:rPr>
                <w:sz w:val="18"/>
              </w:rPr>
              <w:t>eb_flower_product_ext</w:t>
            </w:r>
          </w:p>
        </w:tc>
        <w:tc>
          <w:tcPr>
            <w:tcW w:type="dxa" w:w="2952"/>
            <w:vAlign w:val="center"/>
          </w:tcPr>
          <w:p>
            <w:pPr>
              <w:spacing w:after="0"/>
            </w:pPr>
            <w:r>
              <w:rPr>
                <w:sz w:val="18"/>
              </w:rPr>
              <w:t>花材、花语、场景、养护</w:t>
            </w:r>
          </w:p>
        </w:tc>
        <w:tc>
          <w:tcPr>
            <w:tcW w:type="dxa" w:w="2880"/>
            <w:vAlign w:val="center"/>
          </w:tcPr>
          <w:p>
            <w:pPr>
              <w:spacing w:after="0"/>
            </w:pPr>
            <w:r>
              <w:rPr>
                <w:sz w:val="18"/>
              </w:rPr>
              <w:t>product_id 唯一</w:t>
            </w:r>
          </w:p>
        </w:tc>
      </w:tr>
      <w:tr>
        <w:trPr>
          <w:cantSplit/>
        </w:trPr>
        <w:tc>
          <w:tcPr>
            <w:tcW w:type="dxa" w:w="3240"/>
            <w:vAlign w:val="center"/>
          </w:tcPr>
          <w:p>
            <w:pPr>
              <w:spacing w:after="0"/>
            </w:pPr>
            <w:r>
              <w:rPr>
                <w:sz w:val="18"/>
              </w:rPr>
              <w:t>eb_flower_delivery_zone / slot</w:t>
            </w:r>
          </w:p>
        </w:tc>
        <w:tc>
          <w:tcPr>
            <w:tcW w:type="dxa" w:w="2952"/>
            <w:vAlign w:val="center"/>
          </w:tcPr>
          <w:p>
            <w:pPr>
              <w:spacing w:after="0"/>
            </w:pPr>
            <w:r>
              <w:rPr>
                <w:sz w:val="18"/>
              </w:rPr>
              <w:t>配送区域、费用、时段容量</w:t>
            </w:r>
          </w:p>
        </w:tc>
        <w:tc>
          <w:tcPr>
            <w:tcW w:type="dxa" w:w="2880"/>
            <w:vAlign w:val="center"/>
          </w:tcPr>
          <w:p>
            <w:pPr>
              <w:spacing w:after="0"/>
            </w:pPr>
            <w:r>
              <w:rPr>
                <w:sz w:val="18"/>
              </w:rPr>
              <w:t>时段日期与起止时间唯一</w:t>
            </w:r>
          </w:p>
        </w:tc>
      </w:tr>
      <w:tr>
        <w:trPr>
          <w:cantSplit/>
        </w:trPr>
        <w:tc>
          <w:tcPr>
            <w:tcW w:type="dxa" w:w="3240"/>
            <w:vAlign w:val="center"/>
          </w:tcPr>
          <w:p>
            <w:pPr>
              <w:spacing w:after="0"/>
            </w:pPr>
            <w:r>
              <w:rPr>
                <w:sz w:val="18"/>
              </w:rPr>
              <w:t>eb_flower_order_ext / progress</w:t>
            </w:r>
          </w:p>
        </w:tc>
        <w:tc>
          <w:tcPr>
            <w:tcW w:type="dxa" w:w="2952"/>
            <w:vAlign w:val="center"/>
          </w:tcPr>
          <w:p>
            <w:pPr>
              <w:spacing w:after="0"/>
            </w:pPr>
            <w:r>
              <w:rPr>
                <w:sz w:val="18"/>
              </w:rPr>
              <w:t>送花资料、履约阶段及凭证</w:t>
            </w:r>
          </w:p>
        </w:tc>
        <w:tc>
          <w:tcPr>
            <w:tcW w:type="dxa" w:w="2880"/>
            <w:vAlign w:val="center"/>
          </w:tcPr>
          <w:p>
            <w:pPr>
              <w:spacing w:after="0"/>
            </w:pPr>
            <w:r>
              <w:rPr>
                <w:sz w:val="18"/>
              </w:rPr>
              <w:t>order_id 唯一；订单与阶段组合唯一</w:t>
            </w:r>
          </w:p>
        </w:tc>
      </w:tr>
      <w:tr>
        <w:trPr>
          <w:cantSplit/>
        </w:trPr>
        <w:tc>
          <w:tcPr>
            <w:tcW w:type="dxa" w:w="3240"/>
            <w:vAlign w:val="center"/>
          </w:tcPr>
          <w:p>
            <w:pPr>
              <w:spacing w:after="0"/>
            </w:pPr>
            <w:r>
              <w:rPr>
                <w:sz w:val="18"/>
              </w:rPr>
              <w:t>eb_flower_material / batch</w:t>
            </w:r>
          </w:p>
        </w:tc>
        <w:tc>
          <w:tcPr>
            <w:tcW w:type="dxa" w:w="2952"/>
            <w:vAlign w:val="center"/>
          </w:tcPr>
          <w:p>
            <w:pPr>
              <w:spacing w:after="0"/>
            </w:pPr>
            <w:r>
              <w:rPr>
                <w:sz w:val="18"/>
              </w:rPr>
              <w:t>花材资料、批次现存量和锁定量</w:t>
            </w:r>
          </w:p>
        </w:tc>
        <w:tc>
          <w:tcPr>
            <w:tcW w:type="dxa" w:w="2880"/>
            <w:vAlign w:val="center"/>
          </w:tcPr>
          <w:p>
            <w:pPr>
              <w:spacing w:after="0"/>
            </w:pPr>
            <w:r>
              <w:rPr>
                <w:sz w:val="18"/>
              </w:rPr>
              <w:t>花材与批次一对多</w:t>
            </w:r>
          </w:p>
        </w:tc>
      </w:tr>
      <w:tr>
        <w:trPr>
          <w:cantSplit/>
        </w:trPr>
        <w:tc>
          <w:tcPr>
            <w:tcW w:type="dxa" w:w="3240"/>
            <w:vAlign w:val="center"/>
          </w:tcPr>
          <w:p>
            <w:pPr>
              <w:spacing w:after="0"/>
            </w:pPr>
            <w:r>
              <w:rPr>
                <w:sz w:val="18"/>
              </w:rPr>
              <w:t>eb_flower_recipe / allocation</w:t>
            </w:r>
          </w:p>
        </w:tc>
        <w:tc>
          <w:tcPr>
            <w:tcW w:type="dxa" w:w="2952"/>
            <w:vAlign w:val="center"/>
          </w:tcPr>
          <w:p>
            <w:pPr>
              <w:spacing w:after="0"/>
            </w:pPr>
            <w:r>
              <w:rPr>
                <w:sz w:val="18"/>
              </w:rPr>
              <w:t>商品配方、订单批次占用</w:t>
            </w:r>
          </w:p>
        </w:tc>
        <w:tc>
          <w:tcPr>
            <w:tcW w:type="dxa" w:w="2880"/>
            <w:vAlign w:val="center"/>
          </w:tcPr>
          <w:p>
            <w:pPr>
              <w:spacing w:after="0"/>
            </w:pPr>
            <w:r>
              <w:rPr>
                <w:sz w:val="18"/>
              </w:rPr>
              <w:t>商品与花材组合唯一；订单与批次组合唯一</w:t>
            </w:r>
          </w:p>
        </w:tc>
      </w:tr>
    </w:tbl>
    <w:p>
      <w:r>
        <w:t>配送时段表的 capacity 与 booked_count 对应图 3-6 中的预约关系，cutoff_time 控制停止预约时间；字段定义见表 3-4。</w:t>
      </w:r>
    </w:p>
    <w:p>
      <w:pPr>
        <w:pStyle w:val="CaptionCN"/>
        <w:keepNext/>
        <w:jc w:val="center"/>
      </w:pPr>
      <w:r>
        <w:t>表 3-4 eb_flower_delivery_slot 主要字段</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2664"/>
            <w:shd w:fill="DCE7F0"/>
            <w:vAlign w:val="center"/>
          </w:tcPr>
          <w:p>
            <w:pPr>
              <w:keepNext/>
              <w:spacing w:after="0"/>
            </w:pPr>
            <w:r>
              <w:rPr>
                <w:sz w:val="18"/>
              </w:rPr>
              <w:t>字段</w:t>
            </w:r>
          </w:p>
        </w:tc>
        <w:tc>
          <w:tcPr>
            <w:tcW w:type="dxa" w:w="1656"/>
            <w:shd w:fill="DCE7F0"/>
            <w:vAlign w:val="center"/>
          </w:tcPr>
          <w:p>
            <w:pPr>
              <w:keepNext/>
              <w:spacing w:after="0"/>
            </w:pPr>
            <w:r>
              <w:rPr>
                <w:sz w:val="18"/>
              </w:rPr>
              <w:t>类型</w:t>
            </w:r>
          </w:p>
        </w:tc>
        <w:tc>
          <w:tcPr>
            <w:tcW w:type="dxa" w:w="4752"/>
            <w:shd w:fill="DCE7F0"/>
            <w:vAlign w:val="center"/>
          </w:tcPr>
          <w:p>
            <w:pPr>
              <w:keepNext/>
              <w:spacing w:after="0"/>
            </w:pPr>
            <w:r>
              <w:rPr>
                <w:sz w:val="18"/>
              </w:rPr>
              <w:t>含义及约束</w:t>
            </w:r>
          </w:p>
        </w:tc>
      </w:tr>
      <w:tr>
        <w:trPr>
          <w:cantSplit/>
        </w:trPr>
        <w:tc>
          <w:tcPr>
            <w:tcW w:type="dxa" w:w="2664"/>
            <w:vAlign w:val="center"/>
          </w:tcPr>
          <w:p>
            <w:pPr>
              <w:spacing w:after="0"/>
            </w:pPr>
            <w:r>
              <w:rPr>
                <w:sz w:val="18"/>
              </w:rPr>
              <w:t>id</w:t>
            </w:r>
          </w:p>
        </w:tc>
        <w:tc>
          <w:tcPr>
            <w:tcW w:type="dxa" w:w="1656"/>
            <w:vAlign w:val="center"/>
          </w:tcPr>
          <w:p>
            <w:pPr>
              <w:spacing w:after="0"/>
            </w:pPr>
            <w:r>
              <w:rPr>
                <w:sz w:val="18"/>
              </w:rPr>
              <w:t>int</w:t>
            </w:r>
          </w:p>
        </w:tc>
        <w:tc>
          <w:tcPr>
            <w:tcW w:type="dxa" w:w="4752"/>
            <w:vAlign w:val="center"/>
          </w:tcPr>
          <w:p>
            <w:pPr>
              <w:spacing w:after="0"/>
            </w:pPr>
            <w:r>
              <w:rPr>
                <w:sz w:val="18"/>
              </w:rPr>
              <w:t>主键</w:t>
            </w:r>
          </w:p>
        </w:tc>
      </w:tr>
      <w:tr>
        <w:trPr>
          <w:cantSplit/>
        </w:trPr>
        <w:tc>
          <w:tcPr>
            <w:tcW w:type="dxa" w:w="2664"/>
            <w:vAlign w:val="center"/>
          </w:tcPr>
          <w:p>
            <w:pPr>
              <w:spacing w:after="0"/>
            </w:pPr>
            <w:r>
              <w:rPr>
                <w:sz w:val="18"/>
              </w:rPr>
              <w:t>delivery_date</w:t>
            </w:r>
          </w:p>
        </w:tc>
        <w:tc>
          <w:tcPr>
            <w:tcW w:type="dxa" w:w="1656"/>
            <w:vAlign w:val="center"/>
          </w:tcPr>
          <w:p>
            <w:pPr>
              <w:spacing w:after="0"/>
            </w:pPr>
            <w:r>
              <w:rPr>
                <w:sz w:val="18"/>
              </w:rPr>
              <w:t>date</w:t>
            </w:r>
          </w:p>
        </w:tc>
        <w:tc>
          <w:tcPr>
            <w:tcW w:type="dxa" w:w="4752"/>
            <w:vAlign w:val="center"/>
          </w:tcPr>
          <w:p>
            <w:pPr>
              <w:spacing w:after="0"/>
            </w:pPr>
            <w:r>
              <w:rPr>
                <w:sz w:val="18"/>
              </w:rPr>
              <w:t>配送日期，非空</w:t>
            </w:r>
          </w:p>
        </w:tc>
      </w:tr>
      <w:tr>
        <w:trPr>
          <w:cantSplit/>
        </w:trPr>
        <w:tc>
          <w:tcPr>
            <w:tcW w:type="dxa" w:w="2664"/>
            <w:vAlign w:val="center"/>
          </w:tcPr>
          <w:p>
            <w:pPr>
              <w:spacing w:after="0"/>
            </w:pPr>
            <w:r>
              <w:rPr>
                <w:sz w:val="18"/>
              </w:rPr>
              <w:t>start_time / end_time</w:t>
            </w:r>
          </w:p>
        </w:tc>
        <w:tc>
          <w:tcPr>
            <w:tcW w:type="dxa" w:w="1656"/>
            <w:vAlign w:val="center"/>
          </w:tcPr>
          <w:p>
            <w:pPr>
              <w:spacing w:after="0"/>
            </w:pPr>
            <w:r>
              <w:rPr>
                <w:sz w:val="18"/>
              </w:rPr>
              <w:t>time</w:t>
            </w:r>
          </w:p>
        </w:tc>
        <w:tc>
          <w:tcPr>
            <w:tcW w:type="dxa" w:w="4752"/>
            <w:vAlign w:val="center"/>
          </w:tcPr>
          <w:p>
            <w:pPr>
              <w:spacing w:after="0"/>
            </w:pPr>
            <w:r>
              <w:rPr>
                <w:sz w:val="18"/>
              </w:rPr>
              <w:t>时段起止时间，非空</w:t>
            </w:r>
          </w:p>
        </w:tc>
      </w:tr>
      <w:tr>
        <w:trPr>
          <w:cantSplit/>
        </w:trPr>
        <w:tc>
          <w:tcPr>
            <w:tcW w:type="dxa" w:w="2664"/>
            <w:vAlign w:val="center"/>
          </w:tcPr>
          <w:p>
            <w:pPr>
              <w:spacing w:after="0"/>
            </w:pPr>
            <w:r>
              <w:rPr>
                <w:sz w:val="18"/>
              </w:rPr>
              <w:t>capacity</w:t>
            </w:r>
          </w:p>
        </w:tc>
        <w:tc>
          <w:tcPr>
            <w:tcW w:type="dxa" w:w="1656"/>
            <w:vAlign w:val="center"/>
          </w:tcPr>
          <w:p>
            <w:pPr>
              <w:spacing w:after="0"/>
            </w:pPr>
            <w:r>
              <w:rPr>
                <w:sz w:val="18"/>
              </w:rPr>
              <w:t>int</w:t>
            </w:r>
          </w:p>
        </w:tc>
        <w:tc>
          <w:tcPr>
            <w:tcW w:type="dxa" w:w="4752"/>
            <w:vAlign w:val="center"/>
          </w:tcPr>
          <w:p>
            <w:pPr>
              <w:spacing w:after="0"/>
            </w:pPr>
            <w:r>
              <w:rPr>
                <w:sz w:val="18"/>
              </w:rPr>
              <w:t>最大接单量，默认 0</w:t>
            </w:r>
          </w:p>
        </w:tc>
      </w:tr>
      <w:tr>
        <w:trPr>
          <w:cantSplit/>
        </w:trPr>
        <w:tc>
          <w:tcPr>
            <w:tcW w:type="dxa" w:w="2664"/>
            <w:vAlign w:val="center"/>
          </w:tcPr>
          <w:p>
            <w:pPr>
              <w:spacing w:after="0"/>
            </w:pPr>
            <w:r>
              <w:rPr>
                <w:sz w:val="18"/>
              </w:rPr>
              <w:t>booked_count</w:t>
            </w:r>
          </w:p>
        </w:tc>
        <w:tc>
          <w:tcPr>
            <w:tcW w:type="dxa" w:w="1656"/>
            <w:vAlign w:val="center"/>
          </w:tcPr>
          <w:p>
            <w:pPr>
              <w:spacing w:after="0"/>
            </w:pPr>
            <w:r>
              <w:rPr>
                <w:sz w:val="18"/>
              </w:rPr>
              <w:t>int</w:t>
            </w:r>
          </w:p>
        </w:tc>
        <w:tc>
          <w:tcPr>
            <w:tcW w:type="dxa" w:w="4752"/>
            <w:vAlign w:val="center"/>
          </w:tcPr>
          <w:p>
            <w:pPr>
              <w:spacing w:after="0"/>
            </w:pPr>
            <w:r>
              <w:rPr>
                <w:sz w:val="18"/>
              </w:rPr>
              <w:t>已占用数量，默认 0</w:t>
            </w:r>
          </w:p>
        </w:tc>
      </w:tr>
      <w:tr>
        <w:trPr>
          <w:cantSplit/>
        </w:trPr>
        <w:tc>
          <w:tcPr>
            <w:tcW w:type="dxa" w:w="2664"/>
            <w:vAlign w:val="center"/>
          </w:tcPr>
          <w:p>
            <w:pPr>
              <w:spacing w:after="0"/>
            </w:pPr>
            <w:r>
              <w:rPr>
                <w:sz w:val="18"/>
              </w:rPr>
              <w:t>cutoff_time</w:t>
            </w:r>
          </w:p>
        </w:tc>
        <w:tc>
          <w:tcPr>
            <w:tcW w:type="dxa" w:w="1656"/>
            <w:vAlign w:val="center"/>
          </w:tcPr>
          <w:p>
            <w:pPr>
              <w:spacing w:after="0"/>
            </w:pPr>
            <w:r>
              <w:rPr>
                <w:sz w:val="18"/>
              </w:rPr>
              <w:t>datetime</w:t>
            </w:r>
          </w:p>
        </w:tc>
        <w:tc>
          <w:tcPr>
            <w:tcW w:type="dxa" w:w="4752"/>
            <w:vAlign w:val="center"/>
          </w:tcPr>
          <w:p>
            <w:pPr>
              <w:spacing w:after="0"/>
            </w:pPr>
            <w:r>
              <w:rPr>
                <w:sz w:val="18"/>
              </w:rPr>
              <w:t>停止预约时间，非空</w:t>
            </w:r>
          </w:p>
        </w:tc>
      </w:tr>
      <w:tr>
        <w:trPr>
          <w:cantSplit/>
        </w:trPr>
        <w:tc>
          <w:tcPr>
            <w:tcW w:type="dxa" w:w="2664"/>
            <w:vAlign w:val="center"/>
          </w:tcPr>
          <w:p>
            <w:pPr>
              <w:spacing w:after="0"/>
            </w:pPr>
            <w:r>
              <w:rPr>
                <w:sz w:val="18"/>
              </w:rPr>
              <w:t>enabled / version</w:t>
            </w:r>
          </w:p>
        </w:tc>
        <w:tc>
          <w:tcPr>
            <w:tcW w:type="dxa" w:w="1656"/>
            <w:vAlign w:val="center"/>
          </w:tcPr>
          <w:p>
            <w:pPr>
              <w:spacing w:after="0"/>
            </w:pPr>
            <w:r>
              <w:rPr>
                <w:sz w:val="18"/>
              </w:rPr>
              <w:t>tinyint / int</w:t>
            </w:r>
          </w:p>
        </w:tc>
        <w:tc>
          <w:tcPr>
            <w:tcW w:type="dxa" w:w="4752"/>
            <w:vAlign w:val="center"/>
          </w:tcPr>
          <w:p>
            <w:pPr>
              <w:spacing w:after="0"/>
            </w:pPr>
            <w:r>
              <w:rPr>
                <w:sz w:val="18"/>
              </w:rPr>
              <w:t>启用标记与乐观锁版本</w:t>
            </w:r>
          </w:p>
        </w:tc>
      </w:tr>
    </w:tbl>
    <w:p>
      <w:r>
        <w:t>送花订单表保存收花信息的快照，确保用户日后修改地址不会影响已生成订单。current_stage 与进度表相互对应，reservation_released 支持预约名额幂等释放；主要字段见表 3-5。</w:t>
      </w:r>
    </w:p>
    <w:p>
      <w:pPr>
        <w:pStyle w:val="CaptionCN"/>
        <w:keepNext/>
        <w:jc w:val="center"/>
      </w:pPr>
      <w:r>
        <w:t>表 3-5 eb_flower_order_ext 主要字段</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3312"/>
            <w:shd w:fill="DCE7F0"/>
            <w:vAlign w:val="center"/>
          </w:tcPr>
          <w:p>
            <w:pPr>
              <w:keepNext/>
              <w:spacing w:after="0"/>
            </w:pPr>
            <w:r>
              <w:rPr>
                <w:sz w:val="18"/>
              </w:rPr>
              <w:t>字段</w:t>
            </w:r>
          </w:p>
        </w:tc>
        <w:tc>
          <w:tcPr>
            <w:tcW w:type="dxa" w:w="1944"/>
            <w:shd w:fill="DCE7F0"/>
            <w:vAlign w:val="center"/>
          </w:tcPr>
          <w:p>
            <w:pPr>
              <w:keepNext/>
              <w:spacing w:after="0"/>
            </w:pPr>
            <w:r>
              <w:rPr>
                <w:sz w:val="18"/>
              </w:rPr>
              <w:t>类型</w:t>
            </w:r>
          </w:p>
        </w:tc>
        <w:tc>
          <w:tcPr>
            <w:tcW w:type="dxa" w:w="3816"/>
            <w:shd w:fill="DCE7F0"/>
            <w:vAlign w:val="center"/>
          </w:tcPr>
          <w:p>
            <w:pPr>
              <w:keepNext/>
              <w:spacing w:after="0"/>
            </w:pPr>
            <w:r>
              <w:rPr>
                <w:sz w:val="18"/>
              </w:rPr>
              <w:t>含义及约束</w:t>
            </w:r>
          </w:p>
        </w:tc>
      </w:tr>
      <w:tr>
        <w:trPr>
          <w:cantSplit/>
        </w:trPr>
        <w:tc>
          <w:tcPr>
            <w:tcW w:type="dxa" w:w="3312"/>
            <w:vAlign w:val="center"/>
          </w:tcPr>
          <w:p>
            <w:pPr>
              <w:spacing w:after="0"/>
            </w:pPr>
            <w:r>
              <w:rPr>
                <w:sz w:val="18"/>
              </w:rPr>
              <w:t>order_id</w:t>
            </w:r>
          </w:p>
        </w:tc>
        <w:tc>
          <w:tcPr>
            <w:tcW w:type="dxa" w:w="1944"/>
            <w:vAlign w:val="center"/>
          </w:tcPr>
          <w:p>
            <w:pPr>
              <w:spacing w:after="0"/>
            </w:pPr>
            <w:r>
              <w:rPr>
                <w:sz w:val="18"/>
              </w:rPr>
              <w:t>varchar(64)</w:t>
            </w:r>
          </w:p>
        </w:tc>
        <w:tc>
          <w:tcPr>
            <w:tcW w:type="dxa" w:w="3816"/>
            <w:vAlign w:val="center"/>
          </w:tcPr>
          <w:p>
            <w:pPr>
              <w:spacing w:after="0"/>
            </w:pPr>
            <w:r>
              <w:rPr>
                <w:sz w:val="18"/>
              </w:rPr>
              <w:t>交易订单号，唯一</w:t>
            </w:r>
          </w:p>
        </w:tc>
      </w:tr>
      <w:tr>
        <w:trPr>
          <w:cantSplit/>
        </w:trPr>
        <w:tc>
          <w:tcPr>
            <w:tcW w:type="dxa" w:w="3312"/>
            <w:vAlign w:val="center"/>
          </w:tcPr>
          <w:p>
            <w:pPr>
              <w:spacing w:after="0"/>
            </w:pPr>
            <w:r>
              <w:rPr>
                <w:sz w:val="18"/>
              </w:rPr>
              <w:t>sender_name / recipient_name</w:t>
            </w:r>
          </w:p>
        </w:tc>
        <w:tc>
          <w:tcPr>
            <w:tcW w:type="dxa" w:w="1944"/>
            <w:vAlign w:val="center"/>
          </w:tcPr>
          <w:p>
            <w:pPr>
              <w:spacing w:after="0"/>
            </w:pPr>
            <w:r>
              <w:rPr>
                <w:sz w:val="18"/>
              </w:rPr>
              <w:t>varchar(64)</w:t>
            </w:r>
          </w:p>
        </w:tc>
        <w:tc>
          <w:tcPr>
            <w:tcW w:type="dxa" w:w="3816"/>
            <w:vAlign w:val="center"/>
          </w:tcPr>
          <w:p>
            <w:pPr>
              <w:spacing w:after="0"/>
            </w:pPr>
            <w:r>
              <w:rPr>
                <w:sz w:val="18"/>
              </w:rPr>
              <w:t>订花人和收花人姓名</w:t>
            </w:r>
          </w:p>
        </w:tc>
      </w:tr>
      <w:tr>
        <w:trPr>
          <w:cantSplit/>
        </w:trPr>
        <w:tc>
          <w:tcPr>
            <w:tcW w:type="dxa" w:w="3312"/>
            <w:vAlign w:val="center"/>
          </w:tcPr>
          <w:p>
            <w:pPr>
              <w:spacing w:after="0"/>
            </w:pPr>
            <w:r>
              <w:rPr>
                <w:sz w:val="18"/>
              </w:rPr>
              <w:t>delivery_address_snapshot</w:t>
            </w:r>
          </w:p>
        </w:tc>
        <w:tc>
          <w:tcPr>
            <w:tcW w:type="dxa" w:w="1944"/>
            <w:vAlign w:val="center"/>
          </w:tcPr>
          <w:p>
            <w:pPr>
              <w:spacing w:after="0"/>
            </w:pPr>
            <w:r>
              <w:rPr>
                <w:sz w:val="18"/>
              </w:rPr>
              <w:t>varchar(500)</w:t>
            </w:r>
          </w:p>
        </w:tc>
        <w:tc>
          <w:tcPr>
            <w:tcW w:type="dxa" w:w="3816"/>
            <w:vAlign w:val="center"/>
          </w:tcPr>
          <w:p>
            <w:pPr>
              <w:spacing w:after="0"/>
            </w:pPr>
            <w:r>
              <w:rPr>
                <w:sz w:val="18"/>
              </w:rPr>
              <w:t>下单时的收花地址快照</w:t>
            </w:r>
          </w:p>
        </w:tc>
      </w:tr>
      <w:tr>
        <w:trPr>
          <w:cantSplit/>
        </w:trPr>
        <w:tc>
          <w:tcPr>
            <w:tcW w:type="dxa" w:w="3312"/>
            <w:vAlign w:val="center"/>
          </w:tcPr>
          <w:p>
            <w:pPr>
              <w:spacing w:after="0"/>
            </w:pPr>
            <w:r>
              <w:rPr>
                <w:sz w:val="18"/>
              </w:rPr>
              <w:t>delivery_zone_id / slot_id</w:t>
            </w:r>
          </w:p>
        </w:tc>
        <w:tc>
          <w:tcPr>
            <w:tcW w:type="dxa" w:w="1944"/>
            <w:vAlign w:val="center"/>
          </w:tcPr>
          <w:p>
            <w:pPr>
              <w:spacing w:after="0"/>
            </w:pPr>
            <w:r>
              <w:rPr>
                <w:sz w:val="18"/>
              </w:rPr>
              <w:t>int</w:t>
            </w:r>
          </w:p>
        </w:tc>
        <w:tc>
          <w:tcPr>
            <w:tcW w:type="dxa" w:w="3816"/>
            <w:vAlign w:val="center"/>
          </w:tcPr>
          <w:p>
            <w:pPr>
              <w:spacing w:after="0"/>
            </w:pPr>
            <w:r>
              <w:rPr>
                <w:sz w:val="18"/>
              </w:rPr>
              <w:t>配送区域和预约时段编号</w:t>
            </w:r>
          </w:p>
        </w:tc>
      </w:tr>
      <w:tr>
        <w:trPr>
          <w:cantSplit/>
        </w:trPr>
        <w:tc>
          <w:tcPr>
            <w:tcW w:type="dxa" w:w="3312"/>
            <w:vAlign w:val="center"/>
          </w:tcPr>
          <w:p>
            <w:pPr>
              <w:spacing w:after="0"/>
            </w:pPr>
            <w:r>
              <w:rPr>
                <w:sz w:val="18"/>
              </w:rPr>
              <w:t>delivery_date</w:t>
            </w:r>
          </w:p>
        </w:tc>
        <w:tc>
          <w:tcPr>
            <w:tcW w:type="dxa" w:w="1944"/>
            <w:vAlign w:val="center"/>
          </w:tcPr>
          <w:p>
            <w:pPr>
              <w:spacing w:after="0"/>
            </w:pPr>
            <w:r>
              <w:rPr>
                <w:sz w:val="18"/>
              </w:rPr>
              <w:t>date</w:t>
            </w:r>
          </w:p>
        </w:tc>
        <w:tc>
          <w:tcPr>
            <w:tcW w:type="dxa" w:w="3816"/>
            <w:vAlign w:val="center"/>
          </w:tcPr>
          <w:p>
            <w:pPr>
              <w:spacing w:after="0"/>
            </w:pPr>
            <w:r>
              <w:rPr>
                <w:sz w:val="18"/>
              </w:rPr>
              <w:t>预约送花日期</w:t>
            </w:r>
          </w:p>
        </w:tc>
      </w:tr>
      <w:tr>
        <w:trPr>
          <w:cantSplit/>
        </w:trPr>
        <w:tc>
          <w:tcPr>
            <w:tcW w:type="dxa" w:w="3312"/>
            <w:vAlign w:val="center"/>
          </w:tcPr>
          <w:p>
            <w:pPr>
              <w:spacing w:after="0"/>
            </w:pPr>
            <w:r>
              <w:rPr>
                <w:sz w:val="18"/>
              </w:rPr>
              <w:t>current_stage</w:t>
            </w:r>
          </w:p>
        </w:tc>
        <w:tc>
          <w:tcPr>
            <w:tcW w:type="dxa" w:w="1944"/>
            <w:vAlign w:val="center"/>
          </w:tcPr>
          <w:p>
            <w:pPr>
              <w:spacing w:after="0"/>
            </w:pPr>
            <w:r>
              <w:rPr>
                <w:sz w:val="18"/>
              </w:rPr>
              <w:t>varchar(32)</w:t>
            </w:r>
          </w:p>
        </w:tc>
        <w:tc>
          <w:tcPr>
            <w:tcW w:type="dxa" w:w="3816"/>
            <w:vAlign w:val="center"/>
          </w:tcPr>
          <w:p>
            <w:pPr>
              <w:spacing w:after="0"/>
            </w:pPr>
            <w:r>
              <w:rPr>
                <w:sz w:val="18"/>
              </w:rPr>
              <w:t>当前履约阶段</w:t>
            </w:r>
          </w:p>
        </w:tc>
      </w:tr>
      <w:tr>
        <w:trPr>
          <w:cantSplit/>
        </w:trPr>
        <w:tc>
          <w:tcPr>
            <w:tcW w:type="dxa" w:w="3312"/>
            <w:vAlign w:val="center"/>
          </w:tcPr>
          <w:p>
            <w:pPr>
              <w:spacing w:after="0"/>
            </w:pPr>
            <w:r>
              <w:rPr>
                <w:sz w:val="18"/>
              </w:rPr>
              <w:t>reservation_released</w:t>
            </w:r>
          </w:p>
        </w:tc>
        <w:tc>
          <w:tcPr>
            <w:tcW w:type="dxa" w:w="1944"/>
            <w:vAlign w:val="center"/>
          </w:tcPr>
          <w:p>
            <w:pPr>
              <w:spacing w:after="0"/>
            </w:pPr>
            <w:r>
              <w:rPr>
                <w:sz w:val="18"/>
              </w:rPr>
              <w:t>tinyint(1)</w:t>
            </w:r>
          </w:p>
        </w:tc>
        <w:tc>
          <w:tcPr>
            <w:tcW w:type="dxa" w:w="3816"/>
            <w:vAlign w:val="center"/>
          </w:tcPr>
          <w:p>
            <w:pPr>
              <w:spacing w:after="0"/>
            </w:pPr>
            <w:r>
              <w:rPr>
                <w:sz w:val="18"/>
              </w:rPr>
              <w:t>时段名额是否已释放</w:t>
            </w:r>
          </w:p>
        </w:tc>
      </w:tr>
    </w:tbl>
    <w:p>
      <w:r>
        <w:t>花材批次表记录入库日期、到期日期、现存量和锁定量；同一种花材的批次号必须唯一。其字段支持图 3-7 中的批次分配关系，见表 3-6。</w:t>
      </w:r>
    </w:p>
    <w:p>
      <w:pPr>
        <w:pStyle w:val="CaptionCN"/>
        <w:keepNext/>
        <w:jc w:val="center"/>
      </w:pPr>
      <w:r>
        <w:t>表 3-6 eb_flower_material_batch 主要字段</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3384"/>
            <w:shd w:fill="DCE7F0"/>
            <w:vAlign w:val="center"/>
          </w:tcPr>
          <w:p>
            <w:pPr>
              <w:keepNext/>
              <w:spacing w:after="0"/>
            </w:pPr>
            <w:r>
              <w:rPr>
                <w:sz w:val="18"/>
              </w:rPr>
              <w:t>字段</w:t>
            </w:r>
          </w:p>
        </w:tc>
        <w:tc>
          <w:tcPr>
            <w:tcW w:type="dxa" w:w="1800"/>
            <w:shd w:fill="DCE7F0"/>
            <w:vAlign w:val="center"/>
          </w:tcPr>
          <w:p>
            <w:pPr>
              <w:keepNext/>
              <w:spacing w:after="0"/>
            </w:pPr>
            <w:r>
              <w:rPr>
                <w:sz w:val="18"/>
              </w:rPr>
              <w:t>类型</w:t>
            </w:r>
          </w:p>
        </w:tc>
        <w:tc>
          <w:tcPr>
            <w:tcW w:type="dxa" w:w="3888"/>
            <w:shd w:fill="DCE7F0"/>
            <w:vAlign w:val="center"/>
          </w:tcPr>
          <w:p>
            <w:pPr>
              <w:keepNext/>
              <w:spacing w:after="0"/>
            </w:pPr>
            <w:r>
              <w:rPr>
                <w:sz w:val="18"/>
              </w:rPr>
              <w:t>含义及约束</w:t>
            </w:r>
          </w:p>
        </w:tc>
      </w:tr>
      <w:tr>
        <w:trPr>
          <w:cantSplit/>
        </w:trPr>
        <w:tc>
          <w:tcPr>
            <w:tcW w:type="dxa" w:w="3384"/>
            <w:vAlign w:val="center"/>
          </w:tcPr>
          <w:p>
            <w:pPr>
              <w:spacing w:after="0"/>
            </w:pPr>
            <w:r>
              <w:rPr>
                <w:sz w:val="18"/>
              </w:rPr>
              <w:t>id / material_id</w:t>
            </w:r>
          </w:p>
        </w:tc>
        <w:tc>
          <w:tcPr>
            <w:tcW w:type="dxa" w:w="1800"/>
            <w:vAlign w:val="center"/>
          </w:tcPr>
          <w:p>
            <w:pPr>
              <w:spacing w:after="0"/>
            </w:pPr>
            <w:r>
              <w:rPr>
                <w:sz w:val="18"/>
              </w:rPr>
              <w:t>bigint / int</w:t>
            </w:r>
          </w:p>
        </w:tc>
        <w:tc>
          <w:tcPr>
            <w:tcW w:type="dxa" w:w="3888"/>
            <w:vAlign w:val="center"/>
          </w:tcPr>
          <w:p>
            <w:pPr>
              <w:spacing w:after="0"/>
            </w:pPr>
            <w:r>
              <w:rPr>
                <w:sz w:val="18"/>
              </w:rPr>
              <w:t>批次主键与花材编号</w:t>
            </w:r>
          </w:p>
        </w:tc>
      </w:tr>
      <w:tr>
        <w:trPr>
          <w:cantSplit/>
        </w:trPr>
        <w:tc>
          <w:tcPr>
            <w:tcW w:type="dxa" w:w="3384"/>
            <w:vAlign w:val="center"/>
          </w:tcPr>
          <w:p>
            <w:pPr>
              <w:spacing w:after="0"/>
            </w:pPr>
            <w:r>
              <w:rPr>
                <w:sz w:val="18"/>
              </w:rPr>
              <w:t>batch_no</w:t>
            </w:r>
          </w:p>
        </w:tc>
        <w:tc>
          <w:tcPr>
            <w:tcW w:type="dxa" w:w="1800"/>
            <w:vAlign w:val="center"/>
          </w:tcPr>
          <w:p>
            <w:pPr>
              <w:spacing w:after="0"/>
            </w:pPr>
            <w:r>
              <w:rPr>
                <w:sz w:val="18"/>
              </w:rPr>
              <w:t>varchar(80)</w:t>
            </w:r>
          </w:p>
        </w:tc>
        <w:tc>
          <w:tcPr>
            <w:tcW w:type="dxa" w:w="3888"/>
            <w:vAlign w:val="center"/>
          </w:tcPr>
          <w:p>
            <w:pPr>
              <w:spacing w:after="0"/>
            </w:pPr>
            <w:r>
              <w:rPr>
                <w:sz w:val="18"/>
              </w:rPr>
              <w:t>批次号，与花材编号组成唯一键</w:t>
            </w:r>
          </w:p>
        </w:tc>
      </w:tr>
      <w:tr>
        <w:trPr>
          <w:cantSplit/>
        </w:trPr>
        <w:tc>
          <w:tcPr>
            <w:tcW w:type="dxa" w:w="3384"/>
            <w:vAlign w:val="center"/>
          </w:tcPr>
          <w:p>
            <w:pPr>
              <w:spacing w:after="0"/>
            </w:pPr>
            <w:r>
              <w:rPr>
                <w:sz w:val="18"/>
              </w:rPr>
              <w:t>received_date / expiry_date</w:t>
            </w:r>
          </w:p>
        </w:tc>
        <w:tc>
          <w:tcPr>
            <w:tcW w:type="dxa" w:w="1800"/>
            <w:vAlign w:val="center"/>
          </w:tcPr>
          <w:p>
            <w:pPr>
              <w:spacing w:after="0"/>
            </w:pPr>
            <w:r>
              <w:rPr>
                <w:sz w:val="18"/>
              </w:rPr>
              <w:t>date</w:t>
            </w:r>
          </w:p>
        </w:tc>
        <w:tc>
          <w:tcPr>
            <w:tcW w:type="dxa" w:w="3888"/>
            <w:vAlign w:val="center"/>
          </w:tcPr>
          <w:p>
            <w:pPr>
              <w:spacing w:after="0"/>
            </w:pPr>
            <w:r>
              <w:rPr>
                <w:sz w:val="18"/>
              </w:rPr>
              <w:t>入库日期与到期日期</w:t>
            </w:r>
          </w:p>
        </w:tc>
      </w:tr>
      <w:tr>
        <w:trPr>
          <w:cantSplit/>
        </w:trPr>
        <w:tc>
          <w:tcPr>
            <w:tcW w:type="dxa" w:w="3384"/>
            <w:vAlign w:val="center"/>
          </w:tcPr>
          <w:p>
            <w:pPr>
              <w:spacing w:after="0"/>
            </w:pPr>
            <w:r>
              <w:rPr>
                <w:sz w:val="18"/>
              </w:rPr>
              <w:t>current_qty / reserved_qty</w:t>
            </w:r>
          </w:p>
        </w:tc>
        <w:tc>
          <w:tcPr>
            <w:tcW w:type="dxa" w:w="1800"/>
            <w:vAlign w:val="center"/>
          </w:tcPr>
          <w:p>
            <w:pPr>
              <w:spacing w:after="0"/>
            </w:pPr>
            <w:r>
              <w:rPr>
                <w:sz w:val="18"/>
              </w:rPr>
              <w:t>int</w:t>
            </w:r>
          </w:p>
        </w:tc>
        <w:tc>
          <w:tcPr>
            <w:tcW w:type="dxa" w:w="3888"/>
            <w:vAlign w:val="center"/>
          </w:tcPr>
          <w:p>
            <w:pPr>
              <w:spacing w:after="0"/>
            </w:pPr>
            <w:r>
              <w:rPr>
                <w:sz w:val="18"/>
              </w:rPr>
              <w:t>现存量与已锁定量</w:t>
            </w:r>
          </w:p>
        </w:tc>
      </w:tr>
    </w:tbl>
    <w:p>
      <w:r>
        <w:t>配方表按“商品编号、花材编号”保存单件用量；分配表按“订单号、批次编号”保存锁定数量与 RESERVED、RELEASED 或 CONSUMED 状态。订单生成后保留分配记录，即使后来调整配方，也不会改变已下单商品的花材追溯结果。</w:t>
      </w:r>
    </w:p>
    <w:p>
      <w:pPr>
        <w:pStyle w:val="Heading2"/>
      </w:pPr>
      <w:r>
        <w:t>3.4 本章小结</w:t>
      </w:r>
    </w:p>
    <w:p>
      <w:r>
        <w:t>本章完成系统架构、角色协作、关键类与数据结构、预约下单流程以及概念和物理数据库设计。设计重点是通过条件更新、事务回滚和进度记录维护预约容量、花材数量与履约状态的一致性。</w:t>
      </w:r>
    </w:p>
    <w:p>
      <w:pPr>
        <w:pStyle w:val="Heading1"/>
      </w:pPr>
      <w:r>
        <w:t>第四章 系统实现</w:t>
      </w:r>
    </w:p>
    <w:p>
      <w:pPr>
        <w:pStyle w:val="Heading2"/>
      </w:pPr>
      <w:r>
        <w:t>4.1 开发平台与工程结构</w:t>
      </w:r>
    </w:p>
    <w:p>
      <w:r>
        <w:t>后端采用 Java 8、Spring Boot 2.2.6、MyBatis-Plus 与 Maven，数据存储使用 MySQL 8.0 和 Redis 5+。顾客端基于 uni-app 构建微信小程序页面，花店管理端采用 Vue 3、Vite 与 Element Plus。工程分为公共模型、业务服务、顾客接口、管理接口和两个前端，业务规则集中在服务层。</w:t>
      </w:r>
    </w:p>
    <w:p>
      <w:pPr>
        <w:pStyle w:val="CaptionCN"/>
        <w:keepNext/>
        <w:jc w:val="center"/>
      </w:pPr>
      <w:r>
        <w:t>表 4-1 主要工程模块</w:t>
      </w:r>
    </w:p>
    <w:tbl>
      <w:tblPr>
        <w:tblStyle w:val="TableGrid"/>
        <w:tblW w:type="auto" w:w="0"/>
        <w:jc w:val="center"/>
        <w:tblLayout w:type="fixed"/>
        <w:tblLook w:firstColumn="1" w:firstRow="1" w:lastColumn="0" w:lastRow="0" w:noHBand="0" w:noVBand="1" w:val="04A0"/>
      </w:tblPr>
      <w:tblGrid>
        <w:gridCol w:w="4422"/>
        <w:gridCol w:w="4422"/>
      </w:tblGrid>
      <w:tr>
        <w:trPr>
          <w:tblHeader/>
          <w:cantSplit/>
        </w:trPr>
        <w:tc>
          <w:tcPr>
            <w:tcW w:type="dxa" w:w="3096"/>
            <w:shd w:fill="DCE7F0"/>
            <w:vAlign w:val="center"/>
          </w:tcPr>
          <w:p>
            <w:pPr>
              <w:keepNext/>
              <w:spacing w:after="0"/>
            </w:pPr>
            <w:r>
              <w:rPr>
                <w:sz w:val="18"/>
              </w:rPr>
              <w:t>模块</w:t>
            </w:r>
          </w:p>
        </w:tc>
        <w:tc>
          <w:tcPr>
            <w:tcW w:type="dxa" w:w="5976"/>
            <w:shd w:fill="DCE7F0"/>
            <w:vAlign w:val="center"/>
          </w:tcPr>
          <w:p>
            <w:pPr>
              <w:keepNext/>
              <w:spacing w:after="0"/>
            </w:pPr>
            <w:r>
              <w:rPr>
                <w:sz w:val="18"/>
              </w:rPr>
              <w:t>作用</w:t>
            </w:r>
          </w:p>
        </w:tc>
      </w:tr>
      <w:tr>
        <w:trPr>
          <w:cantSplit/>
        </w:trPr>
        <w:tc>
          <w:tcPr>
            <w:tcW w:type="dxa" w:w="3096"/>
            <w:vAlign w:val="center"/>
          </w:tcPr>
          <w:p>
            <w:pPr>
              <w:spacing w:after="0"/>
            </w:pPr>
            <w:r>
              <w:rPr>
                <w:sz w:val="18"/>
              </w:rPr>
              <w:t>crmeb-common</w:t>
            </w:r>
          </w:p>
        </w:tc>
        <w:tc>
          <w:tcPr>
            <w:tcW w:type="dxa" w:w="5976"/>
            <w:vAlign w:val="center"/>
          </w:tcPr>
          <w:p>
            <w:pPr>
              <w:spacing w:after="0"/>
            </w:pPr>
            <w:r>
              <w:rPr>
                <w:sz w:val="18"/>
              </w:rPr>
              <w:t>实体、请求与响应模型、业务枚举</w:t>
            </w:r>
          </w:p>
        </w:tc>
      </w:tr>
      <w:tr>
        <w:trPr>
          <w:cantSplit/>
        </w:trPr>
        <w:tc>
          <w:tcPr>
            <w:tcW w:type="dxa" w:w="3096"/>
            <w:vAlign w:val="center"/>
          </w:tcPr>
          <w:p>
            <w:pPr>
              <w:spacing w:after="0"/>
            </w:pPr>
            <w:r>
              <w:rPr>
                <w:sz w:val="18"/>
              </w:rPr>
              <w:t>crmeb-service</w:t>
            </w:r>
          </w:p>
        </w:tc>
        <w:tc>
          <w:tcPr>
            <w:tcW w:type="dxa" w:w="5976"/>
            <w:vAlign w:val="center"/>
          </w:tcPr>
          <w:p>
            <w:pPr>
              <w:spacing w:after="0"/>
            </w:pPr>
            <w:r>
              <w:rPr>
                <w:sz w:val="18"/>
              </w:rPr>
              <w:t>商品、配送、订单、花材与履约服务</w:t>
            </w:r>
          </w:p>
        </w:tc>
      </w:tr>
      <w:tr>
        <w:trPr>
          <w:cantSplit/>
        </w:trPr>
        <w:tc>
          <w:tcPr>
            <w:tcW w:type="dxa" w:w="3096"/>
            <w:vAlign w:val="center"/>
          </w:tcPr>
          <w:p>
            <w:pPr>
              <w:spacing w:after="0"/>
            </w:pPr>
            <w:r>
              <w:rPr>
                <w:sz w:val="18"/>
              </w:rPr>
              <w:t>crmeb-front / crmeb-admin</w:t>
            </w:r>
          </w:p>
        </w:tc>
        <w:tc>
          <w:tcPr>
            <w:tcW w:type="dxa" w:w="5976"/>
            <w:vAlign w:val="center"/>
          </w:tcPr>
          <w:p>
            <w:pPr>
              <w:spacing w:after="0"/>
            </w:pPr>
            <w:r>
              <w:rPr>
                <w:sz w:val="18"/>
              </w:rPr>
              <w:t>顾客接口与花店管理接口</w:t>
            </w:r>
          </w:p>
        </w:tc>
      </w:tr>
      <w:tr>
        <w:trPr>
          <w:cantSplit/>
        </w:trPr>
        <w:tc>
          <w:tcPr>
            <w:tcW w:type="dxa" w:w="3096"/>
            <w:vAlign w:val="center"/>
          </w:tcPr>
          <w:p>
            <w:pPr>
              <w:spacing w:after="0"/>
            </w:pPr>
            <w:r>
              <w:rPr>
                <w:sz w:val="18"/>
              </w:rPr>
              <w:t>uni-app / Vue 管理端</w:t>
            </w:r>
          </w:p>
        </w:tc>
        <w:tc>
          <w:tcPr>
            <w:tcW w:type="dxa" w:w="5976"/>
            <w:vAlign w:val="center"/>
          </w:tcPr>
          <w:p>
            <w:pPr>
              <w:spacing w:after="0"/>
            </w:pPr>
            <w:r>
              <w:rPr>
                <w:sz w:val="18"/>
              </w:rPr>
              <w:t>顾客页面与后台操作页面</w:t>
            </w:r>
          </w:p>
        </w:tc>
      </w:tr>
    </w:tbl>
    <w:p>
      <w:pPr>
        <w:pStyle w:val="Heading2"/>
      </w:pPr>
      <w:r>
        <w:t>4.2 用户身份与权限实现</w:t>
      </w:r>
    </w:p>
    <w:p>
      <w:r>
        <w:t>顾客访问订单详情时，接口读取当前登录用户编号，再由订单服务核验订单归属。后台接口以权限标识控制商品维护、配送配置、花材入库和订单阶段变更；阶段变更还根据目标阶段检查相应操作权限。这样，同一订单进度可以向顾客展示，但只有具备对应权限的店员能够更新。</w:t>
      </w:r>
    </w:p>
    <w:p>
      <w:pPr>
        <w:keepLines/>
        <w:spacing w:after="0"/>
        <w:ind w:left="374"/>
        <w:shd w:fill="F2F5F8"/>
      </w:pPr>
      <w:r>
        <w:rPr>
          <w:rFonts w:ascii="Consolas" w:hAnsi="Consolas"/>
          <w:sz w:val="17"/>
        </w:rPr>
        <w:t>@GetMapping("/{orderNo}")</w:t>
      </w:r>
    </w:p>
    <w:p>
      <w:pPr>
        <w:keepLines/>
        <w:spacing w:after="0"/>
        <w:ind w:left="374"/>
        <w:shd w:fill="F2F5F8"/>
      </w:pPr>
      <w:r>
        <w:rPr>
          <w:rFonts w:ascii="Consolas" w:hAnsi="Consolas"/>
          <w:sz w:val="17"/>
        </w:rPr>
        <w:t>public CommonResult&lt;FlowerOrderDetailResponse&gt; detail(String orderNo) {</w:t>
      </w:r>
    </w:p>
    <w:p>
      <w:pPr>
        <w:keepLines/>
        <w:spacing w:after="0"/>
        <w:ind w:left="374"/>
        <w:shd w:fill="F2F5F8"/>
      </w:pPr>
      <w:r>
        <w:rPr>
          <w:rFonts w:ascii="Consolas" w:hAnsi="Consolas"/>
          <w:sz w:val="17"/>
        </w:rPr>
        <w:t xml:space="preserve">    return CommonResult.success(</w:t>
      </w:r>
    </w:p>
    <w:p>
      <w:pPr>
        <w:keepLines/>
        <w:spacing w:after="0"/>
        <w:ind w:left="374"/>
        <w:shd w:fill="F2F5F8"/>
      </w:pPr>
      <w:r>
        <w:rPr>
          <w:rFonts w:ascii="Consolas" w:hAnsi="Consolas"/>
          <w:sz w:val="17"/>
        </w:rPr>
        <w:t xml:space="preserve">        flowerOrderService.detail(orderNo, userService.getUserIdException()));</w:t>
      </w:r>
    </w:p>
    <w:p>
      <w:pPr>
        <w:keepLines/>
        <w:spacing w:after="0"/>
        <w:ind w:left="374"/>
        <w:shd w:fill="F2F5F8"/>
      </w:pPr>
      <w:r>
        <w:rPr>
          <w:rFonts w:ascii="Consolas" w:hAnsi="Consolas"/>
          <w:sz w:val="17"/>
        </w:rPr>
        <w:t>}</w:t>
      </w:r>
    </w:p>
    <w:p>
      <w:r>
        <w:t>上述代码摘取顾客端订单详情入口。服务层以当前用户编号校验订单归属，避免仅凭订单号读取他人收花地址和联系电话。</w:t>
      </w:r>
    </w:p>
    <w:p>
      <w:pPr>
        <w:pStyle w:val="Heading2"/>
      </w:pPr>
      <w:r>
        <w:t>4.3 花卉商品与养护内容实现</w:t>
      </w:r>
    </w:p>
    <w:p>
      <w:r>
        <w:t>FlowerProductController 提供商品列表和详情接口。列表请求包含关键词、适用场景、赠送对象、色系及预算区间；FlowerProductService 将商品价格、销售状态与花材、花语、枝数、包装等信息合成为列表卡片和详情。后台通过 FlowerProductController 维护花卉属性，养护文章由 FlowerCareController 提供列表与详情，形成“选花—了解养护—下单”的顾客操作路径。</w:t>
      </w:r>
    </w:p>
    <w:p>
      <w:pPr>
        <w:pStyle w:val="CaptionCN"/>
        <w:keepNext/>
        <w:jc w:val="center"/>
      </w:pPr>
      <w:r>
        <w:t>表 4-2 顾客端主要接口</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cantSplit/>
        </w:trPr>
        <w:tc>
          <w:tcPr>
            <w:tcW w:type="dxa" w:w="3888"/>
            <w:shd w:fill="DCE7F0"/>
            <w:vAlign w:val="center"/>
          </w:tcPr>
          <w:p>
            <w:pPr>
              <w:keepNext/>
              <w:spacing w:after="0"/>
            </w:pPr>
            <w:r>
              <w:rPr>
                <w:sz w:val="18"/>
              </w:rPr>
              <w:t>接口</w:t>
            </w:r>
          </w:p>
        </w:tc>
        <w:tc>
          <w:tcPr>
            <w:tcW w:type="dxa" w:w="2304"/>
            <w:shd w:fill="DCE7F0"/>
            <w:vAlign w:val="center"/>
          </w:tcPr>
          <w:p>
            <w:pPr>
              <w:keepNext/>
              <w:spacing w:after="0"/>
            </w:pPr>
            <w:r>
              <w:rPr>
                <w:sz w:val="18"/>
              </w:rPr>
              <w:t>用途</w:t>
            </w:r>
          </w:p>
        </w:tc>
        <w:tc>
          <w:tcPr>
            <w:tcW w:type="dxa" w:w="2880"/>
            <w:shd w:fill="DCE7F0"/>
            <w:vAlign w:val="center"/>
          </w:tcPr>
          <w:p>
            <w:pPr>
              <w:keepNext/>
              <w:spacing w:after="0"/>
            </w:pPr>
            <w:r>
              <w:rPr>
                <w:sz w:val="18"/>
              </w:rPr>
              <w:t>关键输入</w:t>
            </w:r>
          </w:p>
        </w:tc>
      </w:tr>
      <w:tr>
        <w:trPr>
          <w:cantSplit/>
        </w:trPr>
        <w:tc>
          <w:tcPr>
            <w:tcW w:type="dxa" w:w="3888"/>
            <w:vAlign w:val="center"/>
          </w:tcPr>
          <w:p>
            <w:pPr>
              <w:spacing w:after="0"/>
            </w:pPr>
            <w:r>
              <w:rPr>
                <w:sz w:val="18"/>
              </w:rPr>
              <w:t>GET /api/front/flower/product/list</w:t>
            </w:r>
          </w:p>
        </w:tc>
        <w:tc>
          <w:tcPr>
            <w:tcW w:type="dxa" w:w="2304"/>
            <w:vAlign w:val="center"/>
          </w:tcPr>
          <w:p>
            <w:pPr>
              <w:spacing w:after="0"/>
            </w:pPr>
            <w:r>
              <w:rPr>
                <w:sz w:val="18"/>
              </w:rPr>
              <w:t>筛选鲜花商品</w:t>
            </w:r>
          </w:p>
        </w:tc>
        <w:tc>
          <w:tcPr>
            <w:tcW w:type="dxa" w:w="2880"/>
            <w:vAlign w:val="center"/>
          </w:tcPr>
          <w:p>
            <w:pPr>
              <w:spacing w:after="0"/>
            </w:pPr>
            <w:r>
              <w:rPr>
                <w:sz w:val="18"/>
              </w:rPr>
              <w:t>关键词、场景、色系、预算</w:t>
            </w:r>
          </w:p>
        </w:tc>
      </w:tr>
      <w:tr>
        <w:trPr>
          <w:cantSplit/>
        </w:trPr>
        <w:tc>
          <w:tcPr>
            <w:tcW w:type="dxa" w:w="3888"/>
            <w:vAlign w:val="center"/>
          </w:tcPr>
          <w:p>
            <w:pPr>
              <w:spacing w:after="0"/>
            </w:pPr>
            <w:r>
              <w:rPr>
                <w:sz w:val="18"/>
              </w:rPr>
              <w:t>GET /api/front/flower/product/{productId}</w:t>
            </w:r>
          </w:p>
        </w:tc>
        <w:tc>
          <w:tcPr>
            <w:tcW w:type="dxa" w:w="2304"/>
            <w:vAlign w:val="center"/>
          </w:tcPr>
          <w:p>
            <w:pPr>
              <w:spacing w:after="0"/>
            </w:pPr>
            <w:r>
              <w:rPr>
                <w:sz w:val="18"/>
              </w:rPr>
              <w:t>读取鲜花详情</w:t>
            </w:r>
          </w:p>
        </w:tc>
        <w:tc>
          <w:tcPr>
            <w:tcW w:type="dxa" w:w="2880"/>
            <w:vAlign w:val="center"/>
          </w:tcPr>
          <w:p>
            <w:pPr>
              <w:spacing w:after="0"/>
            </w:pPr>
            <w:r>
              <w:rPr>
                <w:sz w:val="18"/>
              </w:rPr>
              <w:t>商品编号</w:t>
            </w:r>
          </w:p>
        </w:tc>
      </w:tr>
      <w:tr>
        <w:trPr>
          <w:cantSplit/>
        </w:trPr>
        <w:tc>
          <w:tcPr>
            <w:tcW w:type="dxa" w:w="3888"/>
            <w:vAlign w:val="center"/>
          </w:tcPr>
          <w:p>
            <w:pPr>
              <w:spacing w:after="0"/>
            </w:pPr>
            <w:r>
              <w:rPr>
                <w:sz w:val="18"/>
              </w:rPr>
              <w:t>GET /api/front/flower/order/{orderNo}</w:t>
            </w:r>
          </w:p>
        </w:tc>
        <w:tc>
          <w:tcPr>
            <w:tcW w:type="dxa" w:w="2304"/>
            <w:vAlign w:val="center"/>
          </w:tcPr>
          <w:p>
            <w:pPr>
              <w:spacing w:after="0"/>
            </w:pPr>
            <w:r>
              <w:rPr>
                <w:sz w:val="18"/>
              </w:rPr>
              <w:t>查询本人订单进度</w:t>
            </w:r>
          </w:p>
        </w:tc>
        <w:tc>
          <w:tcPr>
            <w:tcW w:type="dxa" w:w="2880"/>
            <w:vAlign w:val="center"/>
          </w:tcPr>
          <w:p>
            <w:pPr>
              <w:spacing w:after="0"/>
            </w:pPr>
            <w:r>
              <w:rPr>
                <w:sz w:val="18"/>
              </w:rPr>
              <w:t>订单号、当前用户</w:t>
            </w:r>
          </w:p>
        </w:tc>
      </w:tr>
    </w:tbl>
    <w:p>
      <w:pPr>
        <w:pStyle w:val="Heading2"/>
      </w:pPr>
      <w:r>
        <w:t>4.4 预约配送与订单提交实现</w:t>
      </w:r>
    </w:p>
    <w:p>
      <w:r>
        <w:t>配送服务根据收花地址所属行政区域查询已启用的配送区域，并核算起送金额与配送费用。选择时段时再次校验日期、启用状态、容量和截单时间；下单提交时通过 FlowerDeliverySlotDao 的条件更新占用名额，防止并发提交超过 capacity。关键判断如下。</w:t>
      </w:r>
    </w:p>
    <w:p>
      <w:pPr>
        <w:keepLines/>
        <w:spacing w:after="0"/>
        <w:ind w:left="374"/>
        <w:shd w:fill="F2F5F8"/>
      </w:pPr>
      <w:r>
        <w:rPr>
          <w:rFonts w:ascii="Consolas" w:hAnsi="Consolas"/>
          <w:sz w:val="17"/>
        </w:rPr>
        <w:t>public void reserve(Integer slotId) {</w:t>
      </w:r>
    </w:p>
    <w:p>
      <w:pPr>
        <w:keepLines/>
        <w:spacing w:after="0"/>
        <w:ind w:left="374"/>
        <w:shd w:fill="F2F5F8"/>
      </w:pPr>
      <w:r>
        <w:rPr>
          <w:rFonts w:ascii="Consolas" w:hAnsi="Consolas"/>
          <w:sz w:val="17"/>
        </w:rPr>
        <w:t xml:space="preserve">    if (slotId == null || slotDao.reserve(slotId) != 1) {</w:t>
      </w:r>
    </w:p>
    <w:p>
      <w:pPr>
        <w:keepLines/>
        <w:spacing w:after="0"/>
        <w:ind w:left="374"/>
        <w:shd w:fill="F2F5F8"/>
      </w:pPr>
      <w:r>
        <w:rPr>
          <w:rFonts w:ascii="Consolas" w:hAnsi="Consolas"/>
          <w:sz w:val="17"/>
        </w:rPr>
        <w:t xml:space="preserve">        throw new CrmebException("该配送时段已满或已停止预约");</w:t>
      </w:r>
    </w:p>
    <w:p>
      <w:pPr>
        <w:keepLines/>
        <w:spacing w:after="0"/>
        <w:ind w:left="374"/>
        <w:shd w:fill="F2F5F8"/>
      </w:pPr>
      <w:r>
        <w:rPr>
          <w:rFonts w:ascii="Consolas" w:hAnsi="Consolas"/>
          <w:sz w:val="17"/>
        </w:rPr>
        <w:t xml:space="preserve">    }</w:t>
      </w:r>
    </w:p>
    <w:p>
      <w:pPr>
        <w:keepLines/>
        <w:spacing w:after="0"/>
        <w:ind w:left="374"/>
        <w:shd w:fill="F2F5F8"/>
      </w:pPr>
      <w:r>
        <w:rPr>
          <w:rFonts w:ascii="Consolas" w:hAnsi="Consolas"/>
          <w:sz w:val="17"/>
        </w:rPr>
        <w:t>}</w:t>
      </w:r>
    </w:p>
    <w:p>
      <w:r>
        <w:t>FlowerOrderServiceImpl 在创建订单前检查订花人、送花日期、收花人、地址归属、区域及时段。创建后保存收花地址快照、贺卡、匿名与替换策略，同时写入初始履约记录。自提订单不要求配送区域和收花地址，配送订单则必须通过完整校验。</w:t>
      </w:r>
    </w:p>
    <w:p>
      <w:r>
        <w:t>待付款超时或制作前取消时，配送服务先将送花订单的 reservation_released 标记更新为已释放；只有该更新成功，才减少时段 booked_count。该顺序保证定时任务与取消请求同时到达时不会重复归还名额。</w:t>
      </w:r>
    </w:p>
    <w:p>
      <w:pPr>
        <w:pStyle w:val="Heading2"/>
      </w:pPr>
      <w:r>
        <w:t>4.5 花材批次与配方实现</w:t>
      </w:r>
    </w:p>
    <w:p>
      <w:r>
        <w:t>花材管理包含花材资料、入库批次、商品配方和订单批次分配四部分。下单时，FlowerMaterialServiceImpl 按商品数量计算各花材需求，以固定的花材编号顺序处理库存，并优先选择交付日仍有效、到期时间较早的批次。一个花材需求可拆分到多个批次；任一花材不足就抛出业务异常，由事务撤销整笔订单的名额与库存占用。</w:t>
      </w:r>
    </w:p>
    <w:p>
      <w:pPr>
        <w:keepLines/>
        <w:spacing w:after="0"/>
        <w:ind w:left="374"/>
        <w:shd w:fill="F2F5F8"/>
      </w:pPr>
      <w:r>
        <w:rPr>
          <w:rFonts w:ascii="Consolas" w:hAnsi="Consolas"/>
          <w:sz w:val="17"/>
        </w:rPr>
        <w:t>int available = batch.getCurrentQty() - batch.getReservedQty();</w:t>
      </w:r>
    </w:p>
    <w:p>
      <w:pPr>
        <w:keepLines/>
        <w:spacing w:after="0"/>
        <w:ind w:left="374"/>
        <w:shd w:fill="F2F5F8"/>
      </w:pPr>
      <w:r>
        <w:rPr>
          <w:rFonts w:ascii="Consolas" w:hAnsi="Consolas"/>
          <w:sz w:val="17"/>
        </w:rPr>
        <w:t>int quantity = Math.min(remaining, available);</w:t>
      </w:r>
    </w:p>
    <w:p>
      <w:pPr>
        <w:keepLines/>
        <w:spacing w:after="0"/>
        <w:ind w:left="374"/>
        <w:shd w:fill="F2F5F8"/>
      </w:pPr>
      <w:r>
        <w:rPr>
          <w:rFonts w:ascii="Consolas" w:hAnsi="Consolas"/>
          <w:sz w:val="17"/>
        </w:rPr>
        <w:t>if (quantity &gt; 0 &amp;&amp; batchDao.reserve(batch.getId(), quantity) != 1)</w:t>
      </w:r>
    </w:p>
    <w:p>
      <w:pPr>
        <w:keepLines/>
        <w:spacing w:after="0"/>
        <w:ind w:left="374"/>
        <w:shd w:fill="F2F5F8"/>
      </w:pPr>
      <w:r>
        <w:rPr>
          <w:rFonts w:ascii="Consolas" w:hAnsi="Consolas"/>
          <w:sz w:val="17"/>
        </w:rPr>
        <w:t xml:space="preserve">    throw new CrmebException("花材库存已变化，请重新提交订单");</w:t>
      </w:r>
    </w:p>
    <w:p>
      <w:r>
        <w:t>分配记录初始状态为 RESERVED。进入制作时改为 CONSUMED，同时扣减批次现存量和锁定量；订单取消或超时时改为 RELEASED，只归还锁定量。状态变更以原状态为条件，避免重复调用造成库存二次扣减。后台提供花材、批次入库、库存调整和配方维护接口。</w:t>
      </w:r>
    </w:p>
    <w:p>
      <w:pPr>
        <w:pStyle w:val="Heading2"/>
      </w:pPr>
      <w:r>
        <w:t>4.6 订单履约与进度实现</w:t>
      </w:r>
    </w:p>
    <w:p>
      <w:r>
        <w:t>后台订单列表按阶段组织待处理任务。店员依次执行接单、制作、待配送、配送中和送达动作，每次状态变化都保存阶段、操作人、时间、备注和可选凭证图片。顾客端仅展示本人订单的履约详情及可执行的确认送达操作。图 3-5 中的业务阶段与表 3-5 的 current_stage、进度表 stage 对应。</w:t>
      </w:r>
    </w:p>
    <w:p>
      <w:r>
        <w:t>服务端在阶段变更前校验目标阶段及当前阶段，使用带原状态条件的更新避免重复推进；进度表以订单号和阶段的组合唯一约束防止重复记录。订单交易主状态与花店履约阶段分别维护，支付和配送状态由各自模块负责。</w:t>
      </w:r>
    </w:p>
    <w:p>
      <w:pPr>
        <w:pStyle w:val="Heading2"/>
      </w:pPr>
      <w:r>
        <w:t>4.7 数据初始化与运行边界</w:t>
      </w:r>
    </w:p>
    <w:p>
      <w:r>
        <w:t>数据库脚本定义花卉商品信息、配送区域、配送时段、送花订单、履约进度、花材、批次、配方和分配记录，也提供演示用花材与商品配方。运行前需核对数据库版本、表结构与角色权限；演示支付由配置开关控制。脚本和代码说明了实现方式，实际部署结果仍以目标环境中的执行与查询记录为准。</w:t>
      </w:r>
    </w:p>
    <w:p>
      <w:pPr>
        <w:pStyle w:val="Heading2"/>
      </w:pPr>
      <w:r>
        <w:t>4.8 本章小结</w:t>
      </w:r>
    </w:p>
    <w:p>
      <w:r>
        <w:t>本章按照开发平台、用户权限、商品、预约、花材和订单履约的顺序说明实现。关键逻辑与第三章的流程图、ER 图和字段设计逐项对应，并在第五章通过可执行测试和场景检查验证。</w:t>
      </w:r>
    </w:p>
    <w:p>
      <w:pPr>
        <w:pStyle w:val="Heading1"/>
      </w:pPr>
      <w:r>
        <w:t>第五章 系统测试</w:t>
      </w:r>
    </w:p>
    <w:p>
      <w:pPr>
        <w:pStyle w:val="Heading2"/>
      </w:pPr>
      <w:r>
        <w:t>5.1 测试目标与方法</w:t>
      </w:r>
    </w:p>
    <w:p>
      <w:r>
        <w:t>测试围绕需求风险展开：商品筛选条件是否准确、配送时段是否超额、花材是否按交付日锁定、阶段变更是否有序、取消和超时是否重复释放、后台菜单和权限是否符合花店范围。方法包括后端单元测试、前端 Node 测试及需要现场补充的端到端验收。对于测试未覆盖的路径，不以“通过”代替实际证据。</w:t>
      </w:r>
    </w:p>
    <w:p>
      <w:pPr>
        <w:pStyle w:val="Heading2"/>
      </w:pPr>
      <w:r>
        <w:t>5.2 已执行自动化测试</w:t>
      </w:r>
    </w:p>
    <w:p>
      <w:pPr>
        <w:pStyle w:val="CaptionCN"/>
        <w:keepNext/>
      </w:pPr>
      <w:r>
        <w:t>表 5-1 本地自动化测试结果（2026 年 9 月 30 日）</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91"/>
        <w:gridCol w:w="3118"/>
        <w:gridCol w:w="1701"/>
        <w:gridCol w:w="3402"/>
      </w:tblGrid>
      <w:tr>
        <w:trPr>
          <w:trHeight w:hRule="atLeast" w:val="397"/>
          <w:tblHeader/>
          <w:cantSplit/>
        </w:trPr>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测试组</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执行范围</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结果</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可证明内容</w:t>
            </w:r>
          </w:p>
        </w:tc>
      </w:tr>
      <w:tr>
        <w:trPr>
          <w:trHeight w:hRule="atLeast" w:val="397"/>
          <w:cantSplit/>
        </w:trPr>
        <w:tc>
          <w:tcPr>
            <w:tcW w:type="dxa" w:w="1191"/>
            <w:vAlign w:val="center"/>
            <w:tcMar>
              <w:top w:w="80" w:type="dxa"/>
              <w:left w:w="90" w:type="dxa"/>
              <w:bottom w:w="80" w:type="dxa"/>
              <w:right w:w="90" w:type="dxa"/>
            </w:tcMar>
          </w:tcPr>
          <w:p>
            <w:pPr>
              <w:spacing w:after="0" w:line="276" w:lineRule="auto"/>
              <w:ind w:firstLine="0"/>
            </w:pPr>
            <w:r>
              <w:rPr>
                <w:rFonts w:ascii="宋体" w:hAnsi="宋体" w:eastAsia="宋体"/>
                <w:sz w:val="18"/>
              </w:rPr>
              <w:t>后端服务</w:t>
            </w:r>
          </w:p>
        </w:tc>
        <w:tc>
          <w:tcPr>
            <w:tcW w:type="dxa" w:w="3118"/>
            <w:vAlign w:val="center"/>
            <w:tcMar>
              <w:top w:w="80" w:type="dxa"/>
              <w:left w:w="90" w:type="dxa"/>
              <w:bottom w:w="80" w:type="dxa"/>
              <w:right w:w="90" w:type="dxa"/>
            </w:tcMar>
          </w:tcPr>
          <w:p>
            <w:pPr>
              <w:spacing w:after="0" w:line="276" w:lineRule="auto"/>
              <w:ind w:firstLine="0"/>
            </w:pPr>
            <w:r>
              <w:rPr>
                <w:rFonts w:ascii="宋体" w:hAnsi="宋体" w:eastAsia="宋体"/>
                <w:sz w:val="18"/>
              </w:rPr>
              <w:t>FlowerDeliveryServiceImplTest、FlowerMaterialServiceImplTest、FlowerOrderWorkflowServiceImplTest</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32 项通过，0 失败</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区域与时段规则、花材服务、履约阶段的被测分支</w:t>
            </w:r>
          </w:p>
        </w:tc>
      </w:tr>
      <w:tr>
        <w:trPr>
          <w:trHeight w:hRule="atLeast" w:val="397"/>
          <w:cantSplit/>
        </w:trPr>
        <w:tc>
          <w:tcPr>
            <w:tcW w:type="dxa" w:w="1191"/>
            <w:vAlign w:val="center"/>
            <w:tcMar>
              <w:top w:w="80" w:type="dxa"/>
              <w:left w:w="90" w:type="dxa"/>
              <w:bottom w:w="80" w:type="dxa"/>
              <w:right w:w="90" w:type="dxa"/>
            </w:tcMar>
          </w:tcPr>
          <w:p>
            <w:pPr>
              <w:spacing w:after="0" w:line="276" w:lineRule="auto"/>
              <w:ind w:firstLine="0"/>
            </w:pPr>
            <w:r>
              <w:rPr>
                <w:rFonts w:ascii="宋体" w:hAnsi="宋体" w:eastAsia="宋体"/>
                <w:sz w:val="18"/>
              </w:rPr>
              <w:t>顾客端</w:t>
            </w:r>
          </w:p>
        </w:tc>
        <w:tc>
          <w:tcPr>
            <w:tcW w:type="dxa" w:w="3118"/>
            <w:vAlign w:val="center"/>
            <w:tcMar>
              <w:top w:w="80" w:type="dxa"/>
              <w:left w:w="90" w:type="dxa"/>
              <w:bottom w:w="80" w:type="dxa"/>
              <w:right w:w="90" w:type="dxa"/>
            </w:tcMar>
          </w:tcPr>
          <w:p>
            <w:pPr>
              <w:spacing w:after="0" w:line="276" w:lineRule="auto"/>
              <w:ind w:firstLine="0"/>
            </w:pPr>
            <w:r>
              <w:rPr>
                <w:rFonts w:ascii="宋体" w:hAnsi="宋体" w:eastAsia="宋体"/>
                <w:sz w:val="18"/>
              </w:rPr>
              <w:t>flower-checkout、flower-product-view、flower-demo-sql</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27 项通过，0 失败</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结算字段校验、商品视图处理、演示数据一致性</w:t>
            </w:r>
          </w:p>
        </w:tc>
      </w:tr>
      <w:tr>
        <w:trPr>
          <w:trHeight w:hRule="atLeast" w:val="397"/>
          <w:cantSplit/>
        </w:trPr>
        <w:tc>
          <w:tcPr>
            <w:tcW w:type="dxa" w:w="1191"/>
            <w:vAlign w:val="center"/>
            <w:tcMar>
              <w:top w:w="80" w:type="dxa"/>
              <w:left w:w="90" w:type="dxa"/>
              <w:bottom w:w="80" w:type="dxa"/>
              <w:right w:w="90" w:type="dxa"/>
            </w:tcMar>
          </w:tcPr>
          <w:p>
            <w:pPr>
              <w:spacing w:after="0" w:line="276" w:lineRule="auto"/>
              <w:ind w:firstLine="0"/>
            </w:pPr>
            <w:r>
              <w:rPr>
                <w:rFonts w:ascii="宋体" w:hAnsi="宋体" w:eastAsia="宋体"/>
                <w:sz w:val="18"/>
              </w:rPr>
              <w:t>管理端</w:t>
            </w:r>
          </w:p>
        </w:tc>
        <w:tc>
          <w:tcPr>
            <w:tcW w:type="dxa" w:w="3118"/>
            <w:vAlign w:val="center"/>
            <w:tcMar>
              <w:top w:w="80" w:type="dxa"/>
              <w:left w:w="90" w:type="dxa"/>
              <w:bottom w:w="80" w:type="dxa"/>
              <w:right w:w="90" w:type="dxa"/>
            </w:tcMar>
          </w:tcPr>
          <w:p>
            <w:pPr>
              <w:spacing w:after="0" w:line="276" w:lineRule="auto"/>
              <w:ind w:firstLine="0"/>
            </w:pPr>
            <w:r>
              <w:rPr>
                <w:rFonts w:ascii="宋体" w:hAnsi="宋体" w:eastAsia="宋体"/>
                <w:sz w:val="18"/>
              </w:rPr>
              <w:t>flower-thesis-alignment、flower-menu</w:t>
            </w:r>
          </w:p>
        </w:tc>
        <w:tc>
          <w:tcPr>
            <w:tcW w:type="dxa" w:w="1701"/>
            <w:vAlign w:val="center"/>
            <w:tcMar>
              <w:top w:w="80" w:type="dxa"/>
              <w:left w:w="90" w:type="dxa"/>
              <w:bottom w:w="80" w:type="dxa"/>
              <w:right w:w="90" w:type="dxa"/>
            </w:tcMar>
          </w:tcPr>
          <w:p>
            <w:pPr>
              <w:spacing w:after="0" w:line="276" w:lineRule="auto"/>
              <w:ind w:firstLine="0"/>
            </w:pPr>
            <w:r>
              <w:rPr>
                <w:rFonts w:ascii="宋体" w:hAnsi="宋体" w:eastAsia="宋体"/>
                <w:sz w:val="18"/>
              </w:rPr>
              <w:t>11 项通过，0 失败</w:t>
            </w:r>
          </w:p>
        </w:tc>
        <w:tc>
          <w:tcPr>
            <w:tcW w:type="dxa" w:w="3402"/>
            <w:vAlign w:val="center"/>
            <w:tcMar>
              <w:top w:w="80" w:type="dxa"/>
              <w:left w:w="90" w:type="dxa"/>
              <w:bottom w:w="80" w:type="dxa"/>
              <w:right w:w="90" w:type="dxa"/>
            </w:tcMar>
          </w:tcPr>
          <w:p>
            <w:pPr>
              <w:spacing w:after="0" w:line="276" w:lineRule="auto"/>
              <w:ind w:firstLine="0"/>
            </w:pPr>
            <w:r>
              <w:rPr>
                <w:rFonts w:ascii="宋体" w:hAnsi="宋体" w:eastAsia="宋体"/>
                <w:sz w:val="18"/>
              </w:rPr>
              <w:t>菜单范围、登录落点、花店路由与相关静态约束</w:t>
            </w:r>
          </w:p>
        </w:tc>
      </w:tr>
    </w:tbl>
    <w:p>
      <w:pPr>
        <w:spacing w:after="0"/>
      </w:pPr>
    </w:p>
    <w:p>
      <w:r>
        <w:t>后端测试在离线 Maven 模式运行并完成构建；前端测试使用 Node 内置测试运行器，关闭进程隔离后执行。初次运行前端测试时，本机沙箱禁止子进程创建，出现 spawn EPERM；改为无隔离运行后，所选用例全部通过。该环境限制不属于被测业务断言失败。</w:t>
      </w:r>
    </w:p>
    <w:p>
      <w:pPr>
        <w:pStyle w:val="Heading2"/>
        <w:pageBreakBefore/>
      </w:pPr>
      <w:r>
        <w:t>5.3 关键场景测试用例</w:t>
      </w:r>
    </w:p>
    <w:p>
      <w:pPr>
        <w:pStyle w:val="CaptionCN"/>
        <w:keepNext/>
      </w:pPr>
      <w:r>
        <w:t>表 5-2 业务验收用例与证据状态</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4"/>
        <w:gridCol w:w="2948"/>
        <w:gridCol w:w="2835"/>
        <w:gridCol w:w="2835"/>
      </w:tblGrid>
      <w:tr>
        <w:trPr>
          <w:trHeight w:hRule="atLeast" w:val="397"/>
          <w:tblHeader/>
          <w:cantSplit/>
        </w:trPr>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编号</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输入或操作</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预期结果</w:t>
            </w:r>
          </w:p>
        </w:tc>
        <w:tc>
          <w:tcPr>
            <w:tcW w:type="dxa" w:w="2211"/>
            <w:vAlign w:val="center"/>
            <w:tcMar>
              <w:top w:w="80" w:type="dxa"/>
              <w:left w:w="90" w:type="dxa"/>
              <w:bottom w:w="80" w:type="dxa"/>
              <w:right w:w="90" w:type="dxa"/>
            </w:tcMar>
            <w:shd w:fill="E9EDF1"/>
          </w:tcPr>
          <w:p>
            <w:pPr>
              <w:keepNext/>
              <w:spacing w:after="0" w:line="276" w:lineRule="auto"/>
              <w:ind w:firstLine="0"/>
            </w:pPr>
            <w:r>
              <w:rPr>
                <w:rFonts w:ascii="宋体" w:hAnsi="宋体" w:eastAsia="宋体"/>
                <w:b/>
                <w:sz w:val="18"/>
              </w:rPr>
              <w:t>当前证据</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TC-01</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按场景、色系和预算组合筛选</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仅返回符合条件的花卉商品</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顾客端自动化测试覆盖</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TC-02</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填写缺失收花人或无效电话提交配送订单</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页面阻止提交并提示字段错误</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顾客端自动化测试覆盖</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TC-03</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选取已满、停用或截单时段</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拒绝预约并要求重选</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前后端相关单元测试覆盖；并发实测待补</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TC-04</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交付日花材批次不足或过期</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整单失败，不保留部分锁定</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花材服务被测分支；数据库事务联测待补</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TC-05</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重复接单或越级配送</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不重复变更，禁止越级</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履约服务单元测试覆盖</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TC-06</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送达后两小时内申请品质售后</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允许选择规定原因并上传材料</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顾客端时间窗测试覆盖；实际上传待补</w:t>
            </w:r>
          </w:p>
        </w:tc>
      </w:tr>
      <w:tr>
        <w:trPr>
          <w:trHeight w:hRule="atLeast" w:val="397"/>
          <w:cantSplit/>
        </w:trPr>
        <w:tc>
          <w:tcPr>
            <w:tcW w:type="dxa" w:w="794"/>
            <w:vAlign w:val="center"/>
            <w:tcMar>
              <w:top w:w="80" w:type="dxa"/>
              <w:left w:w="90" w:type="dxa"/>
              <w:bottom w:w="80" w:type="dxa"/>
              <w:right w:w="90" w:type="dxa"/>
            </w:tcMar>
          </w:tcPr>
          <w:p>
            <w:pPr>
              <w:spacing w:after="0" w:line="276" w:lineRule="auto"/>
              <w:ind w:firstLine="0"/>
            </w:pPr>
            <w:r>
              <w:rPr>
                <w:rFonts w:ascii="宋体" w:hAnsi="宋体" w:eastAsia="宋体"/>
                <w:sz w:val="18"/>
              </w:rPr>
              <w:t>TC-07</w:t>
            </w:r>
          </w:p>
        </w:tc>
        <w:tc>
          <w:tcPr>
            <w:tcW w:type="dxa" w:w="2948"/>
            <w:vAlign w:val="center"/>
            <w:tcMar>
              <w:top w:w="80" w:type="dxa"/>
              <w:left w:w="90" w:type="dxa"/>
              <w:bottom w:w="80" w:type="dxa"/>
              <w:right w:w="90" w:type="dxa"/>
            </w:tcMar>
          </w:tcPr>
          <w:p>
            <w:pPr>
              <w:spacing w:after="0" w:line="276" w:lineRule="auto"/>
              <w:ind w:firstLine="0"/>
            </w:pPr>
            <w:r>
              <w:rPr>
                <w:rFonts w:ascii="宋体" w:hAnsi="宋体" w:eastAsia="宋体"/>
                <w:sz w:val="18"/>
              </w:rPr>
              <w:t>模拟支付后后台制作、配送、顾客确认</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主订单和扩展阶段一致、凭证可见</w:t>
            </w:r>
          </w:p>
        </w:tc>
        <w:tc>
          <w:tcPr>
            <w:tcW w:type="dxa" w:w="2835"/>
            <w:vAlign w:val="center"/>
            <w:tcMar>
              <w:top w:w="80" w:type="dxa"/>
              <w:left w:w="90" w:type="dxa"/>
              <w:bottom w:w="80" w:type="dxa"/>
              <w:right w:w="90" w:type="dxa"/>
            </w:tcMar>
          </w:tcPr>
          <w:p>
            <w:pPr>
              <w:spacing w:after="0" w:line="276" w:lineRule="auto"/>
              <w:ind w:firstLine="0"/>
            </w:pPr>
            <w:r>
              <w:rPr>
                <w:rFonts w:ascii="宋体" w:hAnsi="宋体" w:eastAsia="宋体"/>
                <w:sz w:val="18"/>
              </w:rPr>
              <w:t>需要在目标数据库和页面完成全链路演示</w:t>
            </w:r>
          </w:p>
        </w:tc>
      </w:tr>
    </w:tbl>
    <w:p>
      <w:pPr>
        <w:spacing w:after="0"/>
      </w:pPr>
    </w:p>
    <w:sectPr w:rsidR="00FC693F" w:rsidRPr="0006063C" w:rsidSect="00034616">
      <w:footerReference w:type="default" r:id="rId9"/>
      <w:pgSz w:w="11906" w:h="16838"/>
      <w:pgMar w:top="1417" w:right="1474" w:bottom="1304"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40"/>
    </w:pPr>
    <w:rPr>
      <w:rFonts w:ascii="宋体" w:hAnsi="宋体"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00" w:lineRule="auto"/>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ind w:firstLine="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300" w:lineRule="auto" w:before="0"/>
      <w:ind w:firstLine="0"/>
      <w:contextualSpacing/>
    </w:pPr>
    <w:rPr>
      <w:rFonts w:asciiTheme="majorHAnsi" w:eastAsiaTheme="majorEastAsia" w:hAnsiTheme="majorHAnsi" w:cstheme="majorBidi" w:ascii="黑体" w:hAnsi="黑体" w:eastAsia="黑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heme="majorHAnsi" w:eastAsiaTheme="majorEastAsia" w:hAnsiTheme="majorHAnsi" w:cstheme="majorBidi" w:ascii="宋体" w:hAnsi="宋体" w:eastAsia="宋体"/>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keepNext/>
      <w:spacing w:before="140" w:after="100"/>
      <w:ind w:firstLine="0"/>
      <w:jc w:val="center"/>
    </w:pPr>
    <w:rPr>
      <w:rFonts w:ascii="宋体" w:hAnsi="宋体" w:eastAsia="宋体"/>
      <w:b w:val="0"/>
      <w:color w:val="000000"/>
      <w:sz w:val="19"/>
    </w:rPr>
  </w:style>
  <w:style w:type="paragraph" w:customStyle="1" w:styleId="SmallCN">
    <w:name w:val="SmallCN"/>
    <w:pPr>
      <w:spacing w:line="312" w:lineRule="auto" w:after="60"/>
      <w:ind w:firstLine="0"/>
    </w:pPr>
    <w:rPr>
      <w:rFonts w:ascii="宋体" w:hAnsi="宋体"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