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F4E79"/>
          <w:sz w:val="32"/>
        </w:rPr>
        <w:t>PART IV</w:t>
      </w:r>
    </w:p>
    <w:p>
      <w:pPr>
        <w:pStyle w:val="Title"/>
        <w:jc w:val="center"/>
      </w:pPr>
      <w:r>
        <w:t>Complete Project Walkthrough</w:t>
      </w:r>
    </w:p>
    <w:p>
      <w:pPr>
        <w:jc w:val="center"/>
      </w:pPr>
      <w:r>
        <w:rPr>
          <w:b/>
          <w:color w:val="365F91"/>
          <w:sz w:val="34"/>
        </w:rPr>
        <w:t>Chapters 27–30</w:t>
      </w:r>
    </w:p>
    <w:p>
      <w:pPr>
        <w:spacing w:before="240"/>
        <w:jc w:val="center"/>
      </w:pPr>
      <w:r>
        <w:rPr>
          <w:i/>
          <w:color w:val="595959"/>
          <w:sz w:val="22"/>
        </w:rPr>
        <w:t>Data Quality • Data Understanding • Exploratory Analysis • Feature Engineering</w:t>
      </w:r>
    </w:p>
    <w:p>
      <w:r>
        <w:drawing>
          <wp:inline xmlns:a="http://schemas.openxmlformats.org/drawingml/2006/main" xmlns:pic="http://schemas.openxmlformats.org/drawingml/2006/picture">
            <wp:extent cx="6126480" cy="1462107"/>
            <wp:docPr id="1" name="Picture 1"/>
            <wp:cNvGraphicFramePr>
              <a:graphicFrameLocks noChangeAspect="1"/>
            </wp:cNvGraphicFramePr>
            <a:graphic>
              <a:graphicData uri="http://schemas.openxmlformats.org/drawingml/2006/picture">
                <pic:pic>
                  <pic:nvPicPr>
                    <pic:cNvPr id="0" name="phase_27_30_pipeline.png"/>
                    <pic:cNvPicPr/>
                  </pic:nvPicPr>
                  <pic:blipFill>
                    <a:blip r:embed="rId11"/>
                    <a:stretch>
                      <a:fillRect/>
                    </a:stretch>
                  </pic:blipFill>
                  <pic:spPr>
                    <a:xfrm>
                      <a:off x="0" y="0"/>
                      <a:ext cx="6126480" cy="1462107"/>
                    </a:xfrm>
                    <a:prstGeom prst="rect"/>
                  </pic:spPr>
                </pic:pic>
              </a:graphicData>
            </a:graphic>
          </wp:inline>
        </w:drawing>
      </w:r>
    </w:p>
    <w:p>
      <w:pPr>
        <w:spacing w:after="100"/>
        <w:jc w:val="center"/>
      </w:pPr>
      <w:r>
        <w:rPr>
          <w:i/>
          <w:color w:val="595959"/>
          <w:sz w:val="17"/>
        </w:rPr>
        <w:t>The first four implementation phases convert raw, highly sparse files into validated manufacturing intelligence and compact engineered features.</w:t>
      </w:r>
    </w:p>
    <w:p>
      <w:pPr>
        <w:spacing w:before="480"/>
        <w:jc w:val="center"/>
      </w:pPr>
      <w:r>
        <w:rPr>
          <w:b/>
          <w:sz w:val="22"/>
        </w:rPr>
        <w:t>Author: Krishnakanth Reddy Karingula</w:t>
      </w:r>
    </w:p>
    <w:p>
      <w:pPr>
        <w:jc w:val="center"/>
      </w:pPr>
      <w:r>
        <w:rPr>
          <w:color w:val="595959"/>
          <w:sz w:val="19"/>
        </w:rPr>
        <w:t>Repository-driven condensed edition</w:t>
      </w:r>
    </w:p>
    <w:p>
      <w:r>
        <w:br w:type="page"/>
      </w:r>
    </w:p>
    <w:p>
      <w:pPr>
        <w:pStyle w:val="Heading1"/>
      </w:pPr>
      <w:r>
        <w:t>Contents and Scope</w:t>
      </w:r>
    </w:p>
    <w:p>
      <w:pPr>
        <w:spacing w:after="100" w:line="254" w:lineRule="auto"/>
      </w:pPr>
      <w:r>
        <w:t>This volume documents the implementation choices and evidence produced in Phases 1–4. It is intentionally concise: each chapter explains the operational objective, the most important code path, the outputs, the engineering decisions and the hand-off to the next phase.</w:t>
      </w:r>
    </w:p>
    <w:tbl>
      <w:tblPr>
        <w:tblStyle w:val="TableGrid"/>
        <w:tblW w:type="auto" w:w="0"/>
        <w:jc w:val="center"/>
        <w:tblLook w:firstColumn="1" w:firstRow="1" w:lastColumn="0" w:lastRow="0" w:noHBand="0" w:noVBand="1" w:val="04A0"/>
      </w:tblPr>
      <w:tblGrid>
        <w:gridCol w:w="3307"/>
        <w:gridCol w:w="3307"/>
        <w:gridCol w:w="3307"/>
      </w:tblGrid>
      <w:tr>
        <w:trPr>
          <w:tblHeader w:val="true"/>
        </w:trPr>
        <w:tc>
          <w:tcPr>
            <w:tcW w:type="dxa" w:w="3307"/>
            <w:shd w:fill="17365D"/>
            <w:vAlign w:val="center"/>
            <w:tcMar>
              <w:top w:w="90" w:type="dxa"/>
              <w:start w:w="80" w:type="dxa"/>
              <w:bottom w:w="90" w:type="dxa"/>
              <w:end w:w="80" w:type="dxa"/>
            </w:tcMar>
          </w:tcPr>
          <w:p>
            <w:pPr>
              <w:spacing w:after="0"/>
              <w:jc w:val="center"/>
            </w:pPr>
            <w:r>
              <w:rPr>
                <w:b/>
                <w:color w:val="FFFFFF"/>
                <w:sz w:val="18"/>
              </w:rPr>
              <w:t>Chapter</w:t>
            </w:r>
          </w:p>
        </w:tc>
        <w:tc>
          <w:tcPr>
            <w:tcW w:type="dxa" w:w="3307"/>
            <w:shd w:fill="17365D"/>
            <w:vAlign w:val="center"/>
            <w:tcMar>
              <w:top w:w="90" w:type="dxa"/>
              <w:start w:w="80" w:type="dxa"/>
              <w:bottom w:w="90" w:type="dxa"/>
              <w:end w:w="80" w:type="dxa"/>
            </w:tcMar>
          </w:tcPr>
          <w:p>
            <w:pPr>
              <w:spacing w:after="0"/>
              <w:jc w:val="center"/>
            </w:pPr>
            <w:r>
              <w:rPr>
                <w:b/>
                <w:color w:val="FFFFFF"/>
                <w:sz w:val="18"/>
              </w:rPr>
              <w:t>Topic</w:t>
            </w:r>
          </w:p>
        </w:tc>
        <w:tc>
          <w:tcPr>
            <w:tcW w:type="dxa" w:w="3307"/>
            <w:shd w:fill="17365D"/>
            <w:vAlign w:val="center"/>
            <w:tcMar>
              <w:top w:w="90" w:type="dxa"/>
              <w:start w:w="80" w:type="dxa"/>
              <w:bottom w:w="90" w:type="dxa"/>
              <w:end w:w="80" w:type="dxa"/>
            </w:tcMar>
          </w:tcPr>
          <w:p>
            <w:pPr>
              <w:spacing w:after="0"/>
              <w:jc w:val="center"/>
            </w:pPr>
            <w:r>
              <w:rPr>
                <w:b/>
                <w:color w:val="FFFFFF"/>
                <w:sz w:val="18"/>
              </w:rPr>
              <w:t>Core contribution</w:t>
            </w:r>
          </w:p>
        </w:tc>
      </w:tr>
      <w:tr>
        <w:tc>
          <w:tcPr>
            <w:tcW w:type="dxa" w:w="3307"/>
            <w:tcMar>
              <w:top w:w="70" w:type="dxa"/>
              <w:start w:w="80" w:type="dxa"/>
              <w:bottom w:w="70" w:type="dxa"/>
              <w:end w:w="80" w:type="dxa"/>
            </w:tcMar>
            <w:vAlign w:val="center"/>
          </w:tcPr>
          <w:p>
            <w:pPr>
              <w:spacing w:after="0" w:line="240" w:lineRule="auto"/>
            </w:pPr>
            <w:r>
              <w:rPr>
                <w:sz w:val="18"/>
              </w:rPr>
              <w:t>27</w:t>
            </w:r>
          </w:p>
        </w:tc>
        <w:tc>
          <w:tcPr>
            <w:tcW w:type="dxa" w:w="3307"/>
            <w:tcMar>
              <w:top w:w="70" w:type="dxa"/>
              <w:start w:w="80" w:type="dxa"/>
              <w:bottom w:w="70" w:type="dxa"/>
              <w:end w:w="80" w:type="dxa"/>
            </w:tcMar>
            <w:vAlign w:val="center"/>
          </w:tcPr>
          <w:p>
            <w:pPr>
              <w:spacing w:after="0" w:line="240" w:lineRule="auto"/>
            </w:pPr>
            <w:r>
              <w:rPr>
                <w:sz w:val="18"/>
              </w:rPr>
              <w:t>Data Quality Assessment</w:t>
            </w:r>
          </w:p>
        </w:tc>
        <w:tc>
          <w:tcPr>
            <w:tcW w:type="dxa" w:w="3307"/>
            <w:tcMar>
              <w:top w:w="70" w:type="dxa"/>
              <w:start w:w="80" w:type="dxa"/>
              <w:bottom w:w="70" w:type="dxa"/>
              <w:end w:w="80" w:type="dxa"/>
            </w:tcMar>
            <w:vAlign w:val="center"/>
          </w:tcPr>
          <w:p>
            <w:pPr>
              <w:spacing w:after="0" w:line="240" w:lineRule="auto"/>
            </w:pPr>
            <w:r>
              <w:rPr>
                <w:sz w:val="18"/>
              </w:rPr>
              <w:t>Inventory, schema checks, missingness and scalable profiling</w:t>
            </w:r>
          </w:p>
        </w:tc>
      </w:tr>
      <w:tr>
        <w:tc>
          <w:tcPr>
            <w:tcW w:type="dxa" w:w="3307"/>
            <w:shd w:fill="F5F7F9"/>
            <w:tcMar>
              <w:top w:w="70" w:type="dxa"/>
              <w:start w:w="80" w:type="dxa"/>
              <w:bottom w:w="70" w:type="dxa"/>
              <w:end w:w="80" w:type="dxa"/>
            </w:tcMar>
            <w:vAlign w:val="center"/>
          </w:tcPr>
          <w:p>
            <w:pPr>
              <w:spacing w:after="0" w:line="240" w:lineRule="auto"/>
            </w:pPr>
            <w:r>
              <w:rPr>
                <w:sz w:val="18"/>
              </w:rPr>
              <w:t>28</w:t>
            </w:r>
          </w:p>
        </w:tc>
        <w:tc>
          <w:tcPr>
            <w:tcW w:type="dxa" w:w="3307"/>
            <w:shd w:fill="F5F7F9"/>
            <w:tcMar>
              <w:top w:w="70" w:type="dxa"/>
              <w:start w:w="80" w:type="dxa"/>
              <w:bottom w:w="70" w:type="dxa"/>
              <w:end w:w="80" w:type="dxa"/>
            </w:tcMar>
            <w:vAlign w:val="center"/>
          </w:tcPr>
          <w:p>
            <w:pPr>
              <w:spacing w:after="0" w:line="240" w:lineRule="auto"/>
            </w:pPr>
            <w:r>
              <w:rPr>
                <w:sz w:val="18"/>
              </w:rPr>
              <w:t>Data Understanding &amp; Engineering</w:t>
            </w:r>
          </w:p>
        </w:tc>
        <w:tc>
          <w:tcPr>
            <w:tcW w:type="dxa" w:w="3307"/>
            <w:shd w:fill="F5F7F9"/>
            <w:tcMar>
              <w:top w:w="70" w:type="dxa"/>
              <w:start w:w="80" w:type="dxa"/>
              <w:bottom w:w="70" w:type="dxa"/>
              <w:end w:w="80" w:type="dxa"/>
            </w:tcMar>
            <w:vAlign w:val="center"/>
          </w:tcPr>
          <w:p>
            <w:pPr>
              <w:spacing w:after="0" w:line="240" w:lineRule="auto"/>
            </w:pPr>
            <w:r>
              <w:rPr>
                <w:sz w:val="18"/>
              </w:rPr>
              <w:t>Feature-name parsing, metadata, completeness and manufacturing-flow tables</w:t>
            </w:r>
          </w:p>
        </w:tc>
      </w:tr>
      <w:tr>
        <w:tc>
          <w:tcPr>
            <w:tcW w:type="dxa" w:w="3307"/>
            <w:tcMar>
              <w:top w:w="70" w:type="dxa"/>
              <w:start w:w="80" w:type="dxa"/>
              <w:bottom w:w="70" w:type="dxa"/>
              <w:end w:w="80" w:type="dxa"/>
            </w:tcMar>
            <w:vAlign w:val="center"/>
          </w:tcPr>
          <w:p>
            <w:pPr>
              <w:spacing w:after="0" w:line="240" w:lineRule="auto"/>
            </w:pPr>
            <w:r>
              <w:rPr>
                <w:sz w:val="18"/>
              </w:rPr>
              <w:t>29</w:t>
            </w:r>
          </w:p>
        </w:tc>
        <w:tc>
          <w:tcPr>
            <w:tcW w:type="dxa" w:w="3307"/>
            <w:tcMar>
              <w:top w:w="70" w:type="dxa"/>
              <w:start w:w="80" w:type="dxa"/>
              <w:bottom w:w="70" w:type="dxa"/>
              <w:end w:w="80" w:type="dxa"/>
            </w:tcMar>
            <w:vAlign w:val="center"/>
          </w:tcPr>
          <w:p>
            <w:pPr>
              <w:spacing w:after="0" w:line="240" w:lineRule="auto"/>
            </w:pPr>
            <w:r>
              <w:rPr>
                <w:sz w:val="18"/>
              </w:rPr>
              <w:t>Exploratory Data Analysis</w:t>
            </w:r>
          </w:p>
        </w:tc>
        <w:tc>
          <w:tcPr>
            <w:tcW w:type="dxa" w:w="3307"/>
            <w:tcMar>
              <w:top w:w="70" w:type="dxa"/>
              <w:start w:w="80" w:type="dxa"/>
              <w:bottom w:w="70" w:type="dxa"/>
              <w:end w:w="80" w:type="dxa"/>
            </w:tcMar>
            <w:vAlign w:val="center"/>
          </w:tcPr>
          <w:p>
            <w:pPr>
              <w:spacing w:after="0" w:line="240" w:lineRule="auto"/>
            </w:pPr>
            <w:r>
              <w:rPr>
                <w:sz w:val="18"/>
              </w:rPr>
              <w:t>Line/station risk, paths, relative-time patterns, categorical levels and distributions</w:t>
            </w:r>
          </w:p>
        </w:tc>
      </w:tr>
      <w:tr>
        <w:tc>
          <w:tcPr>
            <w:tcW w:type="dxa" w:w="3307"/>
            <w:shd w:fill="F5F7F9"/>
            <w:tcMar>
              <w:top w:w="70" w:type="dxa"/>
              <w:start w:w="80" w:type="dxa"/>
              <w:bottom w:w="70" w:type="dxa"/>
              <w:end w:w="80" w:type="dxa"/>
            </w:tcMar>
            <w:vAlign w:val="center"/>
          </w:tcPr>
          <w:p>
            <w:pPr>
              <w:spacing w:after="0" w:line="240" w:lineRule="auto"/>
            </w:pPr>
            <w:r>
              <w:rPr>
                <w:sz w:val="18"/>
              </w:rPr>
              <w:t>30</w:t>
            </w:r>
          </w:p>
        </w:tc>
        <w:tc>
          <w:tcPr>
            <w:tcW w:type="dxa" w:w="3307"/>
            <w:shd w:fill="F5F7F9"/>
            <w:tcMar>
              <w:top w:w="70" w:type="dxa"/>
              <w:start w:w="80" w:type="dxa"/>
              <w:bottom w:w="70" w:type="dxa"/>
              <w:end w:w="80" w:type="dxa"/>
            </w:tcMar>
            <w:vAlign w:val="center"/>
          </w:tcPr>
          <w:p>
            <w:pPr>
              <w:spacing w:after="0" w:line="240" w:lineRule="auto"/>
            </w:pPr>
            <w:r>
              <w:rPr>
                <w:sz w:val="18"/>
              </w:rPr>
              <w:t>Feature Engineering</w:t>
            </w:r>
          </w:p>
        </w:tc>
        <w:tc>
          <w:tcPr>
            <w:tcW w:type="dxa" w:w="3307"/>
            <w:shd w:fill="F5F7F9"/>
            <w:tcMar>
              <w:top w:w="70" w:type="dxa"/>
              <w:start w:w="80" w:type="dxa"/>
              <w:bottom w:w="70" w:type="dxa"/>
              <w:end w:w="80" w:type="dxa"/>
            </w:tcMar>
            <w:vAlign w:val="center"/>
          </w:tcPr>
          <w:p>
            <w:pPr>
              <w:spacing w:after="0" w:line="240" w:lineRule="auto"/>
            </w:pPr>
            <w:r>
              <w:rPr>
                <w:sz w:val="18"/>
              </w:rPr>
              <w:t>Timing, waiting proxies, path structure, completeness and line-level aggregates</w:t>
            </w:r>
          </w:p>
        </w:tc>
      </w:tr>
    </w:tbl>
    <w:p>
      <w:pPr>
        <w:spacing w:after="0"/>
      </w:pPr>
    </w:p>
    <w:p>
      <w:pPr>
        <w:pStyle w:val="Heading2"/>
        <w:spacing w:after="100" w:line="254" w:lineRule="auto"/>
      </w:pPr>
      <w:r>
        <w:t>Repository execution order</w:t>
      </w:r>
    </w:p>
    <w:tbl>
      <w:tblPr>
        <w:tblW w:type="auto" w:w="0"/>
        <w:jc w:val="center"/>
        <w:tblLayout w:type="autofit"/>
        <w:tblLook w:firstColumn="1" w:firstRow="1" w:lastColumn="0" w:lastRow="0" w:noHBand="0" w:noVBand="1" w:val="04A0"/>
      </w:tblPr>
      <w:tblGrid>
        <w:gridCol w:w="9922"/>
      </w:tblGrid>
      <w:tr>
        <w:tc>
          <w:tcPr>
            <w:tcW w:type="dxa" w:w="9922"/>
            <w:shd w:fill="F2F2F2"/>
            <w:tcMar>
              <w:top w:w="120" w:type="dxa"/>
              <w:start w:w="140" w:type="dxa"/>
              <w:bottom w:w="120" w:type="dxa"/>
              <w:end w:w="140" w:type="dxa"/>
            </w:tcMar>
          </w:tcPr>
          <w:p>
            <w:pPr>
              <w:spacing w:after="0"/>
            </w:pPr>
            <w:r>
              <w:rPr>
                <w:rFonts w:ascii="Consolas" w:hAnsi="Consolas"/>
                <w:sz w:val="16"/>
              </w:rPr>
              <w:t>python src/data/phase1_data_quality.py</w:t>
              <w:br/>
            </w:r>
            <w:r>
              <w:rPr>
                <w:rFonts w:ascii="Consolas" w:hAnsi="Consolas"/>
                <w:sz w:val="16"/>
              </w:rPr>
              <w:t>python src/data/phase2_data_understanding_engineering.py</w:t>
              <w:br/>
            </w:r>
            <w:r>
              <w:rPr>
                <w:rFonts w:ascii="Consolas" w:hAnsi="Consolas"/>
                <w:sz w:val="16"/>
              </w:rPr>
              <w:t>python src/data/phase3_exploratory_data_analysis.py</w:t>
              <w:br/>
            </w:r>
            <w:r>
              <w:rPr>
                <w:rFonts w:ascii="Consolas" w:hAnsi="Consolas"/>
                <w:sz w:val="16"/>
              </w:rPr>
              <w:t>python src/data/phase4_feature_engineering.py</w:t>
              <w:br/>
            </w:r>
          </w:p>
        </w:tc>
      </w:tr>
    </w:tbl>
    <w:tbl>
      <w:tblPr>
        <w:tblW w:type="auto" w:w="0"/>
        <w:jc w:val="center"/>
        <w:tblLook w:firstColumn="1" w:firstRow="1" w:lastColumn="0" w:lastRow="0" w:noHBand="0" w:noVBand="1" w:val="04A0"/>
      </w:tblPr>
      <w:tblGrid>
        <w:gridCol w:w="9922"/>
      </w:tblGrid>
      <w:tr>
        <w:tc>
          <w:tcPr>
            <w:tcW w:type="dxa" w:w="9922"/>
            <w:shd w:fill="FFF2CC"/>
            <w:tcMar>
              <w:top w:w="110" w:type="dxa"/>
              <w:start w:w="140" w:type="dxa"/>
              <w:bottom w:w="110" w:type="dxa"/>
              <w:end w:w="140" w:type="dxa"/>
            </w:tcMar>
          </w:tcPr>
          <w:p>
            <w:pPr>
              <w:spacing w:after="0"/>
            </w:pPr>
            <w:r>
              <w:rPr>
                <w:b/>
                <w:color w:val="17365D"/>
              </w:rPr>
              <w:t xml:space="preserve">Data contract: </w:t>
            </w:r>
            <w:r>
              <w:t>Every phase validates Id alignment before combining files. This is essential because silent row-order drift would attach the Response label to the wrong product and invalidate all later analysis.</w:t>
            </w:r>
          </w:p>
        </w:tc>
      </w:tr>
    </w:tbl>
    <w:p>
      <w:pPr>
        <w:spacing w:after="0"/>
      </w:pPr>
    </w:p>
    <w:p>
      <w:pPr>
        <w:pStyle w:val="Heading2"/>
        <w:spacing w:after="100" w:line="254" w:lineRule="auto"/>
      </w:pPr>
      <w:r>
        <w:t>Reading convention</w:t>
      </w:r>
    </w:p>
    <w:p>
      <w:pPr>
        <w:pStyle w:val="ListBullet"/>
        <w:spacing w:after="50" w:line="245" w:lineRule="auto"/>
      </w:pPr>
      <w:r>
        <w:t>“Observed” means present in the anonymized Bosch files; it does not automatically mean a physical sensor reading was taken at a known clock time.</w:t>
      </w:r>
    </w:p>
    <w:p>
      <w:pPr>
        <w:pStyle w:val="ListBullet"/>
        <w:spacing w:after="50" w:line="245" w:lineRule="auto"/>
      </w:pPr>
      <w:r>
        <w:t>Date-derived durations and waits are analytical proxies from relative timestamps, not verified plant cycle-time or queue-time measurements.</w:t>
      </w:r>
    </w:p>
    <w:p>
      <w:pPr>
        <w:pStyle w:val="ListBullet"/>
        <w:spacing w:after="50" w:line="245" w:lineRule="auto"/>
      </w:pPr>
      <w:r>
        <w:t>Association with failure is evidence for prioritization, not proof that a line, station or category caused the defect.</w:t>
      </w:r>
    </w:p>
    <w:p>
      <w:r>
        <w:br w:type="page"/>
      </w:r>
    </w:p>
    <w:p>
      <w:pPr>
        <w:spacing w:after="40"/>
      </w:pPr>
      <w:r>
        <w:rPr>
          <w:b/>
          <w:color w:val="1F4E79"/>
          <w:sz w:val="22"/>
        </w:rPr>
        <w:t>CHAPTER 27</w:t>
      </w:r>
    </w:p>
    <w:p>
      <w:pPr>
        <w:pStyle w:val="Heading1"/>
        <w:spacing w:after="80"/>
      </w:pPr>
      <w:r>
        <w:t>Phase 1 — Data Quality Assessment</w:t>
      </w:r>
    </w:p>
    <w:p>
      <w:pPr>
        <w:spacing w:after="240"/>
      </w:pPr>
      <w:r>
        <w:rPr>
          <w:i/>
          <w:color w:val="595959"/>
          <w:sz w:val="22"/>
        </w:rPr>
        <w:t>Establishing a trustworthy foundation for a 14 GB, high-dimensional manufacturing dataset</w:t>
      </w:r>
    </w:p>
    <w:p>
      <w:pPr>
        <w:pStyle w:val="Heading2"/>
        <w:spacing w:after="100" w:line="254" w:lineRule="auto"/>
      </w:pPr>
      <w:r>
        <w:t>Phase objective</w:t>
      </w:r>
    </w:p>
    <w:p>
      <w:pPr>
        <w:spacing w:after="100" w:line="254" w:lineRule="auto"/>
      </w:pPr>
      <w:r>
        <w:t>Phase 1 answers a basic but decisive question: can the six Bosch train/test files be processed consistently and safely? The implementation inventories file size, row and column counts, checks the Id and Response fields, and measures missingness without attempting to load each complete multi-gigabyte CSV into memory.</w:t>
      </w:r>
    </w:p>
    <w:p>
      <w:pPr>
        <w:pStyle w:val="Heading2"/>
        <w:spacing w:after="100" w:line="254" w:lineRule="auto"/>
      </w:pPr>
      <w:r>
        <w:t>Dataset inventory</w:t>
      </w:r>
    </w:p>
    <w:tbl>
      <w:tblPr>
        <w:tblStyle w:val="TableGrid"/>
        <w:tblW w:type="auto" w:w="0"/>
        <w:jc w:val="center"/>
        <w:tblLook w:firstColumn="1" w:firstRow="1" w:lastColumn="0" w:lastRow="0" w:noHBand="0" w:noVBand="1" w:val="04A0"/>
      </w:tblPr>
      <w:tblGrid>
        <w:gridCol w:w="1984"/>
        <w:gridCol w:w="1984"/>
        <w:gridCol w:w="1984"/>
        <w:gridCol w:w="1984"/>
        <w:gridCol w:w="1984"/>
      </w:tblGrid>
      <w:tr>
        <w:trPr>
          <w:tblHeader w:val="true"/>
        </w:trPr>
        <w:tc>
          <w:tcPr>
            <w:tcW w:type="dxa" w:w="1984"/>
            <w:shd w:fill="17365D"/>
            <w:vAlign w:val="center"/>
            <w:tcMar>
              <w:top w:w="90" w:type="dxa"/>
              <w:start w:w="80" w:type="dxa"/>
              <w:bottom w:w="90" w:type="dxa"/>
              <w:end w:w="80" w:type="dxa"/>
            </w:tcMar>
          </w:tcPr>
          <w:p>
            <w:pPr>
              <w:spacing w:after="0"/>
              <w:jc w:val="center"/>
            </w:pPr>
            <w:r>
              <w:rPr>
                <w:b/>
                <w:color w:val="FFFFFF"/>
                <w:sz w:val="16"/>
              </w:rPr>
              <w:t>Dataset</w:t>
            </w:r>
          </w:p>
        </w:tc>
        <w:tc>
          <w:tcPr>
            <w:tcW w:type="dxa" w:w="1984"/>
            <w:shd w:fill="17365D"/>
            <w:vAlign w:val="center"/>
            <w:tcMar>
              <w:top w:w="90" w:type="dxa"/>
              <w:start w:w="80" w:type="dxa"/>
              <w:bottom w:w="90" w:type="dxa"/>
              <w:end w:w="80" w:type="dxa"/>
            </w:tcMar>
          </w:tcPr>
          <w:p>
            <w:pPr>
              <w:spacing w:after="0"/>
              <w:jc w:val="center"/>
            </w:pPr>
            <w:r>
              <w:rPr>
                <w:b/>
                <w:color w:val="FFFFFF"/>
                <w:sz w:val="16"/>
              </w:rPr>
              <w:t>Size (MB)</w:t>
            </w:r>
          </w:p>
        </w:tc>
        <w:tc>
          <w:tcPr>
            <w:tcW w:type="dxa" w:w="1984"/>
            <w:shd w:fill="17365D"/>
            <w:vAlign w:val="center"/>
            <w:tcMar>
              <w:top w:w="90" w:type="dxa"/>
              <w:start w:w="80" w:type="dxa"/>
              <w:bottom w:w="90" w:type="dxa"/>
              <w:end w:w="80" w:type="dxa"/>
            </w:tcMar>
          </w:tcPr>
          <w:p>
            <w:pPr>
              <w:spacing w:after="0"/>
              <w:jc w:val="center"/>
            </w:pPr>
            <w:r>
              <w:rPr>
                <w:b/>
                <w:color w:val="FFFFFF"/>
                <w:sz w:val="16"/>
              </w:rPr>
              <w:t>Rows</w:t>
            </w:r>
          </w:p>
        </w:tc>
        <w:tc>
          <w:tcPr>
            <w:tcW w:type="dxa" w:w="1984"/>
            <w:shd w:fill="17365D"/>
            <w:vAlign w:val="center"/>
            <w:tcMar>
              <w:top w:w="90" w:type="dxa"/>
              <w:start w:w="80" w:type="dxa"/>
              <w:bottom w:w="90" w:type="dxa"/>
              <w:end w:w="80" w:type="dxa"/>
            </w:tcMar>
          </w:tcPr>
          <w:p>
            <w:pPr>
              <w:spacing w:after="0"/>
              <w:jc w:val="center"/>
            </w:pPr>
            <w:r>
              <w:rPr>
                <w:b/>
                <w:color w:val="FFFFFF"/>
                <w:sz w:val="16"/>
              </w:rPr>
              <w:t>Columns</w:t>
            </w:r>
          </w:p>
        </w:tc>
        <w:tc>
          <w:tcPr>
            <w:tcW w:type="dxa" w:w="1984"/>
            <w:shd w:fill="17365D"/>
            <w:vAlign w:val="center"/>
            <w:tcMar>
              <w:top w:w="90" w:type="dxa"/>
              <w:start w:w="80" w:type="dxa"/>
              <w:bottom w:w="90" w:type="dxa"/>
              <w:end w:w="80" w:type="dxa"/>
            </w:tcMar>
          </w:tcPr>
          <w:p>
            <w:pPr>
              <w:spacing w:after="0"/>
              <w:jc w:val="center"/>
            </w:pPr>
            <w:r>
              <w:rPr>
                <w:b/>
                <w:color w:val="FFFFFF"/>
                <w:sz w:val="16"/>
              </w:rPr>
              <w:t>Missing values</w:t>
            </w:r>
          </w:p>
        </w:tc>
      </w:tr>
      <w:tr>
        <w:tc>
          <w:tcPr>
            <w:tcW w:type="dxa" w:w="1984"/>
            <w:tcMar>
              <w:top w:w="70" w:type="dxa"/>
              <w:start w:w="80" w:type="dxa"/>
              <w:bottom w:w="70" w:type="dxa"/>
              <w:end w:w="80" w:type="dxa"/>
            </w:tcMar>
            <w:vAlign w:val="center"/>
          </w:tcPr>
          <w:p>
            <w:pPr>
              <w:spacing w:after="0" w:line="240" w:lineRule="auto"/>
            </w:pPr>
            <w:r>
              <w:rPr>
                <w:sz w:val="16"/>
              </w:rPr>
              <w:t>train_numeric</w:t>
            </w:r>
          </w:p>
        </w:tc>
        <w:tc>
          <w:tcPr>
            <w:tcW w:type="dxa" w:w="1984"/>
            <w:tcMar>
              <w:top w:w="70" w:type="dxa"/>
              <w:start w:w="80" w:type="dxa"/>
              <w:bottom w:w="70" w:type="dxa"/>
              <w:end w:w="80" w:type="dxa"/>
            </w:tcMar>
            <w:vAlign w:val="center"/>
          </w:tcPr>
          <w:p>
            <w:pPr>
              <w:spacing w:after="0" w:line="240" w:lineRule="auto"/>
            </w:pPr>
            <w:r>
              <w:rPr>
                <w:sz w:val="16"/>
              </w:rPr>
              <w:t>2,040.77</w:t>
            </w:r>
          </w:p>
        </w:tc>
        <w:tc>
          <w:tcPr>
            <w:tcW w:type="dxa" w:w="1984"/>
            <w:tcMar>
              <w:top w:w="70" w:type="dxa"/>
              <w:start w:w="80" w:type="dxa"/>
              <w:bottom w:w="70" w:type="dxa"/>
              <w:end w:w="80" w:type="dxa"/>
            </w:tcMar>
            <w:vAlign w:val="center"/>
          </w:tcPr>
          <w:p>
            <w:pPr>
              <w:spacing w:after="0" w:line="240" w:lineRule="auto"/>
            </w:pPr>
            <w:r>
              <w:rPr>
                <w:sz w:val="16"/>
              </w:rPr>
              <w:t>1,183,747</w:t>
            </w:r>
          </w:p>
        </w:tc>
        <w:tc>
          <w:tcPr>
            <w:tcW w:type="dxa" w:w="1984"/>
            <w:tcMar>
              <w:top w:w="70" w:type="dxa"/>
              <w:start w:w="80" w:type="dxa"/>
              <w:bottom w:w="70" w:type="dxa"/>
              <w:end w:w="80" w:type="dxa"/>
            </w:tcMar>
            <w:vAlign w:val="center"/>
          </w:tcPr>
          <w:p>
            <w:pPr>
              <w:spacing w:after="0" w:line="240" w:lineRule="auto"/>
            </w:pPr>
            <w:r>
              <w:rPr>
                <w:sz w:val="16"/>
              </w:rPr>
              <w:t>970</w:t>
            </w:r>
          </w:p>
        </w:tc>
        <w:tc>
          <w:tcPr>
            <w:tcW w:type="dxa" w:w="1984"/>
            <w:tcMar>
              <w:top w:w="70" w:type="dxa"/>
              <w:start w:w="80" w:type="dxa"/>
              <w:bottom w:w="70" w:type="dxa"/>
              <w:end w:w="80" w:type="dxa"/>
            </w:tcMar>
            <w:vAlign w:val="center"/>
          </w:tcPr>
          <w:p>
            <w:pPr>
              <w:spacing w:after="0" w:line="240" w:lineRule="auto"/>
            </w:pPr>
            <w:r>
              <w:rPr>
                <w:sz w:val="16"/>
              </w:rPr>
              <w:t>80.9177%</w:t>
            </w:r>
          </w:p>
        </w:tc>
      </w:tr>
      <w:tr>
        <w:tc>
          <w:tcPr>
            <w:tcW w:type="dxa" w:w="1984"/>
            <w:shd w:fill="F5F7F9"/>
            <w:tcMar>
              <w:top w:w="70" w:type="dxa"/>
              <w:start w:w="80" w:type="dxa"/>
              <w:bottom w:w="70" w:type="dxa"/>
              <w:end w:w="80" w:type="dxa"/>
            </w:tcMar>
            <w:vAlign w:val="center"/>
          </w:tcPr>
          <w:p>
            <w:pPr>
              <w:spacing w:after="0" w:line="240" w:lineRule="auto"/>
            </w:pPr>
            <w:r>
              <w:rPr>
                <w:sz w:val="16"/>
              </w:rPr>
              <w:t>train_categorical</w:t>
            </w:r>
          </w:p>
        </w:tc>
        <w:tc>
          <w:tcPr>
            <w:tcW w:type="dxa" w:w="1984"/>
            <w:shd w:fill="F5F7F9"/>
            <w:tcMar>
              <w:top w:w="70" w:type="dxa"/>
              <w:start w:w="80" w:type="dxa"/>
              <w:bottom w:w="70" w:type="dxa"/>
              <w:end w:w="80" w:type="dxa"/>
            </w:tcMar>
            <w:vAlign w:val="center"/>
          </w:tcPr>
          <w:p>
            <w:pPr>
              <w:spacing w:after="0" w:line="240" w:lineRule="auto"/>
            </w:pPr>
            <w:r>
              <w:rPr>
                <w:sz w:val="16"/>
              </w:rPr>
              <w:t>2,554.27</w:t>
            </w:r>
          </w:p>
        </w:tc>
        <w:tc>
          <w:tcPr>
            <w:tcW w:type="dxa" w:w="1984"/>
            <w:shd w:fill="F5F7F9"/>
            <w:tcMar>
              <w:top w:w="70" w:type="dxa"/>
              <w:start w:w="80" w:type="dxa"/>
              <w:bottom w:w="70" w:type="dxa"/>
              <w:end w:w="80" w:type="dxa"/>
            </w:tcMar>
            <w:vAlign w:val="center"/>
          </w:tcPr>
          <w:p>
            <w:pPr>
              <w:spacing w:after="0" w:line="240" w:lineRule="auto"/>
            </w:pPr>
            <w:r>
              <w:rPr>
                <w:sz w:val="16"/>
              </w:rPr>
              <w:t>1,183,747</w:t>
            </w:r>
          </w:p>
        </w:tc>
        <w:tc>
          <w:tcPr>
            <w:tcW w:type="dxa" w:w="1984"/>
            <w:shd w:fill="F5F7F9"/>
            <w:tcMar>
              <w:top w:w="70" w:type="dxa"/>
              <w:start w:w="80" w:type="dxa"/>
              <w:bottom w:w="70" w:type="dxa"/>
              <w:end w:w="80" w:type="dxa"/>
            </w:tcMar>
            <w:vAlign w:val="center"/>
          </w:tcPr>
          <w:p>
            <w:pPr>
              <w:spacing w:after="0" w:line="240" w:lineRule="auto"/>
            </w:pPr>
            <w:r>
              <w:rPr>
                <w:sz w:val="16"/>
              </w:rPr>
              <w:t>2,141</w:t>
            </w:r>
          </w:p>
        </w:tc>
        <w:tc>
          <w:tcPr>
            <w:tcW w:type="dxa" w:w="1984"/>
            <w:shd w:fill="F5F7F9"/>
            <w:tcMar>
              <w:top w:w="70" w:type="dxa"/>
              <w:start w:w="80" w:type="dxa"/>
              <w:bottom w:w="70" w:type="dxa"/>
              <w:end w:w="80" w:type="dxa"/>
            </w:tcMar>
            <w:vAlign w:val="center"/>
          </w:tcPr>
          <w:p>
            <w:pPr>
              <w:spacing w:after="0" w:line="240" w:lineRule="auto"/>
            </w:pPr>
            <w:r>
              <w:rPr>
                <w:sz w:val="16"/>
              </w:rPr>
              <w:t>97.2840%</w:t>
            </w:r>
          </w:p>
        </w:tc>
      </w:tr>
      <w:tr>
        <w:tc>
          <w:tcPr>
            <w:tcW w:type="dxa" w:w="1984"/>
            <w:tcMar>
              <w:top w:w="70" w:type="dxa"/>
              <w:start w:w="80" w:type="dxa"/>
              <w:bottom w:w="70" w:type="dxa"/>
              <w:end w:w="80" w:type="dxa"/>
            </w:tcMar>
            <w:vAlign w:val="center"/>
          </w:tcPr>
          <w:p>
            <w:pPr>
              <w:spacing w:after="0" w:line="240" w:lineRule="auto"/>
            </w:pPr>
            <w:r>
              <w:rPr>
                <w:sz w:val="16"/>
              </w:rPr>
              <w:t>train_date</w:t>
            </w:r>
          </w:p>
        </w:tc>
        <w:tc>
          <w:tcPr>
            <w:tcW w:type="dxa" w:w="1984"/>
            <w:tcMar>
              <w:top w:w="70" w:type="dxa"/>
              <w:start w:w="80" w:type="dxa"/>
              <w:bottom w:w="70" w:type="dxa"/>
              <w:end w:w="80" w:type="dxa"/>
            </w:tcMar>
            <w:vAlign w:val="center"/>
          </w:tcPr>
          <w:p>
            <w:pPr>
              <w:spacing w:after="0" w:line="240" w:lineRule="auto"/>
            </w:pPr>
            <w:r>
              <w:rPr>
                <w:sz w:val="16"/>
              </w:rPr>
              <w:t>2,759.33</w:t>
            </w:r>
          </w:p>
        </w:tc>
        <w:tc>
          <w:tcPr>
            <w:tcW w:type="dxa" w:w="1984"/>
            <w:tcMar>
              <w:top w:w="70" w:type="dxa"/>
              <w:start w:w="80" w:type="dxa"/>
              <w:bottom w:w="70" w:type="dxa"/>
              <w:end w:w="80" w:type="dxa"/>
            </w:tcMar>
            <w:vAlign w:val="center"/>
          </w:tcPr>
          <w:p>
            <w:pPr>
              <w:spacing w:after="0" w:line="240" w:lineRule="auto"/>
            </w:pPr>
            <w:r>
              <w:rPr>
                <w:sz w:val="16"/>
              </w:rPr>
              <w:t>1,183,747</w:t>
            </w:r>
          </w:p>
        </w:tc>
        <w:tc>
          <w:tcPr>
            <w:tcW w:type="dxa" w:w="1984"/>
            <w:tcMar>
              <w:top w:w="70" w:type="dxa"/>
              <w:start w:w="80" w:type="dxa"/>
              <w:bottom w:w="70" w:type="dxa"/>
              <w:end w:w="80" w:type="dxa"/>
            </w:tcMar>
            <w:vAlign w:val="center"/>
          </w:tcPr>
          <w:p>
            <w:pPr>
              <w:spacing w:after="0" w:line="240" w:lineRule="auto"/>
            </w:pPr>
            <w:r>
              <w:rPr>
                <w:sz w:val="16"/>
              </w:rPr>
              <w:t>1,157</w:t>
            </w:r>
          </w:p>
        </w:tc>
        <w:tc>
          <w:tcPr>
            <w:tcW w:type="dxa" w:w="1984"/>
            <w:tcMar>
              <w:top w:w="70" w:type="dxa"/>
              <w:start w:w="80" w:type="dxa"/>
              <w:bottom w:w="70" w:type="dxa"/>
              <w:end w:w="80" w:type="dxa"/>
            </w:tcMar>
            <w:vAlign w:val="center"/>
          </w:tcPr>
          <w:p>
            <w:pPr>
              <w:spacing w:after="0" w:line="240" w:lineRule="auto"/>
            </w:pPr>
            <w:r>
              <w:rPr>
                <w:sz w:val="16"/>
              </w:rPr>
              <w:t>82.1725%</w:t>
            </w:r>
          </w:p>
        </w:tc>
      </w:tr>
      <w:tr>
        <w:tc>
          <w:tcPr>
            <w:tcW w:type="dxa" w:w="1984"/>
            <w:shd w:fill="F5F7F9"/>
            <w:tcMar>
              <w:top w:w="70" w:type="dxa"/>
              <w:start w:w="80" w:type="dxa"/>
              <w:bottom w:w="70" w:type="dxa"/>
              <w:end w:w="80" w:type="dxa"/>
            </w:tcMar>
            <w:vAlign w:val="center"/>
          </w:tcPr>
          <w:p>
            <w:pPr>
              <w:spacing w:after="0" w:line="240" w:lineRule="auto"/>
            </w:pPr>
            <w:r>
              <w:rPr>
                <w:sz w:val="16"/>
              </w:rPr>
              <w:t>test_numeric</w:t>
            </w:r>
          </w:p>
        </w:tc>
        <w:tc>
          <w:tcPr>
            <w:tcW w:type="dxa" w:w="1984"/>
            <w:shd w:fill="F5F7F9"/>
            <w:tcMar>
              <w:top w:w="70" w:type="dxa"/>
              <w:start w:w="80" w:type="dxa"/>
              <w:bottom w:w="70" w:type="dxa"/>
              <w:end w:w="80" w:type="dxa"/>
            </w:tcMar>
            <w:vAlign w:val="center"/>
          </w:tcPr>
          <w:p>
            <w:pPr>
              <w:spacing w:after="0" w:line="240" w:lineRule="auto"/>
            </w:pPr>
            <w:r>
              <w:rPr>
                <w:sz w:val="16"/>
              </w:rPr>
              <w:t>2,038.27</w:t>
            </w:r>
          </w:p>
        </w:tc>
        <w:tc>
          <w:tcPr>
            <w:tcW w:type="dxa" w:w="1984"/>
            <w:shd w:fill="F5F7F9"/>
            <w:tcMar>
              <w:top w:w="70" w:type="dxa"/>
              <w:start w:w="80" w:type="dxa"/>
              <w:bottom w:w="70" w:type="dxa"/>
              <w:end w:w="80" w:type="dxa"/>
            </w:tcMar>
            <w:vAlign w:val="center"/>
          </w:tcPr>
          <w:p>
            <w:pPr>
              <w:spacing w:after="0" w:line="240" w:lineRule="auto"/>
            </w:pPr>
            <w:r>
              <w:rPr>
                <w:sz w:val="16"/>
              </w:rPr>
              <w:t>1,183,748</w:t>
            </w:r>
          </w:p>
        </w:tc>
        <w:tc>
          <w:tcPr>
            <w:tcW w:type="dxa" w:w="1984"/>
            <w:shd w:fill="F5F7F9"/>
            <w:tcMar>
              <w:top w:w="70" w:type="dxa"/>
              <w:start w:w="80" w:type="dxa"/>
              <w:bottom w:w="70" w:type="dxa"/>
              <w:end w:w="80" w:type="dxa"/>
            </w:tcMar>
            <w:vAlign w:val="center"/>
          </w:tcPr>
          <w:p>
            <w:pPr>
              <w:spacing w:after="0" w:line="240" w:lineRule="auto"/>
            </w:pPr>
            <w:r>
              <w:rPr>
                <w:sz w:val="16"/>
              </w:rPr>
              <w:t>969</w:t>
            </w:r>
          </w:p>
        </w:tc>
        <w:tc>
          <w:tcPr>
            <w:tcW w:type="dxa" w:w="1984"/>
            <w:shd w:fill="F5F7F9"/>
            <w:tcMar>
              <w:top w:w="70" w:type="dxa"/>
              <w:start w:w="80" w:type="dxa"/>
              <w:bottom w:w="70" w:type="dxa"/>
              <w:end w:w="80" w:type="dxa"/>
            </w:tcMar>
            <w:vAlign w:val="center"/>
          </w:tcPr>
          <w:p>
            <w:pPr>
              <w:spacing w:after="0" w:line="240" w:lineRule="auto"/>
            </w:pPr>
            <w:r>
              <w:rPr>
                <w:sz w:val="16"/>
              </w:rPr>
              <w:t>81.0054%</w:t>
            </w:r>
          </w:p>
        </w:tc>
      </w:tr>
      <w:tr>
        <w:tc>
          <w:tcPr>
            <w:tcW w:type="dxa" w:w="1984"/>
            <w:tcMar>
              <w:top w:w="70" w:type="dxa"/>
              <w:start w:w="80" w:type="dxa"/>
              <w:bottom w:w="70" w:type="dxa"/>
              <w:end w:w="80" w:type="dxa"/>
            </w:tcMar>
            <w:vAlign w:val="center"/>
          </w:tcPr>
          <w:p>
            <w:pPr>
              <w:spacing w:after="0" w:line="240" w:lineRule="auto"/>
            </w:pPr>
            <w:r>
              <w:rPr>
                <w:sz w:val="16"/>
              </w:rPr>
              <w:t>test_categorical</w:t>
            </w:r>
          </w:p>
        </w:tc>
        <w:tc>
          <w:tcPr>
            <w:tcW w:type="dxa" w:w="1984"/>
            <w:tcMar>
              <w:top w:w="70" w:type="dxa"/>
              <w:start w:w="80" w:type="dxa"/>
              <w:bottom w:w="70" w:type="dxa"/>
              <w:end w:w="80" w:type="dxa"/>
            </w:tcMar>
            <w:vAlign w:val="center"/>
          </w:tcPr>
          <w:p>
            <w:pPr>
              <w:spacing w:after="0" w:line="240" w:lineRule="auto"/>
            </w:pPr>
            <w:r>
              <w:rPr>
                <w:sz w:val="16"/>
              </w:rPr>
              <w:t>2,554.20</w:t>
            </w:r>
          </w:p>
        </w:tc>
        <w:tc>
          <w:tcPr>
            <w:tcW w:type="dxa" w:w="1984"/>
            <w:tcMar>
              <w:top w:w="70" w:type="dxa"/>
              <w:start w:w="80" w:type="dxa"/>
              <w:bottom w:w="70" w:type="dxa"/>
              <w:end w:w="80" w:type="dxa"/>
            </w:tcMar>
            <w:vAlign w:val="center"/>
          </w:tcPr>
          <w:p>
            <w:pPr>
              <w:spacing w:after="0" w:line="240" w:lineRule="auto"/>
            </w:pPr>
            <w:r>
              <w:rPr>
                <w:sz w:val="16"/>
              </w:rPr>
              <w:t>1,183,748</w:t>
            </w:r>
          </w:p>
        </w:tc>
        <w:tc>
          <w:tcPr>
            <w:tcW w:type="dxa" w:w="1984"/>
            <w:tcMar>
              <w:top w:w="70" w:type="dxa"/>
              <w:start w:w="80" w:type="dxa"/>
              <w:bottom w:w="70" w:type="dxa"/>
              <w:end w:w="80" w:type="dxa"/>
            </w:tcMar>
            <w:vAlign w:val="center"/>
          </w:tcPr>
          <w:p>
            <w:pPr>
              <w:spacing w:after="0" w:line="240" w:lineRule="auto"/>
            </w:pPr>
            <w:r>
              <w:rPr>
                <w:sz w:val="16"/>
              </w:rPr>
              <w:t>2,141</w:t>
            </w:r>
          </w:p>
        </w:tc>
        <w:tc>
          <w:tcPr>
            <w:tcW w:type="dxa" w:w="1984"/>
            <w:tcMar>
              <w:top w:w="70" w:type="dxa"/>
              <w:start w:w="80" w:type="dxa"/>
              <w:bottom w:w="70" w:type="dxa"/>
              <w:end w:w="80" w:type="dxa"/>
            </w:tcMar>
            <w:vAlign w:val="center"/>
          </w:tcPr>
          <w:p>
            <w:pPr>
              <w:spacing w:after="0" w:line="240" w:lineRule="auto"/>
            </w:pPr>
            <w:r>
              <w:rPr>
                <w:sz w:val="16"/>
              </w:rPr>
              <w:t>97.2854%</w:t>
            </w:r>
          </w:p>
        </w:tc>
      </w:tr>
      <w:tr>
        <w:tc>
          <w:tcPr>
            <w:tcW w:type="dxa" w:w="1984"/>
            <w:shd w:fill="F5F7F9"/>
            <w:tcMar>
              <w:top w:w="70" w:type="dxa"/>
              <w:start w:w="80" w:type="dxa"/>
              <w:bottom w:w="70" w:type="dxa"/>
              <w:end w:w="80" w:type="dxa"/>
            </w:tcMar>
            <w:vAlign w:val="center"/>
          </w:tcPr>
          <w:p>
            <w:pPr>
              <w:spacing w:after="0" w:line="240" w:lineRule="auto"/>
            </w:pPr>
            <w:r>
              <w:rPr>
                <w:sz w:val="16"/>
              </w:rPr>
              <w:t>test_date</w:t>
            </w:r>
          </w:p>
        </w:tc>
        <w:tc>
          <w:tcPr>
            <w:tcW w:type="dxa" w:w="1984"/>
            <w:shd w:fill="F5F7F9"/>
            <w:tcMar>
              <w:top w:w="70" w:type="dxa"/>
              <w:start w:w="80" w:type="dxa"/>
              <w:bottom w:w="70" w:type="dxa"/>
              <w:end w:w="80" w:type="dxa"/>
            </w:tcMar>
            <w:vAlign w:val="center"/>
          </w:tcPr>
          <w:p>
            <w:pPr>
              <w:spacing w:after="0" w:line="240" w:lineRule="auto"/>
            </w:pPr>
            <w:r>
              <w:rPr>
                <w:sz w:val="16"/>
              </w:rPr>
              <w:t>2,759.20</w:t>
            </w:r>
          </w:p>
        </w:tc>
        <w:tc>
          <w:tcPr>
            <w:tcW w:type="dxa" w:w="1984"/>
            <w:shd w:fill="F5F7F9"/>
            <w:tcMar>
              <w:top w:w="70" w:type="dxa"/>
              <w:start w:w="80" w:type="dxa"/>
              <w:bottom w:w="70" w:type="dxa"/>
              <w:end w:w="80" w:type="dxa"/>
            </w:tcMar>
            <w:vAlign w:val="center"/>
          </w:tcPr>
          <w:p>
            <w:pPr>
              <w:spacing w:after="0" w:line="240" w:lineRule="auto"/>
            </w:pPr>
            <w:r>
              <w:rPr>
                <w:sz w:val="16"/>
              </w:rPr>
              <w:t>1,183,748</w:t>
            </w:r>
          </w:p>
        </w:tc>
        <w:tc>
          <w:tcPr>
            <w:tcW w:type="dxa" w:w="1984"/>
            <w:shd w:fill="F5F7F9"/>
            <w:tcMar>
              <w:top w:w="70" w:type="dxa"/>
              <w:start w:w="80" w:type="dxa"/>
              <w:bottom w:w="70" w:type="dxa"/>
              <w:end w:w="80" w:type="dxa"/>
            </w:tcMar>
            <w:vAlign w:val="center"/>
          </w:tcPr>
          <w:p>
            <w:pPr>
              <w:spacing w:after="0" w:line="240" w:lineRule="auto"/>
            </w:pPr>
            <w:r>
              <w:rPr>
                <w:sz w:val="16"/>
              </w:rPr>
              <w:t>1,157</w:t>
            </w:r>
          </w:p>
        </w:tc>
        <w:tc>
          <w:tcPr>
            <w:tcW w:type="dxa" w:w="1984"/>
            <w:shd w:fill="F5F7F9"/>
            <w:tcMar>
              <w:top w:w="70" w:type="dxa"/>
              <w:start w:w="80" w:type="dxa"/>
              <w:bottom w:w="70" w:type="dxa"/>
              <w:end w:w="80" w:type="dxa"/>
            </w:tcMar>
            <w:vAlign w:val="center"/>
          </w:tcPr>
          <w:p>
            <w:pPr>
              <w:spacing w:after="0" w:line="240" w:lineRule="auto"/>
            </w:pPr>
            <w:r>
              <w:rPr>
                <w:sz w:val="16"/>
              </w:rPr>
              <w:t>82.1776%</w:t>
            </w:r>
          </w:p>
        </w:tc>
      </w:tr>
    </w:tbl>
    <w:p>
      <w:pPr>
        <w:spacing w:after="0"/>
      </w:pPr>
    </w:p>
    <w:tbl>
      <w:tblPr>
        <w:tblW w:type="auto" w:w="0"/>
        <w:jc w:val="center"/>
        <w:tblLook w:firstColumn="1" w:firstRow="1" w:lastColumn="0" w:lastRow="0" w:noHBand="0" w:noVBand="1" w:val="04A0"/>
      </w:tblPr>
      <w:tblGrid>
        <w:gridCol w:w="9922"/>
      </w:tblGrid>
      <w:tr>
        <w:tc>
          <w:tcPr>
            <w:tcW w:type="dxa" w:w="9922"/>
            <w:shd w:fill="D9EAF7"/>
            <w:tcMar>
              <w:top w:w="110" w:type="dxa"/>
              <w:start w:w="140" w:type="dxa"/>
              <w:bottom w:w="110" w:type="dxa"/>
              <w:end w:w="140" w:type="dxa"/>
            </w:tcMar>
          </w:tcPr>
          <w:p>
            <w:pPr>
              <w:spacing w:after="0"/>
            </w:pPr>
            <w:r>
              <w:rPr>
                <w:b/>
                <w:color w:val="17365D"/>
              </w:rPr>
              <w:t xml:space="preserve">Key observation: </w:t>
            </w:r>
            <w:r>
              <w:t>The near-identical train/test shapes and missingness levels are reassuring, while the 80–97% missingness rates show that sparsity is a defining property of the data rather than a minor cleaning issue.</w:t>
            </w:r>
          </w:p>
        </w:tc>
      </w:tr>
    </w:tbl>
    <w:p>
      <w:pPr>
        <w:spacing w:after="0"/>
      </w:pPr>
    </w:p>
    <w:p>
      <w:r>
        <w:drawing>
          <wp:inline xmlns:a="http://schemas.openxmlformats.org/drawingml/2006/main" xmlns:pic="http://schemas.openxmlformats.org/drawingml/2006/picture">
            <wp:extent cx="5897880" cy="3145536"/>
            <wp:docPr id="2" name="Picture 2"/>
            <wp:cNvGraphicFramePr>
              <a:graphicFrameLocks noChangeAspect="1"/>
            </wp:cNvGraphicFramePr>
            <a:graphic>
              <a:graphicData uri="http://schemas.openxmlformats.org/drawingml/2006/picture">
                <pic:pic>
                  <pic:nvPicPr>
                    <pic:cNvPr id="0" name="missingness.png"/>
                    <pic:cNvPicPr/>
                  </pic:nvPicPr>
                  <pic:blipFill>
                    <a:blip r:embed="rId12"/>
                    <a:stretch>
                      <a:fillRect/>
                    </a:stretch>
                  </pic:blipFill>
                  <pic:spPr>
                    <a:xfrm>
                      <a:off x="0" y="0"/>
                      <a:ext cx="5897880" cy="3145536"/>
                    </a:xfrm>
                    <a:prstGeom prst="rect"/>
                  </pic:spPr>
                </pic:pic>
              </a:graphicData>
            </a:graphic>
          </wp:inline>
        </w:drawing>
      </w:r>
    </w:p>
    <w:p>
      <w:pPr>
        <w:spacing w:after="100"/>
        <w:jc w:val="center"/>
      </w:pPr>
      <w:r>
        <w:rPr>
          <w:i/>
          <w:color w:val="595959"/>
          <w:sz w:val="17"/>
        </w:rPr>
        <w:t>Figure 27.1 — Missingness across the six raw Bosch datasets.</w:t>
      </w:r>
    </w:p>
    <w:p>
      <w:pPr>
        <w:pStyle w:val="Heading2"/>
        <w:spacing w:after="100" w:line="254" w:lineRule="auto"/>
      </w:pPr>
      <w:r>
        <w:t>Scalable profiling workflow</w:t>
      </w:r>
    </w:p>
    <w:p>
      <w:pPr>
        <w:pStyle w:val="ListNumber"/>
        <w:spacing w:after="50"/>
      </w:pPr>
      <w:r>
        <w:t>Search both the repository root and data/raw/ so the pipeline remains usable before and after data reorganization.</w:t>
      </w:r>
    </w:p>
    <w:p>
      <w:pPr>
        <w:pStyle w:val="ListNumber"/>
        <w:spacing w:after="50"/>
      </w:pPr>
      <w:r>
        <w:t>Read only the CSV header to determine schema, feature count and the presence of Id or Response.</w:t>
      </w:r>
    </w:p>
    <w:p>
      <w:pPr>
        <w:pStyle w:val="ListNumber"/>
        <w:spacing w:after="50"/>
      </w:pPr>
      <w:r>
        <w:t>Stream rows in chunks of 20,000 and accumulate row counts plus per-column null counts.</w:t>
      </w:r>
    </w:p>
    <w:p>
      <w:pPr>
        <w:pStyle w:val="ListNumber"/>
        <w:spacing w:after="50"/>
      </w:pPr>
      <w:r>
        <w:t>Write a compact file summary, a column-level missingness file and a human-readable Markdown report.</w:t>
      </w:r>
    </w:p>
    <w:tbl>
      <w:tblPr>
        <w:tblW w:type="auto" w:w="0"/>
        <w:jc w:val="center"/>
        <w:tblLayout w:type="autofit"/>
        <w:tblLook w:firstColumn="1" w:firstRow="1" w:lastColumn="0" w:lastRow="0" w:noHBand="0" w:noVBand="1" w:val="04A0"/>
      </w:tblPr>
      <w:tblGrid>
        <w:gridCol w:w="9922"/>
      </w:tblGrid>
      <w:tr>
        <w:tc>
          <w:tcPr>
            <w:tcW w:type="dxa" w:w="9922"/>
            <w:shd w:fill="F2F2F2"/>
            <w:tcMar>
              <w:top w:w="120" w:type="dxa"/>
              <w:start w:w="140" w:type="dxa"/>
              <w:bottom w:w="120" w:type="dxa"/>
              <w:end w:w="140" w:type="dxa"/>
            </w:tcMar>
          </w:tcPr>
          <w:p>
            <w:pPr>
              <w:spacing w:after="0"/>
            </w:pPr>
            <w:r>
              <w:rPr>
                <w:rFonts w:ascii="Consolas" w:hAnsi="Consolas"/>
                <w:sz w:val="16"/>
              </w:rPr>
              <w:t>for chunk in pd.read_csv(path, chunksize=20_000, low_memory=False):</w:t>
              <w:br/>
            </w:r>
            <w:r>
              <w:rPr>
                <w:rFonts w:ascii="Consolas" w:hAnsi="Consolas"/>
                <w:sz w:val="16"/>
              </w:rPr>
              <w:t xml:space="preserve">    row_count += len(chunk)</w:t>
              <w:br/>
            </w:r>
            <w:r>
              <w:rPr>
                <w:rFonts w:ascii="Consolas" w:hAnsi="Consolas"/>
                <w:sz w:val="16"/>
              </w:rPr>
              <w:t xml:space="preserve">    missing_counts = missing_counts.add(chunk.isna().sum(), fill_value=0)</w:t>
              <w:br/>
            </w:r>
            <w:r>
              <w:rPr>
                <w:rFonts w:ascii="Consolas" w:hAnsi="Consolas"/>
                <w:sz w:val="16"/>
              </w:rPr>
              <w:br/>
            </w:r>
            <w:r>
              <w:rPr>
                <w:rFonts w:ascii="Consolas" w:hAnsi="Consolas"/>
                <w:sz w:val="16"/>
              </w:rPr>
              <w:t>missing_pct = missing_counts / row_count * 100</w:t>
              <w:br/>
            </w:r>
          </w:p>
        </w:tc>
      </w:tr>
    </w:tbl>
    <w:p>
      <w:pPr>
        <w:spacing w:after="100" w:line="254" w:lineRule="auto"/>
      </w:pPr>
      <w:r>
        <w:t>The chunk loop makes runtime proportional to the number of cells while limiting peak memory to one chunk plus the accumulated statistics. The DatasetProfile data class keeps the summary schema explicit and easy to serialize.</w:t>
      </w:r>
    </w:p>
    <w:p>
      <w:pPr>
        <w:pStyle w:val="Heading2"/>
        <w:spacing w:after="100" w:line="254" w:lineRule="auto"/>
      </w:pPr>
      <w:r>
        <w:t>Quality gates and boundaries</w:t>
      </w:r>
    </w:p>
    <w:p>
      <w:pPr>
        <w:pStyle w:val="ListBullet"/>
        <w:spacing w:after="50" w:line="245" w:lineRule="auto"/>
      </w:pPr>
      <w:r>
        <w:t>Response exists only in train_numeric.csv and contains no missing values.</w:t>
      </w:r>
    </w:p>
    <w:p>
      <w:pPr>
        <w:pStyle w:val="ListBullet"/>
        <w:spacing w:after="50" w:line="245" w:lineRule="auto"/>
      </w:pPr>
      <w:r>
        <w:t>Id is treated as a join key, never as an ordinary predictive feature.</w:t>
      </w:r>
    </w:p>
    <w:p>
      <w:pPr>
        <w:pStyle w:val="ListBullet"/>
        <w:spacing w:after="50" w:line="245" w:lineRule="auto"/>
      </w:pPr>
      <w:r>
        <w:t>Missingness is measured, not automatically imputed or deleted.</w:t>
      </w:r>
    </w:p>
    <w:p>
      <w:pPr>
        <w:pStyle w:val="ListBullet"/>
        <w:spacing w:after="50" w:line="245" w:lineRule="auto"/>
      </w:pPr>
      <w:r>
        <w:t>Phase 1 does not claim to perform duplicate detection, outlier detection, drift testing, target-distribution modeling or leakage analysis.</w:t>
      </w:r>
    </w:p>
    <w:tbl>
      <w:tblPr>
        <w:tblW w:type="auto" w:w="0"/>
        <w:jc w:val="center"/>
        <w:tblLook w:firstColumn="1" w:firstRow="1" w:lastColumn="0" w:lastRow="0" w:noHBand="0" w:noVBand="1" w:val="04A0"/>
      </w:tblPr>
      <w:tblGrid>
        <w:gridCol w:w="9922"/>
      </w:tblGrid>
      <w:tr>
        <w:tc>
          <w:tcPr>
            <w:tcW w:type="dxa" w:w="9922"/>
            <w:shd w:fill="E2F0D9"/>
            <w:tcMar>
              <w:top w:w="110" w:type="dxa"/>
              <w:start w:w="140" w:type="dxa"/>
              <w:bottom w:w="110" w:type="dxa"/>
              <w:end w:w="140" w:type="dxa"/>
            </w:tcMar>
          </w:tcPr>
          <w:p>
            <w:pPr>
              <w:spacing w:after="0"/>
            </w:pPr>
            <w:r>
              <w:rPr>
                <w:b/>
                <w:color w:val="17365D"/>
              </w:rPr>
              <w:t xml:space="preserve">Design decision: </w:t>
            </w:r>
            <w:r>
              <w:t>Preserving missing values is deliberate. In this dataset, absence often indicates that a part did not traverse a station or did not receive a measurement; deleting sparse columns too early would remove process-routing information.</w:t>
            </w:r>
          </w:p>
        </w:tc>
      </w:tr>
    </w:tbl>
    <w:p>
      <w:pPr>
        <w:spacing w:after="0"/>
      </w:pPr>
    </w:p>
    <w:p>
      <w:pPr>
        <w:pStyle w:val="Heading2"/>
        <w:spacing w:after="100" w:line="254" w:lineRule="auto"/>
      </w:pPr>
      <w:r>
        <w:t>Outputs and hand-off</w:t>
      </w:r>
    </w:p>
    <w:tbl>
      <w:tblPr>
        <w:tblStyle w:val="TableGrid"/>
        <w:tblW w:type="auto" w:w="0"/>
        <w:jc w:val="center"/>
        <w:tblLook w:firstColumn="1" w:firstRow="1" w:lastColumn="0" w:lastRow="0" w:noHBand="0" w:noVBand="1" w:val="04A0"/>
      </w:tblPr>
      <w:tblGrid>
        <w:gridCol w:w="4961"/>
        <w:gridCol w:w="4961"/>
      </w:tblGrid>
      <w:tr>
        <w:trPr>
          <w:tblHeader w:val="true"/>
        </w:trPr>
        <w:tc>
          <w:tcPr>
            <w:tcW w:type="dxa" w:w="4961"/>
            <w:shd w:fill="17365D"/>
            <w:vAlign w:val="center"/>
            <w:tcMar>
              <w:top w:w="90" w:type="dxa"/>
              <w:start w:w="80" w:type="dxa"/>
              <w:bottom w:w="90" w:type="dxa"/>
              <w:end w:w="80" w:type="dxa"/>
            </w:tcMar>
          </w:tcPr>
          <w:p>
            <w:pPr>
              <w:spacing w:after="0"/>
              <w:jc w:val="center"/>
            </w:pPr>
            <w:r>
              <w:rPr>
                <w:b/>
                <w:color w:val="FFFFFF"/>
                <w:sz w:val="17"/>
              </w:rPr>
              <w:t>Artifact</w:t>
            </w:r>
          </w:p>
        </w:tc>
        <w:tc>
          <w:tcPr>
            <w:tcW w:type="dxa" w:w="4961"/>
            <w:shd w:fill="17365D"/>
            <w:vAlign w:val="center"/>
            <w:tcMar>
              <w:top w:w="90" w:type="dxa"/>
              <w:start w:w="80" w:type="dxa"/>
              <w:bottom w:w="90" w:type="dxa"/>
              <w:end w:w="80" w:type="dxa"/>
            </w:tcMar>
          </w:tcPr>
          <w:p>
            <w:pPr>
              <w:spacing w:after="0"/>
              <w:jc w:val="center"/>
            </w:pPr>
            <w:r>
              <w:rPr>
                <w:b/>
                <w:color w:val="FFFFFF"/>
                <w:sz w:val="17"/>
              </w:rPr>
              <w:t>Purpose</w:t>
            </w:r>
          </w:p>
        </w:tc>
      </w:tr>
      <w:tr>
        <w:tc>
          <w:tcPr>
            <w:tcW w:type="dxa" w:w="4961"/>
            <w:tcMar>
              <w:top w:w="70" w:type="dxa"/>
              <w:start w:w="80" w:type="dxa"/>
              <w:bottom w:w="70" w:type="dxa"/>
              <w:end w:w="80" w:type="dxa"/>
            </w:tcMar>
            <w:vAlign w:val="center"/>
          </w:tcPr>
          <w:p>
            <w:pPr>
              <w:spacing w:after="0" w:line="240" w:lineRule="auto"/>
            </w:pPr>
            <w:r>
              <w:rPr>
                <w:sz w:val="17"/>
              </w:rPr>
              <w:t>phase1_file_summary.csv</w:t>
            </w:r>
          </w:p>
        </w:tc>
        <w:tc>
          <w:tcPr>
            <w:tcW w:type="dxa" w:w="4961"/>
            <w:tcMar>
              <w:top w:w="70" w:type="dxa"/>
              <w:start w:w="80" w:type="dxa"/>
              <w:bottom w:w="70" w:type="dxa"/>
              <w:end w:w="80" w:type="dxa"/>
            </w:tcMar>
            <w:vAlign w:val="center"/>
          </w:tcPr>
          <w:p>
            <w:pPr>
              <w:spacing w:after="0" w:line="240" w:lineRule="auto"/>
            </w:pPr>
            <w:r>
              <w:rPr>
                <w:sz w:val="17"/>
              </w:rPr>
              <w:t>Dataset-level inventory and overall missingness.</w:t>
            </w:r>
          </w:p>
        </w:tc>
      </w:tr>
      <w:tr>
        <w:tc>
          <w:tcPr>
            <w:tcW w:type="dxa" w:w="4961"/>
            <w:shd w:fill="F5F7F9"/>
            <w:tcMar>
              <w:top w:w="70" w:type="dxa"/>
              <w:start w:w="80" w:type="dxa"/>
              <w:bottom w:w="70" w:type="dxa"/>
              <w:end w:w="80" w:type="dxa"/>
            </w:tcMar>
            <w:vAlign w:val="center"/>
          </w:tcPr>
          <w:p>
            <w:pPr>
              <w:spacing w:after="0" w:line="240" w:lineRule="auto"/>
            </w:pPr>
            <w:r>
              <w:rPr>
                <w:sz w:val="17"/>
              </w:rPr>
              <w:t>phase1_missing_values_by_column.csv</w:t>
            </w:r>
          </w:p>
        </w:tc>
        <w:tc>
          <w:tcPr>
            <w:tcW w:type="dxa" w:w="4961"/>
            <w:shd w:fill="F5F7F9"/>
            <w:tcMar>
              <w:top w:w="70" w:type="dxa"/>
              <w:start w:w="80" w:type="dxa"/>
              <w:bottom w:w="70" w:type="dxa"/>
              <w:end w:w="80" w:type="dxa"/>
            </w:tcMar>
            <w:vAlign w:val="center"/>
          </w:tcPr>
          <w:p>
            <w:pPr>
              <w:spacing w:after="0" w:line="240" w:lineRule="auto"/>
            </w:pPr>
            <w:r>
              <w:rPr>
                <w:sz w:val="17"/>
              </w:rPr>
              <w:t>Per-column rows, null counts and missing percentages.</w:t>
            </w:r>
          </w:p>
        </w:tc>
      </w:tr>
      <w:tr>
        <w:tc>
          <w:tcPr>
            <w:tcW w:type="dxa" w:w="4961"/>
            <w:tcMar>
              <w:top w:w="70" w:type="dxa"/>
              <w:start w:w="80" w:type="dxa"/>
              <w:bottom w:w="70" w:type="dxa"/>
              <w:end w:w="80" w:type="dxa"/>
            </w:tcMar>
            <w:vAlign w:val="center"/>
          </w:tcPr>
          <w:p>
            <w:pPr>
              <w:spacing w:after="0" w:line="240" w:lineRule="auto"/>
            </w:pPr>
            <w:r>
              <w:rPr>
                <w:sz w:val="17"/>
              </w:rPr>
              <w:t>phase1_data_quality_report.md</w:t>
            </w:r>
          </w:p>
        </w:tc>
        <w:tc>
          <w:tcPr>
            <w:tcW w:type="dxa" w:w="4961"/>
            <w:tcMar>
              <w:top w:w="70" w:type="dxa"/>
              <w:start w:w="80" w:type="dxa"/>
              <w:bottom w:w="70" w:type="dxa"/>
              <w:end w:w="80" w:type="dxa"/>
            </w:tcMar>
            <w:vAlign w:val="center"/>
          </w:tcPr>
          <w:p>
            <w:pPr>
              <w:spacing w:after="0" w:line="240" w:lineRule="auto"/>
            </w:pPr>
            <w:r>
              <w:rPr>
                <w:sz w:val="17"/>
              </w:rPr>
              <w:t>Readable evidence and implementation notes.</w:t>
            </w:r>
          </w:p>
        </w:tc>
      </w:tr>
    </w:tbl>
    <w:p>
      <w:pPr>
        <w:spacing w:after="0"/>
      </w:pPr>
    </w:p>
    <w:p>
      <w:pPr>
        <w:spacing w:after="100" w:line="254" w:lineRule="auto"/>
      </w:pPr>
      <w:r>
        <w:t>Phase 2 consumes the per-column missingness output directly, demonstrating a clear dependency rather than repeating the same expensive scan.</w:t>
      </w:r>
    </w:p>
    <w:p>
      <w:pPr>
        <w:pStyle w:val="Heading2"/>
        <w:spacing w:after="100" w:line="254" w:lineRule="auto"/>
      </w:pPr>
      <w:r>
        <w:t>Chapter checkpoint</w:t>
      </w:r>
    </w:p>
    <w:p>
      <w:pPr>
        <w:pStyle w:val="ListBullet"/>
        <w:spacing w:after="50" w:line="245" w:lineRule="auto"/>
      </w:pPr>
      <w:r>
        <w:t>Evidence established: the six files are structurally consistent and the target is complete.</w:t>
      </w:r>
    </w:p>
    <w:p>
      <w:pPr>
        <w:pStyle w:val="ListBullet"/>
        <w:spacing w:after="50" w:line="245" w:lineRule="auto"/>
      </w:pPr>
      <w:r>
        <w:t>Constraint established: sparsity is extreme and must be treated as process information as well as data quality.</w:t>
      </w:r>
    </w:p>
    <w:p>
      <w:pPr>
        <w:pStyle w:val="ListBullet"/>
        <w:spacing w:after="50" w:line="245" w:lineRule="auto"/>
      </w:pPr>
      <w:r>
        <w:t>Reusable contract: Phase 1 exposes per-column quality metrics instead of hiding them inside notebook output.</w:t>
      </w:r>
    </w:p>
    <w:p>
      <w:pPr>
        <w:pStyle w:val="ListBullet"/>
        <w:spacing w:after="50" w:line="245" w:lineRule="auto"/>
      </w:pPr>
      <w:r>
        <w:t>Interview message: explain why chunked profiling and explicit limitations are more trustworthy than a one-line pandas summary.</w:t>
      </w:r>
    </w:p>
    <w:p>
      <w:r>
        <w:br w:type="page"/>
      </w:r>
    </w:p>
    <w:p>
      <w:pPr>
        <w:spacing w:after="40"/>
      </w:pPr>
      <w:r>
        <w:rPr>
          <w:b/>
          <w:color w:val="1F4E79"/>
          <w:sz w:val="22"/>
        </w:rPr>
        <w:t>CHAPTER 28</w:t>
      </w:r>
    </w:p>
    <w:p>
      <w:pPr>
        <w:pStyle w:val="Heading1"/>
        <w:spacing w:after="80"/>
      </w:pPr>
      <w:r>
        <w:t>Phase 2 — Data Understanding &amp; Engineering</w:t>
      </w:r>
    </w:p>
    <w:p>
      <w:pPr>
        <w:spacing w:after="240"/>
      </w:pPr>
      <w:r>
        <w:rPr>
          <w:i/>
          <w:color w:val="595959"/>
          <w:sz w:val="22"/>
        </w:rPr>
        <w:t>Transforming anonymous feature names and missingness patterns into manufacturing metadata and flow indicators</w:t>
      </w:r>
    </w:p>
    <w:p>
      <w:pPr>
        <w:pStyle w:val="Heading2"/>
        <w:spacing w:after="100" w:line="254" w:lineRule="auto"/>
      </w:pPr>
      <w:r>
        <w:t>Phase objective</w:t>
      </w:r>
    </w:p>
    <w:p>
      <w:pPr>
        <w:spacing w:after="100" w:line="254" w:lineRule="auto"/>
      </w:pPr>
      <w:r>
        <w:t>Phase 2 adds structure to the anonymous dataset. It parses each feature into production line, station, feature kind and identifier; aggregates this information into station and line metadata; combines it with Phase 1 missingness; and builds compact product-level manufacturing-flow datasets from date-feature presence.</w:t>
      </w:r>
    </w:p>
    <w:p>
      <w:r>
        <w:drawing>
          <wp:inline xmlns:a="http://schemas.openxmlformats.org/drawingml/2006/main" xmlns:pic="http://schemas.openxmlformats.org/drawingml/2006/picture">
            <wp:extent cx="5989320" cy="2411700"/>
            <wp:docPr id="3" name="Picture 3"/>
            <wp:cNvGraphicFramePr>
              <a:graphicFrameLocks noChangeAspect="1"/>
            </wp:cNvGraphicFramePr>
            <a:graphic>
              <a:graphicData uri="http://schemas.openxmlformats.org/drawingml/2006/picture">
                <pic:pic>
                  <pic:nvPicPr>
                    <pic:cNvPr id="0" name="feature_anatomy.png"/>
                    <pic:cNvPicPr/>
                  </pic:nvPicPr>
                  <pic:blipFill>
                    <a:blip r:embed="rId13"/>
                    <a:stretch>
                      <a:fillRect/>
                    </a:stretch>
                  </pic:blipFill>
                  <pic:spPr>
                    <a:xfrm>
                      <a:off x="0" y="0"/>
                      <a:ext cx="5989320" cy="2411700"/>
                    </a:xfrm>
                    <a:prstGeom prst="rect"/>
                  </pic:spPr>
                </pic:pic>
              </a:graphicData>
            </a:graphic>
          </wp:inline>
        </w:drawing>
      </w:r>
    </w:p>
    <w:p>
      <w:pPr>
        <w:spacing w:after="100"/>
        <w:jc w:val="center"/>
      </w:pPr>
      <w:r>
        <w:rPr>
          <w:i/>
          <w:color w:val="595959"/>
          <w:sz w:val="17"/>
        </w:rPr>
        <w:t>Figure 28.1 — The naming pattern exposes a hierarchy even though the measurements themselves remain anonymous.</w:t>
      </w:r>
    </w:p>
    <w:p>
      <w:pPr>
        <w:pStyle w:val="Heading2"/>
        <w:spacing w:after="100" w:line="254" w:lineRule="auto"/>
      </w:pPr>
      <w:r>
        <w:t>Feature-name parsing and metadata</w:t>
      </w:r>
    </w:p>
    <w:tbl>
      <w:tblPr>
        <w:tblW w:type="auto" w:w="0"/>
        <w:jc w:val="center"/>
        <w:tblLayout w:type="autofit"/>
        <w:tblLook w:firstColumn="1" w:firstRow="1" w:lastColumn="0" w:lastRow="0" w:noHBand="0" w:noVBand="1" w:val="04A0"/>
      </w:tblPr>
      <w:tblGrid>
        <w:gridCol w:w="9922"/>
      </w:tblGrid>
      <w:tr>
        <w:tc>
          <w:tcPr>
            <w:tcW w:type="dxa" w:w="9922"/>
            <w:shd w:fill="F2F2F2"/>
            <w:tcMar>
              <w:top w:w="120" w:type="dxa"/>
              <w:start w:w="140" w:type="dxa"/>
              <w:bottom w:w="120" w:type="dxa"/>
              <w:end w:w="140" w:type="dxa"/>
            </w:tcMar>
          </w:tcPr>
          <w:p>
            <w:pPr>
              <w:spacing w:after="0"/>
            </w:pPr>
            <w:r>
              <w:rPr>
                <w:rFonts w:ascii="Consolas" w:hAnsi="Consolas"/>
                <w:sz w:val="16"/>
              </w:rPr>
              <w:t>FEATURE_RE = re.compile(</w:t>
              <w:br/>
            </w:r>
            <w:r>
              <w:rPr>
                <w:rFonts w:ascii="Consolas" w:hAnsi="Consolas"/>
                <w:sz w:val="16"/>
              </w:rPr>
              <w:t xml:space="preserve">    r"^L(?P&lt;line&gt;\d+)_S(?P&lt;station&gt;\d+)_(?P&lt;kind&gt;[FD])(?P&lt;feature&gt;\d+)$"</w:t>
              <w:br/>
            </w:r>
            <w:r>
              <w:rPr>
                <w:rFonts w:ascii="Consolas" w:hAnsi="Consolas"/>
                <w:sz w:val="16"/>
              </w:rPr>
              <w:t>)</w:t>
              <w:br/>
            </w:r>
          </w:p>
        </w:tc>
      </w:tr>
    </w:tbl>
    <w:p>
      <w:pPr>
        <w:spacing w:after="100" w:line="254" w:lineRule="auto"/>
      </w:pPr>
      <w:r>
        <w:t>A name such as L3_S32_F3854 becomes a structured record with line=3, station=32, station_key=L3_S32, kind=F and feature_id=3854. The same parser is applied to the numeric, categorical and date headers in both train and test. Non-feature columns such as Id and Response are ignored.</w:t>
      </w:r>
    </w:p>
    <w:p>
      <w:pPr>
        <w:pStyle w:val="Heading2"/>
        <w:spacing w:after="100" w:line="254" w:lineRule="auto"/>
      </w:pPr>
      <w:r>
        <w:t>Manufacturing metadata produced</w:t>
      </w:r>
    </w:p>
    <w:tbl>
      <w:tblPr>
        <w:tblStyle w:val="TableGrid"/>
        <w:tblW w:type="auto" w:w="0"/>
        <w:jc w:val="center"/>
        <w:tblLook w:firstColumn="1" w:firstRow="1" w:lastColumn="0" w:lastRow="0" w:noHBand="0" w:noVBand="1" w:val="04A0"/>
      </w:tblPr>
      <w:tblGrid>
        <w:gridCol w:w="1654"/>
        <w:gridCol w:w="1654"/>
        <w:gridCol w:w="1654"/>
        <w:gridCol w:w="1654"/>
        <w:gridCol w:w="1654"/>
        <w:gridCol w:w="1654"/>
      </w:tblGrid>
      <w:tr>
        <w:trPr>
          <w:tblHeader w:val="true"/>
        </w:trPr>
        <w:tc>
          <w:tcPr>
            <w:tcW w:type="dxa" w:w="1654"/>
            <w:shd w:fill="17365D"/>
            <w:vAlign w:val="center"/>
            <w:tcMar>
              <w:top w:w="90" w:type="dxa"/>
              <w:start w:w="80" w:type="dxa"/>
              <w:bottom w:w="90" w:type="dxa"/>
              <w:end w:w="80" w:type="dxa"/>
            </w:tcMar>
          </w:tcPr>
          <w:p>
            <w:pPr>
              <w:spacing w:after="0"/>
              <w:jc w:val="center"/>
            </w:pPr>
            <w:r>
              <w:rPr>
                <w:b/>
                <w:color w:val="FFFFFF"/>
                <w:sz w:val="16"/>
              </w:rPr>
              <w:t>Line</w:t>
            </w:r>
          </w:p>
        </w:tc>
        <w:tc>
          <w:tcPr>
            <w:tcW w:type="dxa" w:w="1654"/>
            <w:shd w:fill="17365D"/>
            <w:vAlign w:val="center"/>
            <w:tcMar>
              <w:top w:w="90" w:type="dxa"/>
              <w:start w:w="80" w:type="dxa"/>
              <w:bottom w:w="90" w:type="dxa"/>
              <w:end w:w="80" w:type="dxa"/>
            </w:tcMar>
          </w:tcPr>
          <w:p>
            <w:pPr>
              <w:spacing w:after="0"/>
              <w:jc w:val="center"/>
            </w:pPr>
            <w:r>
              <w:rPr>
                <w:b/>
                <w:color w:val="FFFFFF"/>
                <w:sz w:val="16"/>
              </w:rPr>
              <w:t>Stations</w:t>
            </w:r>
          </w:p>
        </w:tc>
        <w:tc>
          <w:tcPr>
            <w:tcW w:type="dxa" w:w="1654"/>
            <w:shd w:fill="17365D"/>
            <w:vAlign w:val="center"/>
            <w:tcMar>
              <w:top w:w="90" w:type="dxa"/>
              <w:start w:w="80" w:type="dxa"/>
              <w:bottom w:w="90" w:type="dxa"/>
              <w:end w:w="80" w:type="dxa"/>
            </w:tcMar>
          </w:tcPr>
          <w:p>
            <w:pPr>
              <w:spacing w:after="0"/>
              <w:jc w:val="center"/>
            </w:pPr>
            <w:r>
              <w:rPr>
                <w:b/>
                <w:color w:val="FFFFFF"/>
                <w:sz w:val="16"/>
              </w:rPr>
              <w:t>Numeric</w:t>
            </w:r>
          </w:p>
        </w:tc>
        <w:tc>
          <w:tcPr>
            <w:tcW w:type="dxa" w:w="1654"/>
            <w:shd w:fill="17365D"/>
            <w:vAlign w:val="center"/>
            <w:tcMar>
              <w:top w:w="90" w:type="dxa"/>
              <w:start w:w="80" w:type="dxa"/>
              <w:bottom w:w="90" w:type="dxa"/>
              <w:end w:w="80" w:type="dxa"/>
            </w:tcMar>
          </w:tcPr>
          <w:p>
            <w:pPr>
              <w:spacing w:after="0"/>
              <w:jc w:val="center"/>
            </w:pPr>
            <w:r>
              <w:rPr>
                <w:b/>
                <w:color w:val="FFFFFF"/>
                <w:sz w:val="16"/>
              </w:rPr>
              <w:t>Categorical</w:t>
            </w:r>
          </w:p>
        </w:tc>
        <w:tc>
          <w:tcPr>
            <w:tcW w:type="dxa" w:w="1654"/>
            <w:shd w:fill="17365D"/>
            <w:vAlign w:val="center"/>
            <w:tcMar>
              <w:top w:w="90" w:type="dxa"/>
              <w:start w:w="80" w:type="dxa"/>
              <w:bottom w:w="90" w:type="dxa"/>
              <w:end w:w="80" w:type="dxa"/>
            </w:tcMar>
          </w:tcPr>
          <w:p>
            <w:pPr>
              <w:spacing w:after="0"/>
              <w:jc w:val="center"/>
            </w:pPr>
            <w:r>
              <w:rPr>
                <w:b/>
                <w:color w:val="FFFFFF"/>
                <w:sz w:val="16"/>
              </w:rPr>
              <w:t>Date</w:t>
            </w:r>
          </w:p>
        </w:tc>
        <w:tc>
          <w:tcPr>
            <w:tcW w:type="dxa" w:w="1654"/>
            <w:shd w:fill="17365D"/>
            <w:vAlign w:val="center"/>
            <w:tcMar>
              <w:top w:w="90" w:type="dxa"/>
              <w:start w:w="80" w:type="dxa"/>
              <w:bottom w:w="90" w:type="dxa"/>
              <w:end w:w="80" w:type="dxa"/>
            </w:tcMar>
          </w:tcPr>
          <w:p>
            <w:pPr>
              <w:spacing w:after="0"/>
              <w:jc w:val="center"/>
            </w:pPr>
            <w:r>
              <w:rPr>
                <w:b/>
                <w:color w:val="FFFFFF"/>
                <w:sz w:val="16"/>
              </w:rPr>
              <w:t>Total features</w:t>
            </w:r>
          </w:p>
        </w:tc>
      </w:tr>
      <w:tr>
        <w:tc>
          <w:tcPr>
            <w:tcW w:type="dxa" w:w="1654"/>
            <w:tcMar>
              <w:top w:w="70" w:type="dxa"/>
              <w:start w:w="80" w:type="dxa"/>
              <w:bottom w:w="70" w:type="dxa"/>
              <w:end w:w="80" w:type="dxa"/>
            </w:tcMar>
            <w:vAlign w:val="center"/>
          </w:tcPr>
          <w:p>
            <w:pPr>
              <w:spacing w:after="0" w:line="240" w:lineRule="auto"/>
            </w:pPr>
            <w:r>
              <w:rPr>
                <w:sz w:val="16"/>
              </w:rPr>
              <w:t>L0</w:t>
            </w:r>
          </w:p>
        </w:tc>
        <w:tc>
          <w:tcPr>
            <w:tcW w:type="dxa" w:w="1654"/>
            <w:tcMar>
              <w:top w:w="70" w:type="dxa"/>
              <w:start w:w="80" w:type="dxa"/>
              <w:bottom w:w="70" w:type="dxa"/>
              <w:end w:w="80" w:type="dxa"/>
            </w:tcMar>
            <w:vAlign w:val="center"/>
          </w:tcPr>
          <w:p>
            <w:pPr>
              <w:spacing w:after="0" w:line="240" w:lineRule="auto"/>
            </w:pPr>
            <w:r>
              <w:rPr>
                <w:sz w:val="16"/>
              </w:rPr>
              <w:t>24</w:t>
            </w:r>
          </w:p>
        </w:tc>
        <w:tc>
          <w:tcPr>
            <w:tcW w:type="dxa" w:w="1654"/>
            <w:tcMar>
              <w:top w:w="70" w:type="dxa"/>
              <w:start w:w="80" w:type="dxa"/>
              <w:bottom w:w="70" w:type="dxa"/>
              <w:end w:w="80" w:type="dxa"/>
            </w:tcMar>
            <w:vAlign w:val="center"/>
          </w:tcPr>
          <w:p>
            <w:pPr>
              <w:spacing w:after="0" w:line="240" w:lineRule="auto"/>
            </w:pPr>
            <w:r>
              <w:rPr>
                <w:sz w:val="16"/>
              </w:rPr>
              <w:t>168</w:t>
            </w:r>
          </w:p>
        </w:tc>
        <w:tc>
          <w:tcPr>
            <w:tcW w:type="dxa" w:w="1654"/>
            <w:tcMar>
              <w:top w:w="70" w:type="dxa"/>
              <w:start w:w="80" w:type="dxa"/>
              <w:bottom w:w="70" w:type="dxa"/>
              <w:end w:w="80" w:type="dxa"/>
            </w:tcMar>
            <w:vAlign w:val="center"/>
          </w:tcPr>
          <w:p>
            <w:pPr>
              <w:spacing w:after="0" w:line="240" w:lineRule="auto"/>
            </w:pPr>
            <w:r>
              <w:rPr>
                <w:sz w:val="16"/>
              </w:rPr>
              <w:t>323</w:t>
            </w:r>
          </w:p>
        </w:tc>
        <w:tc>
          <w:tcPr>
            <w:tcW w:type="dxa" w:w="1654"/>
            <w:tcMar>
              <w:top w:w="70" w:type="dxa"/>
              <w:start w:w="80" w:type="dxa"/>
              <w:bottom w:w="70" w:type="dxa"/>
              <w:end w:w="80" w:type="dxa"/>
            </w:tcMar>
            <w:vAlign w:val="center"/>
          </w:tcPr>
          <w:p>
            <w:pPr>
              <w:spacing w:after="0" w:line="240" w:lineRule="auto"/>
            </w:pPr>
            <w:r>
              <w:rPr>
                <w:sz w:val="16"/>
              </w:rPr>
              <w:t>184</w:t>
            </w:r>
          </w:p>
        </w:tc>
        <w:tc>
          <w:tcPr>
            <w:tcW w:type="dxa" w:w="1654"/>
            <w:tcMar>
              <w:top w:w="70" w:type="dxa"/>
              <w:start w:w="80" w:type="dxa"/>
              <w:bottom w:w="70" w:type="dxa"/>
              <w:end w:w="80" w:type="dxa"/>
            </w:tcMar>
            <w:vAlign w:val="center"/>
          </w:tcPr>
          <w:p>
            <w:pPr>
              <w:spacing w:after="0" w:line="240" w:lineRule="auto"/>
            </w:pPr>
            <w:r>
              <w:rPr>
                <w:sz w:val="16"/>
              </w:rPr>
              <w:t>675</w:t>
            </w:r>
          </w:p>
        </w:tc>
      </w:tr>
      <w:tr>
        <w:tc>
          <w:tcPr>
            <w:tcW w:type="dxa" w:w="1654"/>
            <w:shd w:fill="F5F7F9"/>
            <w:tcMar>
              <w:top w:w="70" w:type="dxa"/>
              <w:start w:w="80" w:type="dxa"/>
              <w:bottom w:w="70" w:type="dxa"/>
              <w:end w:w="80" w:type="dxa"/>
            </w:tcMar>
            <w:vAlign w:val="center"/>
          </w:tcPr>
          <w:p>
            <w:pPr>
              <w:spacing w:after="0" w:line="240" w:lineRule="auto"/>
            </w:pPr>
            <w:r>
              <w:rPr>
                <w:sz w:val="16"/>
              </w:rPr>
              <w:t>L1</w:t>
            </w:r>
          </w:p>
        </w:tc>
        <w:tc>
          <w:tcPr>
            <w:tcW w:type="dxa" w:w="1654"/>
            <w:shd w:fill="F5F7F9"/>
            <w:tcMar>
              <w:top w:w="70" w:type="dxa"/>
              <w:start w:w="80" w:type="dxa"/>
              <w:bottom w:w="70" w:type="dxa"/>
              <w:end w:w="80" w:type="dxa"/>
            </w:tcMar>
            <w:vAlign w:val="center"/>
          </w:tcPr>
          <w:p>
            <w:pPr>
              <w:spacing w:after="0" w:line="240" w:lineRule="auto"/>
            </w:pPr>
            <w:r>
              <w:rPr>
                <w:sz w:val="16"/>
              </w:rPr>
              <w:t>2</w:t>
            </w:r>
          </w:p>
        </w:tc>
        <w:tc>
          <w:tcPr>
            <w:tcW w:type="dxa" w:w="1654"/>
            <w:shd w:fill="F5F7F9"/>
            <w:tcMar>
              <w:top w:w="70" w:type="dxa"/>
              <w:start w:w="80" w:type="dxa"/>
              <w:bottom w:w="70" w:type="dxa"/>
              <w:end w:w="80" w:type="dxa"/>
            </w:tcMar>
            <w:vAlign w:val="center"/>
          </w:tcPr>
          <w:p>
            <w:pPr>
              <w:spacing w:after="0" w:line="240" w:lineRule="auto"/>
            </w:pPr>
            <w:r>
              <w:rPr>
                <w:sz w:val="16"/>
              </w:rPr>
              <w:t>513</w:t>
            </w:r>
          </w:p>
        </w:tc>
        <w:tc>
          <w:tcPr>
            <w:tcW w:type="dxa" w:w="1654"/>
            <w:shd w:fill="F5F7F9"/>
            <w:tcMar>
              <w:top w:w="70" w:type="dxa"/>
              <w:start w:w="80" w:type="dxa"/>
              <w:bottom w:w="70" w:type="dxa"/>
              <w:end w:w="80" w:type="dxa"/>
            </w:tcMar>
            <w:vAlign w:val="center"/>
          </w:tcPr>
          <w:p>
            <w:pPr>
              <w:spacing w:after="0" w:line="240" w:lineRule="auto"/>
            </w:pPr>
            <w:r>
              <w:rPr>
                <w:sz w:val="16"/>
              </w:rPr>
              <w:t>1,227</w:t>
            </w:r>
          </w:p>
        </w:tc>
        <w:tc>
          <w:tcPr>
            <w:tcW w:type="dxa" w:w="1654"/>
            <w:shd w:fill="F5F7F9"/>
            <w:tcMar>
              <w:top w:w="70" w:type="dxa"/>
              <w:start w:w="80" w:type="dxa"/>
              <w:bottom w:w="70" w:type="dxa"/>
              <w:end w:w="80" w:type="dxa"/>
            </w:tcMar>
            <w:vAlign w:val="center"/>
          </w:tcPr>
          <w:p>
            <w:pPr>
              <w:spacing w:after="0" w:line="240" w:lineRule="auto"/>
            </w:pPr>
            <w:r>
              <w:rPr>
                <w:sz w:val="16"/>
              </w:rPr>
              <w:t>621</w:t>
            </w:r>
          </w:p>
        </w:tc>
        <w:tc>
          <w:tcPr>
            <w:tcW w:type="dxa" w:w="1654"/>
            <w:shd w:fill="F5F7F9"/>
            <w:tcMar>
              <w:top w:w="70" w:type="dxa"/>
              <w:start w:w="80" w:type="dxa"/>
              <w:bottom w:w="70" w:type="dxa"/>
              <w:end w:w="80" w:type="dxa"/>
            </w:tcMar>
            <w:vAlign w:val="center"/>
          </w:tcPr>
          <w:p>
            <w:pPr>
              <w:spacing w:after="0" w:line="240" w:lineRule="auto"/>
            </w:pPr>
            <w:r>
              <w:rPr>
                <w:sz w:val="16"/>
              </w:rPr>
              <w:t>2,361</w:t>
            </w:r>
          </w:p>
        </w:tc>
      </w:tr>
      <w:tr>
        <w:tc>
          <w:tcPr>
            <w:tcW w:type="dxa" w:w="1654"/>
            <w:tcMar>
              <w:top w:w="70" w:type="dxa"/>
              <w:start w:w="80" w:type="dxa"/>
              <w:bottom w:w="70" w:type="dxa"/>
              <w:end w:w="80" w:type="dxa"/>
            </w:tcMar>
            <w:vAlign w:val="center"/>
          </w:tcPr>
          <w:p>
            <w:pPr>
              <w:spacing w:after="0" w:line="240" w:lineRule="auto"/>
            </w:pPr>
            <w:r>
              <w:rPr>
                <w:sz w:val="16"/>
              </w:rPr>
              <w:t>L2</w:t>
            </w:r>
          </w:p>
        </w:tc>
        <w:tc>
          <w:tcPr>
            <w:tcW w:type="dxa" w:w="1654"/>
            <w:tcMar>
              <w:top w:w="70" w:type="dxa"/>
              <w:start w:w="80" w:type="dxa"/>
              <w:bottom w:w="70" w:type="dxa"/>
              <w:end w:w="80" w:type="dxa"/>
            </w:tcMar>
            <w:vAlign w:val="center"/>
          </w:tcPr>
          <w:p>
            <w:pPr>
              <w:spacing w:after="0" w:line="240" w:lineRule="auto"/>
            </w:pPr>
            <w:r>
              <w:rPr>
                <w:sz w:val="16"/>
              </w:rPr>
              <w:t>3</w:t>
            </w:r>
          </w:p>
        </w:tc>
        <w:tc>
          <w:tcPr>
            <w:tcW w:type="dxa" w:w="1654"/>
            <w:tcMar>
              <w:top w:w="70" w:type="dxa"/>
              <w:start w:w="80" w:type="dxa"/>
              <w:bottom w:w="70" w:type="dxa"/>
              <w:end w:w="80" w:type="dxa"/>
            </w:tcMar>
            <w:vAlign w:val="center"/>
          </w:tcPr>
          <w:p>
            <w:pPr>
              <w:spacing w:after="0" w:line="240" w:lineRule="auto"/>
            </w:pPr>
            <w:r>
              <w:rPr>
                <w:sz w:val="16"/>
              </w:rPr>
              <w:t>42</w:t>
            </w:r>
          </w:p>
        </w:tc>
        <w:tc>
          <w:tcPr>
            <w:tcW w:type="dxa" w:w="1654"/>
            <w:tcMar>
              <w:top w:w="70" w:type="dxa"/>
              <w:start w:w="80" w:type="dxa"/>
              <w:bottom w:w="70" w:type="dxa"/>
              <w:end w:w="80" w:type="dxa"/>
            </w:tcMar>
            <w:vAlign w:val="center"/>
          </w:tcPr>
          <w:p>
            <w:pPr>
              <w:spacing w:after="0" w:line="240" w:lineRule="auto"/>
            </w:pPr>
            <w:r>
              <w:rPr>
                <w:sz w:val="16"/>
              </w:rPr>
              <w:t>159</w:t>
            </w:r>
          </w:p>
        </w:tc>
        <w:tc>
          <w:tcPr>
            <w:tcW w:type="dxa" w:w="1654"/>
            <w:tcMar>
              <w:top w:w="70" w:type="dxa"/>
              <w:start w:w="80" w:type="dxa"/>
              <w:bottom w:w="70" w:type="dxa"/>
              <w:end w:w="80" w:type="dxa"/>
            </w:tcMar>
            <w:vAlign w:val="center"/>
          </w:tcPr>
          <w:p>
            <w:pPr>
              <w:spacing w:after="0" w:line="240" w:lineRule="auto"/>
            </w:pPr>
            <w:r>
              <w:rPr>
                <w:sz w:val="16"/>
              </w:rPr>
              <w:t>78</w:t>
            </w:r>
          </w:p>
        </w:tc>
        <w:tc>
          <w:tcPr>
            <w:tcW w:type="dxa" w:w="1654"/>
            <w:tcMar>
              <w:top w:w="70" w:type="dxa"/>
              <w:start w:w="80" w:type="dxa"/>
              <w:bottom w:w="70" w:type="dxa"/>
              <w:end w:w="80" w:type="dxa"/>
            </w:tcMar>
            <w:vAlign w:val="center"/>
          </w:tcPr>
          <w:p>
            <w:pPr>
              <w:spacing w:after="0" w:line="240" w:lineRule="auto"/>
            </w:pPr>
            <w:r>
              <w:rPr>
                <w:sz w:val="16"/>
              </w:rPr>
              <w:t>279</w:t>
            </w:r>
          </w:p>
        </w:tc>
      </w:tr>
      <w:tr>
        <w:tc>
          <w:tcPr>
            <w:tcW w:type="dxa" w:w="1654"/>
            <w:shd w:fill="F5F7F9"/>
            <w:tcMar>
              <w:top w:w="70" w:type="dxa"/>
              <w:start w:w="80" w:type="dxa"/>
              <w:bottom w:w="70" w:type="dxa"/>
              <w:end w:w="80" w:type="dxa"/>
            </w:tcMar>
            <w:vAlign w:val="center"/>
          </w:tcPr>
          <w:p>
            <w:pPr>
              <w:spacing w:after="0" w:line="240" w:lineRule="auto"/>
            </w:pPr>
            <w:r>
              <w:rPr>
                <w:sz w:val="16"/>
              </w:rPr>
              <w:t>L3</w:t>
            </w:r>
          </w:p>
        </w:tc>
        <w:tc>
          <w:tcPr>
            <w:tcW w:type="dxa" w:w="1654"/>
            <w:shd w:fill="F5F7F9"/>
            <w:tcMar>
              <w:top w:w="70" w:type="dxa"/>
              <w:start w:w="80" w:type="dxa"/>
              <w:bottom w:w="70" w:type="dxa"/>
              <w:end w:w="80" w:type="dxa"/>
            </w:tcMar>
            <w:vAlign w:val="center"/>
          </w:tcPr>
          <w:p>
            <w:pPr>
              <w:spacing w:after="0" w:line="240" w:lineRule="auto"/>
            </w:pPr>
            <w:r>
              <w:rPr>
                <w:sz w:val="16"/>
              </w:rPr>
              <w:t>23</w:t>
            </w:r>
          </w:p>
        </w:tc>
        <w:tc>
          <w:tcPr>
            <w:tcW w:type="dxa" w:w="1654"/>
            <w:shd w:fill="F5F7F9"/>
            <w:tcMar>
              <w:top w:w="70" w:type="dxa"/>
              <w:start w:w="80" w:type="dxa"/>
              <w:bottom w:w="70" w:type="dxa"/>
              <w:end w:w="80" w:type="dxa"/>
            </w:tcMar>
            <w:vAlign w:val="center"/>
          </w:tcPr>
          <w:p>
            <w:pPr>
              <w:spacing w:after="0" w:line="240" w:lineRule="auto"/>
            </w:pPr>
            <w:r>
              <w:rPr>
                <w:sz w:val="16"/>
              </w:rPr>
              <w:t>245</w:t>
            </w:r>
          </w:p>
        </w:tc>
        <w:tc>
          <w:tcPr>
            <w:tcW w:type="dxa" w:w="1654"/>
            <w:shd w:fill="F5F7F9"/>
            <w:tcMar>
              <w:top w:w="70" w:type="dxa"/>
              <w:start w:w="80" w:type="dxa"/>
              <w:bottom w:w="70" w:type="dxa"/>
              <w:end w:w="80" w:type="dxa"/>
            </w:tcMar>
            <w:vAlign w:val="center"/>
          </w:tcPr>
          <w:p>
            <w:pPr>
              <w:spacing w:after="0" w:line="240" w:lineRule="auto"/>
            </w:pPr>
            <w:r>
              <w:rPr>
                <w:sz w:val="16"/>
              </w:rPr>
              <w:t>431</w:t>
            </w:r>
          </w:p>
        </w:tc>
        <w:tc>
          <w:tcPr>
            <w:tcW w:type="dxa" w:w="1654"/>
            <w:shd w:fill="F5F7F9"/>
            <w:tcMar>
              <w:top w:w="70" w:type="dxa"/>
              <w:start w:w="80" w:type="dxa"/>
              <w:bottom w:w="70" w:type="dxa"/>
              <w:end w:w="80" w:type="dxa"/>
            </w:tcMar>
            <w:vAlign w:val="center"/>
          </w:tcPr>
          <w:p>
            <w:pPr>
              <w:spacing w:after="0" w:line="240" w:lineRule="auto"/>
            </w:pPr>
            <w:r>
              <w:rPr>
                <w:sz w:val="16"/>
              </w:rPr>
              <w:t>273</w:t>
            </w:r>
          </w:p>
        </w:tc>
        <w:tc>
          <w:tcPr>
            <w:tcW w:type="dxa" w:w="1654"/>
            <w:shd w:fill="F5F7F9"/>
            <w:tcMar>
              <w:top w:w="70" w:type="dxa"/>
              <w:start w:w="80" w:type="dxa"/>
              <w:bottom w:w="70" w:type="dxa"/>
              <w:end w:w="80" w:type="dxa"/>
            </w:tcMar>
            <w:vAlign w:val="center"/>
          </w:tcPr>
          <w:p>
            <w:pPr>
              <w:spacing w:after="0" w:line="240" w:lineRule="auto"/>
            </w:pPr>
            <w:r>
              <w:rPr>
                <w:sz w:val="16"/>
              </w:rPr>
              <w:t>949</w:t>
            </w:r>
          </w:p>
        </w:tc>
      </w:tr>
    </w:tbl>
    <w:p>
      <w:pPr>
        <w:spacing w:after="0"/>
      </w:pPr>
    </w:p>
    <w:p>
      <w:pPr>
        <w:spacing w:after="100" w:line="254" w:lineRule="auto"/>
      </w:pPr>
      <w:r>
        <w:t>Across the raw headers, the project identifies 4,264 unique feature columns, four production lines and 52 stations. L1 is notable: it has only two stations but 2,361 features, more than half of all parsed features. Feature count therefore cannot be interpreted as station count or route length.</w:t>
      </w:r>
    </w:p>
    <w:p>
      <w:pPr>
        <w:pStyle w:val="Heading2"/>
        <w:spacing w:after="100" w:line="254" w:lineRule="auto"/>
      </w:pPr>
      <w:r>
        <w:t>Completeness metrics</w:t>
      </w:r>
    </w:p>
    <w:p>
      <w:pPr>
        <w:spacing w:after="100" w:line="254" w:lineRule="auto"/>
      </w:pPr>
      <w:r>
        <w:t>The Phase 1 column-level file is merged with feature metadata. For each column, observed_values = rows − missing_values and completeness_pct = 100 − missing_pct. A second aggregation summarizes possible, observed and missing values for each split × data type × station group.</w:t>
      </w:r>
    </w:p>
    <w:tbl>
      <w:tblPr>
        <w:tblW w:type="auto" w:w="0"/>
        <w:jc w:val="center"/>
        <w:tblLayout w:type="autofit"/>
        <w:tblLook w:firstColumn="1" w:firstRow="1" w:lastColumn="0" w:lastRow="0" w:noHBand="0" w:noVBand="1" w:val="04A0"/>
      </w:tblPr>
      <w:tblGrid>
        <w:gridCol w:w="9922"/>
      </w:tblGrid>
      <w:tr>
        <w:tc>
          <w:tcPr>
            <w:tcW w:type="dxa" w:w="9922"/>
            <w:shd w:fill="F2F2F2"/>
            <w:tcMar>
              <w:top w:w="120" w:type="dxa"/>
              <w:start w:w="140" w:type="dxa"/>
              <w:bottom w:w="120" w:type="dxa"/>
              <w:end w:w="140" w:type="dxa"/>
            </w:tcMar>
          </w:tcPr>
          <w:p>
            <w:pPr>
              <w:spacing w:after="0"/>
            </w:pPr>
            <w:r>
              <w:rPr>
                <w:rFonts w:ascii="Consolas" w:hAnsi="Consolas"/>
                <w:sz w:val="16"/>
              </w:rPr>
              <w:t>possible_values = rows * feature_count</w:t>
              <w:br/>
            </w:r>
            <w:r>
              <w:rPr>
                <w:rFonts w:ascii="Consolas" w:hAnsi="Consolas"/>
                <w:sz w:val="16"/>
              </w:rPr>
              <w:t>completeness_pct = observed_values / possible_values * 100</w:t>
              <w:br/>
            </w:r>
          </w:p>
        </w:tc>
      </w:tr>
    </w:tbl>
    <w:p>
      <w:pPr>
        <w:spacing w:after="100" w:line="254" w:lineRule="auto"/>
      </w:pPr>
      <w:r>
        <w:t>Completeness ranges from effectively zero for several categorical station groups to about 94.65% for the date and numeric groups at L3_S37. The variation confirms that missingness reflects routing and measurement availability at specific stations, not one uniform data-quality mechanism.</w:t>
      </w:r>
    </w:p>
    <w:p>
      <w:pPr>
        <w:pStyle w:val="Heading2"/>
        <w:spacing w:after="100" w:line="254" w:lineRule="auto"/>
      </w:pPr>
      <w:r>
        <w:t>Manufacturing-flow datasets</w:t>
      </w:r>
    </w:p>
    <w:p>
      <w:pPr>
        <w:spacing w:after="100" w:line="254" w:lineRule="auto"/>
      </w:pPr>
      <w:r>
        <w:t>Date features are used as route evidence: if any date feature at a station is observed for a product, present_Lx_Sy is set to 1. Station indicators are then aggregated into line-presence flags and product-level flow descriptors.</w:t>
      </w:r>
    </w:p>
    <w:tbl>
      <w:tblPr>
        <w:tblStyle w:val="TableGrid"/>
        <w:tblW w:type="auto" w:w="0"/>
        <w:jc w:val="center"/>
        <w:tblLook w:firstColumn="1" w:firstRow="1" w:lastColumn="0" w:lastRow="0" w:noHBand="0" w:noVBand="1" w:val="04A0"/>
      </w:tblPr>
      <w:tblGrid>
        <w:gridCol w:w="4961"/>
        <w:gridCol w:w="4961"/>
      </w:tblGrid>
      <w:tr>
        <w:trPr>
          <w:tblHeader w:val="true"/>
        </w:trPr>
        <w:tc>
          <w:tcPr>
            <w:tcW w:type="dxa" w:w="4961"/>
            <w:shd w:fill="17365D"/>
            <w:vAlign w:val="center"/>
            <w:tcMar>
              <w:top w:w="90" w:type="dxa"/>
              <w:start w:w="80" w:type="dxa"/>
              <w:bottom w:w="90" w:type="dxa"/>
              <w:end w:w="80" w:type="dxa"/>
            </w:tcMar>
          </w:tcPr>
          <w:p>
            <w:pPr>
              <w:spacing w:after="0"/>
              <w:jc w:val="center"/>
            </w:pPr>
            <w:r>
              <w:rPr>
                <w:b/>
                <w:color w:val="FFFFFF"/>
                <w:sz w:val="17"/>
              </w:rPr>
              <w:t>Field group</w:t>
            </w:r>
          </w:p>
        </w:tc>
        <w:tc>
          <w:tcPr>
            <w:tcW w:type="dxa" w:w="4961"/>
            <w:shd w:fill="17365D"/>
            <w:vAlign w:val="center"/>
            <w:tcMar>
              <w:top w:w="90" w:type="dxa"/>
              <w:start w:w="80" w:type="dxa"/>
              <w:bottom w:w="90" w:type="dxa"/>
              <w:end w:w="80" w:type="dxa"/>
            </w:tcMar>
          </w:tcPr>
          <w:p>
            <w:pPr>
              <w:spacing w:after="0"/>
              <w:jc w:val="center"/>
            </w:pPr>
            <w:r>
              <w:rPr>
                <w:b/>
                <w:color w:val="FFFFFF"/>
                <w:sz w:val="17"/>
              </w:rPr>
              <w:t>Meaning</w:t>
            </w:r>
          </w:p>
        </w:tc>
      </w:tr>
      <w:tr>
        <w:tc>
          <w:tcPr>
            <w:tcW w:type="dxa" w:w="4961"/>
            <w:tcMar>
              <w:top w:w="70" w:type="dxa"/>
              <w:start w:w="80" w:type="dxa"/>
              <w:bottom w:w="70" w:type="dxa"/>
              <w:end w:w="80" w:type="dxa"/>
            </w:tcMar>
            <w:vAlign w:val="center"/>
          </w:tcPr>
          <w:p>
            <w:pPr>
              <w:spacing w:after="0" w:line="240" w:lineRule="auto"/>
            </w:pPr>
            <w:r>
              <w:rPr>
                <w:sz w:val="17"/>
              </w:rPr>
              <w:t>Id / Response</w:t>
            </w:r>
          </w:p>
        </w:tc>
        <w:tc>
          <w:tcPr>
            <w:tcW w:type="dxa" w:w="4961"/>
            <w:tcMar>
              <w:top w:w="70" w:type="dxa"/>
              <w:start w:w="80" w:type="dxa"/>
              <w:bottom w:w="70" w:type="dxa"/>
              <w:end w:w="80" w:type="dxa"/>
            </w:tcMar>
            <w:vAlign w:val="center"/>
          </w:tcPr>
          <w:p>
            <w:pPr>
              <w:spacing w:after="0" w:line="240" w:lineRule="auto"/>
            </w:pPr>
            <w:r>
              <w:rPr>
                <w:sz w:val="17"/>
              </w:rPr>
              <w:t>Product identifier; target is present only for training.</w:t>
            </w:r>
          </w:p>
        </w:tc>
      </w:tr>
      <w:tr>
        <w:tc>
          <w:tcPr>
            <w:tcW w:type="dxa" w:w="4961"/>
            <w:shd w:fill="F5F7F9"/>
            <w:tcMar>
              <w:top w:w="70" w:type="dxa"/>
              <w:start w:w="80" w:type="dxa"/>
              <w:bottom w:w="70" w:type="dxa"/>
              <w:end w:w="80" w:type="dxa"/>
            </w:tcMar>
            <w:vAlign w:val="center"/>
          </w:tcPr>
          <w:p>
            <w:pPr>
              <w:spacing w:after="0" w:line="240" w:lineRule="auto"/>
            </w:pPr>
            <w:r>
              <w:rPr>
                <w:sz w:val="17"/>
              </w:rPr>
              <w:t>present_Lx_Sy</w:t>
            </w:r>
          </w:p>
        </w:tc>
        <w:tc>
          <w:tcPr>
            <w:tcW w:type="dxa" w:w="4961"/>
            <w:shd w:fill="F5F7F9"/>
            <w:tcMar>
              <w:top w:w="70" w:type="dxa"/>
              <w:start w:w="80" w:type="dxa"/>
              <w:bottom w:w="70" w:type="dxa"/>
              <w:end w:w="80" w:type="dxa"/>
            </w:tcMar>
            <w:vAlign w:val="center"/>
          </w:tcPr>
          <w:p>
            <w:pPr>
              <w:spacing w:after="0" w:line="240" w:lineRule="auto"/>
            </w:pPr>
            <w:r>
              <w:rPr>
                <w:sz w:val="17"/>
              </w:rPr>
              <w:t>52 binary station-presence indicators.</w:t>
            </w:r>
          </w:p>
        </w:tc>
      </w:tr>
      <w:tr>
        <w:tc>
          <w:tcPr>
            <w:tcW w:type="dxa" w:w="4961"/>
            <w:tcMar>
              <w:top w:w="70" w:type="dxa"/>
              <w:start w:w="80" w:type="dxa"/>
              <w:bottom w:w="70" w:type="dxa"/>
              <w:end w:w="80" w:type="dxa"/>
            </w:tcMar>
            <w:vAlign w:val="center"/>
          </w:tcPr>
          <w:p>
            <w:pPr>
              <w:spacing w:after="0" w:line="240" w:lineRule="auto"/>
            </w:pPr>
            <w:r>
              <w:rPr>
                <w:sz w:val="17"/>
              </w:rPr>
              <w:t>line_n_present</w:t>
            </w:r>
          </w:p>
        </w:tc>
        <w:tc>
          <w:tcPr>
            <w:tcW w:type="dxa" w:w="4961"/>
            <w:tcMar>
              <w:top w:w="70" w:type="dxa"/>
              <w:start w:w="80" w:type="dxa"/>
              <w:bottom w:w="70" w:type="dxa"/>
              <w:end w:w="80" w:type="dxa"/>
            </w:tcMar>
            <w:vAlign w:val="center"/>
          </w:tcPr>
          <w:p>
            <w:pPr>
              <w:spacing w:after="0" w:line="240" w:lineRule="auto"/>
            </w:pPr>
            <w:r>
              <w:rPr>
                <w:sz w:val="17"/>
              </w:rPr>
              <w:t>Four production-line presence indicators.</w:t>
            </w:r>
          </w:p>
        </w:tc>
      </w:tr>
      <w:tr>
        <w:tc>
          <w:tcPr>
            <w:tcW w:type="dxa" w:w="4961"/>
            <w:shd w:fill="F5F7F9"/>
            <w:tcMar>
              <w:top w:w="70" w:type="dxa"/>
              <w:start w:w="80" w:type="dxa"/>
              <w:bottom w:w="70" w:type="dxa"/>
              <w:end w:w="80" w:type="dxa"/>
            </w:tcMar>
            <w:vAlign w:val="center"/>
          </w:tcPr>
          <w:p>
            <w:pPr>
              <w:spacing w:after="0" w:line="240" w:lineRule="auto"/>
            </w:pPr>
            <w:r>
              <w:rPr>
                <w:sz w:val="17"/>
              </w:rPr>
              <w:t>station_count / line_count</w:t>
            </w:r>
          </w:p>
        </w:tc>
        <w:tc>
          <w:tcPr>
            <w:tcW w:type="dxa" w:w="4961"/>
            <w:shd w:fill="F5F7F9"/>
            <w:tcMar>
              <w:top w:w="70" w:type="dxa"/>
              <w:start w:w="80" w:type="dxa"/>
              <w:bottom w:w="70" w:type="dxa"/>
              <w:end w:w="80" w:type="dxa"/>
            </w:tcMar>
            <w:vAlign w:val="center"/>
          </w:tcPr>
          <w:p>
            <w:pPr>
              <w:spacing w:after="0" w:line="240" w:lineRule="auto"/>
            </w:pPr>
            <w:r>
              <w:rPr>
                <w:sz w:val="17"/>
              </w:rPr>
              <w:t>Breadth of the observed route.</w:t>
            </w:r>
          </w:p>
        </w:tc>
      </w:tr>
      <w:tr>
        <w:tc>
          <w:tcPr>
            <w:tcW w:type="dxa" w:w="4961"/>
            <w:tcMar>
              <w:top w:w="70" w:type="dxa"/>
              <w:start w:w="80" w:type="dxa"/>
              <w:bottom w:w="70" w:type="dxa"/>
              <w:end w:w="80" w:type="dxa"/>
            </w:tcMar>
            <w:vAlign w:val="center"/>
          </w:tcPr>
          <w:p>
            <w:pPr>
              <w:spacing w:after="0" w:line="240" w:lineRule="auto"/>
            </w:pPr>
            <w:r>
              <w:rPr>
                <w:sz w:val="17"/>
              </w:rPr>
              <w:t>first_station / last_station</w:t>
            </w:r>
          </w:p>
        </w:tc>
        <w:tc>
          <w:tcPr>
            <w:tcW w:type="dxa" w:w="4961"/>
            <w:tcMar>
              <w:top w:w="70" w:type="dxa"/>
              <w:start w:w="80" w:type="dxa"/>
              <w:bottom w:w="70" w:type="dxa"/>
              <w:end w:w="80" w:type="dxa"/>
            </w:tcMar>
            <w:vAlign w:val="center"/>
          </w:tcPr>
          <w:p>
            <w:pPr>
              <w:spacing w:after="0" w:line="240" w:lineRule="auto"/>
            </w:pPr>
            <w:r>
              <w:rPr>
                <w:sz w:val="17"/>
              </w:rPr>
              <w:t>Minimum and maximum observed station numbers.</w:t>
            </w:r>
          </w:p>
        </w:tc>
      </w:tr>
      <w:tr>
        <w:tc>
          <w:tcPr>
            <w:tcW w:type="dxa" w:w="4961"/>
            <w:shd w:fill="F5F7F9"/>
            <w:tcMar>
              <w:top w:w="70" w:type="dxa"/>
              <w:start w:w="80" w:type="dxa"/>
              <w:bottom w:w="70" w:type="dxa"/>
              <w:end w:w="80" w:type="dxa"/>
            </w:tcMar>
            <w:vAlign w:val="center"/>
          </w:tcPr>
          <w:p>
            <w:pPr>
              <w:spacing w:after="0" w:line="240" w:lineRule="auto"/>
            </w:pPr>
            <w:r>
              <w:rPr>
                <w:sz w:val="17"/>
              </w:rPr>
              <w:t>observed / possible date values</w:t>
            </w:r>
          </w:p>
        </w:tc>
        <w:tc>
          <w:tcPr>
            <w:tcW w:type="dxa" w:w="4961"/>
            <w:shd w:fill="F5F7F9"/>
            <w:tcMar>
              <w:top w:w="70" w:type="dxa"/>
              <w:start w:w="80" w:type="dxa"/>
              <w:bottom w:w="70" w:type="dxa"/>
              <w:end w:w="80" w:type="dxa"/>
            </w:tcMar>
            <w:vAlign w:val="center"/>
          </w:tcPr>
          <w:p>
            <w:pPr>
              <w:spacing w:after="0" w:line="240" w:lineRule="auto"/>
            </w:pPr>
            <w:r>
              <w:rPr>
                <w:sz w:val="17"/>
              </w:rPr>
              <w:t>Coverage counts.</w:t>
            </w:r>
          </w:p>
        </w:tc>
      </w:tr>
      <w:tr>
        <w:tc>
          <w:tcPr>
            <w:tcW w:type="dxa" w:w="4961"/>
            <w:tcMar>
              <w:top w:w="70" w:type="dxa"/>
              <w:start w:w="80" w:type="dxa"/>
              <w:bottom w:w="70" w:type="dxa"/>
              <w:end w:w="80" w:type="dxa"/>
            </w:tcMar>
            <w:vAlign w:val="center"/>
          </w:tcPr>
          <w:p>
            <w:pPr>
              <w:spacing w:after="0" w:line="240" w:lineRule="auto"/>
            </w:pPr>
            <w:r>
              <w:rPr>
                <w:sz w:val="17"/>
              </w:rPr>
              <w:t>date_completeness_pct</w:t>
            </w:r>
          </w:p>
        </w:tc>
        <w:tc>
          <w:tcPr>
            <w:tcW w:type="dxa" w:w="4961"/>
            <w:tcMar>
              <w:top w:w="70" w:type="dxa"/>
              <w:start w:w="80" w:type="dxa"/>
              <w:bottom w:w="70" w:type="dxa"/>
              <w:end w:w="80" w:type="dxa"/>
            </w:tcMar>
            <w:vAlign w:val="center"/>
          </w:tcPr>
          <w:p>
            <w:pPr>
              <w:spacing w:after="0" w:line="240" w:lineRule="auto"/>
            </w:pPr>
            <w:r>
              <w:rPr>
                <w:sz w:val="17"/>
              </w:rPr>
              <w:t>Product-level date-feature completeness.</w:t>
            </w:r>
          </w:p>
        </w:tc>
      </w:tr>
    </w:tbl>
    <w:p>
      <w:pPr>
        <w:spacing w:after="0"/>
      </w:pPr>
    </w:p>
    <w:p>
      <w:pPr>
        <w:spacing w:after="100" w:line="254" w:lineRule="auto"/>
      </w:pPr>
      <w:r>
        <w:t>The writer processes 20,000-row chunks and appends PyArrow tables to Snappy-compressed Parquet. Train and test outputs contain approximately 1.18 million products; the train schema has 65 columns including Response, while the test schema has 64.</w:t>
      </w:r>
    </w:p>
    <w:tbl>
      <w:tblPr>
        <w:tblW w:type="auto" w:w="0"/>
        <w:jc w:val="center"/>
        <w:tblLook w:firstColumn="1" w:firstRow="1" w:lastColumn="0" w:lastRow="0" w:noHBand="0" w:noVBand="1" w:val="04A0"/>
      </w:tblPr>
      <w:tblGrid>
        <w:gridCol w:w="9922"/>
      </w:tblGrid>
      <w:tr>
        <w:tc>
          <w:tcPr>
            <w:tcW w:type="dxa" w:w="9922"/>
            <w:shd w:fill="FFF2CC"/>
            <w:tcMar>
              <w:top w:w="110" w:type="dxa"/>
              <w:start w:w="140" w:type="dxa"/>
              <w:bottom w:w="110" w:type="dxa"/>
              <w:end w:w="140" w:type="dxa"/>
            </w:tcMar>
          </w:tcPr>
          <w:p>
            <w:pPr>
              <w:spacing w:after="0"/>
            </w:pPr>
            <w:r>
              <w:rPr>
                <w:b/>
                <w:color w:val="17365D"/>
              </w:rPr>
              <w:t xml:space="preserve">Integrity check: </w:t>
            </w:r>
            <w:r>
              <w:t>Before Response is joined, the implementation verifies that Id order in train_date.csv exactly matches train_numeric.csv. A mismatch raises an exception instead of silently corrupting the target.</w:t>
            </w:r>
          </w:p>
        </w:tc>
      </w:tr>
    </w:tbl>
    <w:p>
      <w:pPr>
        <w:spacing w:after="0"/>
      </w:pPr>
    </w:p>
    <w:p>
      <w:pPr>
        <w:pStyle w:val="Heading2"/>
        <w:spacing w:after="100" w:line="254" w:lineRule="auto"/>
      </w:pPr>
      <w:r>
        <w:t>Engineering decisions and limitations</w:t>
      </w:r>
    </w:p>
    <w:p>
      <w:pPr>
        <w:pStyle w:val="ListBullet"/>
        <w:spacing w:after="50" w:line="245" w:lineRule="auto"/>
      </w:pPr>
      <w:r>
        <w:t>Anonymous IDs are preserved; metadata adds context without pretending to know sensor names or operations.</w:t>
      </w:r>
    </w:p>
    <w:p>
      <w:pPr>
        <w:pStyle w:val="ListBullet"/>
        <w:spacing w:after="50" w:line="245" w:lineRule="auto"/>
      </w:pPr>
      <w:r>
        <w:t>Station presence is inferred from date observations because those values provide the clearest evidence that the product appeared at a station.</w:t>
      </w:r>
    </w:p>
    <w:p>
      <w:pPr>
        <w:pStyle w:val="ListBullet"/>
        <w:spacing w:after="50" w:line="245" w:lineRule="auto"/>
      </w:pPr>
      <w:r>
        <w:t>First and last station are based on anonymized station numbers, not a guaranteed physical route order.</w:t>
      </w:r>
    </w:p>
    <w:p>
      <w:pPr>
        <w:pStyle w:val="ListBullet"/>
        <w:spacing w:after="50" w:line="245" w:lineRule="auto"/>
      </w:pPr>
      <w:r>
        <w:t>Parquet is used for compact typed storage and downstream analytical reads; CSV remains appropriate for small metadata tables.</w:t>
      </w:r>
    </w:p>
    <w:p>
      <w:pPr>
        <w:pStyle w:val="Heading2"/>
        <w:spacing w:after="100" w:line="254" w:lineRule="auto"/>
      </w:pPr>
      <w:r>
        <w:t>Outputs</w:t>
      </w:r>
    </w:p>
    <w:tbl>
      <w:tblPr>
        <w:tblStyle w:val="TableGrid"/>
        <w:tblW w:type="auto" w:w="0"/>
        <w:jc w:val="center"/>
        <w:tblLook w:firstColumn="1" w:firstRow="1" w:lastColumn="0" w:lastRow="0" w:noHBand="0" w:noVBand="1" w:val="04A0"/>
      </w:tblPr>
      <w:tblGrid>
        <w:gridCol w:w="4961"/>
        <w:gridCol w:w="4961"/>
      </w:tblGrid>
      <w:tr>
        <w:trPr>
          <w:tblHeader w:val="true"/>
        </w:trPr>
        <w:tc>
          <w:tcPr>
            <w:tcW w:type="dxa" w:w="4961"/>
            <w:shd w:fill="17365D"/>
            <w:vAlign w:val="center"/>
            <w:tcMar>
              <w:top w:w="90" w:type="dxa"/>
              <w:start w:w="80" w:type="dxa"/>
              <w:bottom w:w="90" w:type="dxa"/>
              <w:end w:w="80" w:type="dxa"/>
            </w:tcMar>
          </w:tcPr>
          <w:p>
            <w:pPr>
              <w:spacing w:after="0"/>
              <w:jc w:val="center"/>
            </w:pPr>
            <w:r>
              <w:rPr>
                <w:b/>
                <w:color w:val="FFFFFF"/>
                <w:sz w:val="16"/>
              </w:rPr>
              <w:t>Artifact group</w:t>
            </w:r>
          </w:p>
        </w:tc>
        <w:tc>
          <w:tcPr>
            <w:tcW w:type="dxa" w:w="4961"/>
            <w:shd w:fill="17365D"/>
            <w:vAlign w:val="center"/>
            <w:tcMar>
              <w:top w:w="90" w:type="dxa"/>
              <w:start w:w="80" w:type="dxa"/>
              <w:bottom w:w="90" w:type="dxa"/>
              <w:end w:w="80" w:type="dxa"/>
            </w:tcMar>
          </w:tcPr>
          <w:p>
            <w:pPr>
              <w:spacing w:after="0"/>
              <w:jc w:val="center"/>
            </w:pPr>
            <w:r>
              <w:rPr>
                <w:b/>
                <w:color w:val="FFFFFF"/>
                <w:sz w:val="16"/>
              </w:rPr>
              <w:t>Files</w:t>
            </w:r>
          </w:p>
        </w:tc>
      </w:tr>
      <w:tr>
        <w:tc>
          <w:tcPr>
            <w:tcW w:type="dxa" w:w="4961"/>
            <w:tcMar>
              <w:top w:w="70" w:type="dxa"/>
              <w:start w:w="80" w:type="dxa"/>
              <w:bottom w:w="70" w:type="dxa"/>
              <w:end w:w="80" w:type="dxa"/>
            </w:tcMar>
            <w:vAlign w:val="center"/>
          </w:tcPr>
          <w:p>
            <w:pPr>
              <w:spacing w:after="0" w:line="240" w:lineRule="auto"/>
            </w:pPr>
            <w:r>
              <w:rPr>
                <w:sz w:val="16"/>
              </w:rPr>
              <w:t>Metadata</w:t>
            </w:r>
          </w:p>
        </w:tc>
        <w:tc>
          <w:tcPr>
            <w:tcW w:type="dxa" w:w="4961"/>
            <w:tcMar>
              <w:top w:w="70" w:type="dxa"/>
              <w:start w:w="80" w:type="dxa"/>
              <w:bottom w:w="70" w:type="dxa"/>
              <w:end w:w="80" w:type="dxa"/>
            </w:tcMar>
            <w:vAlign w:val="center"/>
          </w:tcPr>
          <w:p>
            <w:pPr>
              <w:spacing w:after="0" w:line="240" w:lineRule="auto"/>
            </w:pPr>
            <w:r>
              <w:rPr>
                <w:sz w:val="16"/>
              </w:rPr>
              <w:t>phase2_feature_metadata.csv; phase2_station_metadata.csv; phase2_line_metadata.csv</w:t>
            </w:r>
          </w:p>
        </w:tc>
      </w:tr>
      <w:tr>
        <w:tc>
          <w:tcPr>
            <w:tcW w:type="dxa" w:w="4961"/>
            <w:shd w:fill="F5F7F9"/>
            <w:tcMar>
              <w:top w:w="70" w:type="dxa"/>
              <w:start w:w="80" w:type="dxa"/>
              <w:bottom w:w="70" w:type="dxa"/>
              <w:end w:w="80" w:type="dxa"/>
            </w:tcMar>
            <w:vAlign w:val="center"/>
          </w:tcPr>
          <w:p>
            <w:pPr>
              <w:spacing w:after="0" w:line="240" w:lineRule="auto"/>
            </w:pPr>
            <w:r>
              <w:rPr>
                <w:sz w:val="16"/>
              </w:rPr>
              <w:t>Completeness</w:t>
            </w:r>
          </w:p>
        </w:tc>
        <w:tc>
          <w:tcPr>
            <w:tcW w:type="dxa" w:w="4961"/>
            <w:shd w:fill="F5F7F9"/>
            <w:tcMar>
              <w:top w:w="70" w:type="dxa"/>
              <w:start w:w="80" w:type="dxa"/>
              <w:bottom w:w="70" w:type="dxa"/>
              <w:end w:w="80" w:type="dxa"/>
            </w:tcMar>
            <w:vAlign w:val="center"/>
          </w:tcPr>
          <w:p>
            <w:pPr>
              <w:spacing w:after="0" w:line="240" w:lineRule="auto"/>
            </w:pPr>
            <w:r>
              <w:rPr>
                <w:sz w:val="16"/>
              </w:rPr>
              <w:t>phase2_feature_completeness_metrics.csv; phase2_station_completeness_metrics.csv</w:t>
            </w:r>
          </w:p>
        </w:tc>
      </w:tr>
      <w:tr>
        <w:tc>
          <w:tcPr>
            <w:tcW w:type="dxa" w:w="4961"/>
            <w:tcMar>
              <w:top w:w="70" w:type="dxa"/>
              <w:start w:w="80" w:type="dxa"/>
              <w:bottom w:w="70" w:type="dxa"/>
              <w:end w:w="80" w:type="dxa"/>
            </w:tcMar>
            <w:vAlign w:val="center"/>
          </w:tcPr>
          <w:p>
            <w:pPr>
              <w:spacing w:after="0" w:line="240" w:lineRule="auto"/>
            </w:pPr>
            <w:r>
              <w:rPr>
                <w:sz w:val="16"/>
              </w:rPr>
              <w:t>Flow</w:t>
            </w:r>
          </w:p>
        </w:tc>
        <w:tc>
          <w:tcPr>
            <w:tcW w:type="dxa" w:w="4961"/>
            <w:tcMar>
              <w:top w:w="70" w:type="dxa"/>
              <w:start w:w="80" w:type="dxa"/>
              <w:bottom w:w="70" w:type="dxa"/>
              <w:end w:w="80" w:type="dxa"/>
            </w:tcMar>
            <w:vAlign w:val="center"/>
          </w:tcPr>
          <w:p>
            <w:pPr>
              <w:spacing w:after="0" w:line="240" w:lineRule="auto"/>
            </w:pPr>
            <w:r>
              <w:rPr>
                <w:sz w:val="16"/>
              </w:rPr>
              <w:t>manufacturing_flow_train.parquet; manufacturing_flow_test.parquet</w:t>
            </w:r>
          </w:p>
        </w:tc>
      </w:tr>
      <w:tr>
        <w:tc>
          <w:tcPr>
            <w:tcW w:type="dxa" w:w="4961"/>
            <w:shd w:fill="F5F7F9"/>
            <w:tcMar>
              <w:top w:w="70" w:type="dxa"/>
              <w:start w:w="80" w:type="dxa"/>
              <w:bottom w:w="70" w:type="dxa"/>
              <w:end w:w="80" w:type="dxa"/>
            </w:tcMar>
            <w:vAlign w:val="center"/>
          </w:tcPr>
          <w:p>
            <w:pPr>
              <w:spacing w:after="0" w:line="240" w:lineRule="auto"/>
            </w:pPr>
            <w:r>
              <w:rPr>
                <w:sz w:val="16"/>
              </w:rPr>
              <w:t>Report</w:t>
            </w:r>
          </w:p>
        </w:tc>
        <w:tc>
          <w:tcPr>
            <w:tcW w:type="dxa" w:w="4961"/>
            <w:shd w:fill="F5F7F9"/>
            <w:tcMar>
              <w:top w:w="70" w:type="dxa"/>
              <w:start w:w="80" w:type="dxa"/>
              <w:bottom w:w="70" w:type="dxa"/>
              <w:end w:w="80" w:type="dxa"/>
            </w:tcMar>
            <w:vAlign w:val="center"/>
          </w:tcPr>
          <w:p>
            <w:pPr>
              <w:spacing w:after="0" w:line="240" w:lineRule="auto"/>
            </w:pPr>
            <w:r>
              <w:rPr>
                <w:sz w:val="16"/>
              </w:rPr>
              <w:t>phase2_data_understanding_engineering_report.md</w:t>
            </w:r>
          </w:p>
        </w:tc>
      </w:tr>
    </w:tbl>
    <w:p>
      <w:pPr>
        <w:spacing w:after="0"/>
      </w:pPr>
    </w:p>
    <w:p>
      <w:pPr>
        <w:pStyle w:val="Heading2"/>
        <w:spacing w:after="100" w:line="254" w:lineRule="auto"/>
      </w:pPr>
      <w:r>
        <w:t>Chapter checkpoint</w:t>
      </w:r>
    </w:p>
    <w:p>
      <w:pPr>
        <w:pStyle w:val="ListBullet"/>
        <w:spacing w:after="50" w:line="245" w:lineRule="auto"/>
      </w:pPr>
      <w:r>
        <w:t>The anonymous feature space now has a machine-readable line–station hierarchy.</w:t>
      </w:r>
    </w:p>
    <w:p>
      <w:pPr>
        <w:pStyle w:val="ListBullet"/>
        <w:spacing w:after="50" w:line="245" w:lineRule="auto"/>
      </w:pPr>
      <w:r>
        <w:t>Completeness is available at column and station/data-type levels for train and test.</w:t>
      </w:r>
    </w:p>
    <w:p>
      <w:pPr>
        <w:pStyle w:val="ListBullet"/>
        <w:spacing w:after="50" w:line="245" w:lineRule="auto"/>
      </w:pPr>
      <w:r>
        <w:t>The route representation is compact enough for later clustering, EDA and modelling.</w:t>
      </w:r>
    </w:p>
    <w:p>
      <w:pPr>
        <w:pStyle w:val="ListBullet"/>
        <w:spacing w:after="50" w:line="245" w:lineRule="auto"/>
      </w:pPr>
      <w:r>
        <w:t>The central assumption—date presence as station evidence—is documented and testable rather than hidden.</w:t>
      </w:r>
    </w:p>
    <w:p>
      <w:pPr>
        <w:spacing w:after="100" w:line="254" w:lineRule="auto"/>
      </w:pPr>
      <w:r>
        <w:t>Quick review: Why should L1 not be called the “longest” line simply because it owns the most features? How could station-presence inference be validated if plant event logs later became available?</w:t>
      </w:r>
    </w:p>
    <w:p>
      <w:r>
        <w:br w:type="page"/>
      </w:r>
    </w:p>
    <w:p>
      <w:pPr>
        <w:spacing w:after="40"/>
      </w:pPr>
      <w:r>
        <w:rPr>
          <w:b/>
          <w:color w:val="1F4E79"/>
          <w:sz w:val="22"/>
        </w:rPr>
        <w:t>CHAPTER 29</w:t>
      </w:r>
    </w:p>
    <w:p>
      <w:pPr>
        <w:pStyle w:val="Heading1"/>
        <w:spacing w:after="80"/>
      </w:pPr>
      <w:r>
        <w:t>Phase 3 — Exploratory Data Analysis</w:t>
      </w:r>
    </w:p>
    <w:p>
      <w:pPr>
        <w:spacing w:after="240"/>
      </w:pPr>
      <w:r>
        <w:rPr>
          <w:i/>
          <w:color w:val="595959"/>
          <w:sz w:val="22"/>
        </w:rPr>
        <w:t>Locating failure concentration across lines, stations, routes, relative time and categorical states</w:t>
      </w:r>
    </w:p>
    <w:p>
      <w:pPr>
        <w:pStyle w:val="Heading2"/>
        <w:spacing w:after="100" w:line="254" w:lineRule="auto"/>
      </w:pPr>
      <w:r>
        <w:t>Phase objective</w:t>
      </w:r>
    </w:p>
    <w:p>
      <w:pPr>
        <w:spacing w:after="100" w:line="254" w:lineRule="auto"/>
      </w:pPr>
      <w:r>
        <w:t>Phase 3 uses the raw train files and raw headers to develop evidence about failure risk. It deliberately rebuilds the required compact flow features instead of reading the Phase 2 Parquet file, making the EDA independently reproducible. The analysis covers line and station failure rates, high-risk ranking, common routes, relative-time bins, correlations, distributions and selected one-hot categorical levels.</w:t>
      </w:r>
    </w:p>
    <w:p>
      <w:pPr>
        <w:pStyle w:val="Heading2"/>
        <w:spacing w:after="100" w:line="254" w:lineRule="auto"/>
      </w:pPr>
      <w:r>
        <w:t>Class imbalance and analytical baseline</w:t>
      </w:r>
    </w:p>
    <w:p>
      <w:pPr>
        <w:spacing w:after="100" w:line="254" w:lineRule="auto"/>
      </w:pPr>
      <w:r>
        <w:t>The training set contains 6,879 failed products out of 1,183,747, an overall failure rate of 0.5811%. Because failures are rare, raw failure counts can mislead: a very common station may accumulate many failures while having only average risk. Phase 3 therefore reports failure rate, lift over the baseline and a volume-aware risk score.</w:t>
      </w:r>
    </w:p>
    <w:tbl>
      <w:tblPr>
        <w:tblW w:type="auto" w:w="0"/>
        <w:jc w:val="center"/>
        <w:tblLayout w:type="autofit"/>
        <w:tblLook w:firstColumn="1" w:firstRow="1" w:lastColumn="0" w:lastRow="0" w:noHBand="0" w:noVBand="1" w:val="04A0"/>
      </w:tblPr>
      <w:tblGrid>
        <w:gridCol w:w="9922"/>
      </w:tblGrid>
      <w:tr>
        <w:tc>
          <w:tcPr>
            <w:tcW w:type="dxa" w:w="9922"/>
            <w:shd w:fill="F2F2F2"/>
            <w:tcMar>
              <w:top w:w="120" w:type="dxa"/>
              <w:start w:w="140" w:type="dxa"/>
              <w:bottom w:w="120" w:type="dxa"/>
              <w:end w:w="140" w:type="dxa"/>
            </w:tcMar>
          </w:tcPr>
          <w:p>
            <w:pPr>
              <w:spacing w:after="0"/>
            </w:pPr>
            <w:r>
              <w:rPr>
                <w:rFonts w:ascii="Consolas" w:hAnsi="Consolas"/>
                <w:sz w:val="16"/>
              </w:rPr>
              <w:t>failure_rate_lift = station_failure_rate / overall_failure_rate</w:t>
              <w:br/>
            </w:r>
            <w:r>
              <w:rPr>
                <w:rFonts w:ascii="Consolas" w:hAnsi="Consolas"/>
                <w:sz w:val="16"/>
              </w:rPr>
              <w:t>risk_score = excess_failure_rate_pct * log10(part_count)</w:t>
              <w:br/>
            </w:r>
          </w:p>
        </w:tc>
      </w:tr>
    </w:tbl>
    <w:p>
      <w:pPr>
        <w:pStyle w:val="Heading2"/>
        <w:spacing w:after="100" w:line="254" w:lineRule="auto"/>
      </w:pPr>
      <w:r>
        <w:t>Line and station findings</w:t>
      </w:r>
    </w:p>
    <w:tbl>
      <w:tblPr>
        <w:tblStyle w:val="TableGrid"/>
        <w:tblW w:type="auto" w:w="0"/>
        <w:jc w:val="center"/>
        <w:tblLook w:firstColumn="1" w:firstRow="1" w:lastColumn="0" w:lastRow="0" w:noHBand="0" w:noVBand="1" w:val="04A0"/>
      </w:tblPr>
      <w:tblGrid>
        <w:gridCol w:w="1984"/>
        <w:gridCol w:w="1984"/>
        <w:gridCol w:w="1984"/>
        <w:gridCol w:w="1984"/>
        <w:gridCol w:w="1984"/>
      </w:tblGrid>
      <w:tr>
        <w:trPr>
          <w:tblHeader w:val="true"/>
        </w:trPr>
        <w:tc>
          <w:tcPr>
            <w:tcW w:type="dxa" w:w="1984"/>
            <w:shd w:fill="17365D"/>
            <w:vAlign w:val="center"/>
            <w:tcMar>
              <w:top w:w="90" w:type="dxa"/>
              <w:start w:w="80" w:type="dxa"/>
              <w:bottom w:w="90" w:type="dxa"/>
              <w:end w:w="80" w:type="dxa"/>
            </w:tcMar>
          </w:tcPr>
          <w:p>
            <w:pPr>
              <w:spacing w:after="0"/>
              <w:jc w:val="center"/>
            </w:pPr>
            <w:r>
              <w:rPr>
                <w:b/>
                <w:color w:val="FFFFFF"/>
                <w:sz w:val="17"/>
              </w:rPr>
              <w:t>Line</w:t>
            </w:r>
          </w:p>
        </w:tc>
        <w:tc>
          <w:tcPr>
            <w:tcW w:type="dxa" w:w="1984"/>
            <w:shd w:fill="17365D"/>
            <w:vAlign w:val="center"/>
            <w:tcMar>
              <w:top w:w="90" w:type="dxa"/>
              <w:start w:w="80" w:type="dxa"/>
              <w:bottom w:w="90" w:type="dxa"/>
              <w:end w:w="80" w:type="dxa"/>
            </w:tcMar>
          </w:tcPr>
          <w:p>
            <w:pPr>
              <w:spacing w:after="0"/>
              <w:jc w:val="center"/>
            </w:pPr>
            <w:r>
              <w:rPr>
                <w:b/>
                <w:color w:val="FFFFFF"/>
                <w:sz w:val="17"/>
              </w:rPr>
              <w:t>Products</w:t>
            </w:r>
          </w:p>
        </w:tc>
        <w:tc>
          <w:tcPr>
            <w:tcW w:type="dxa" w:w="1984"/>
            <w:shd w:fill="17365D"/>
            <w:vAlign w:val="center"/>
            <w:tcMar>
              <w:top w:w="90" w:type="dxa"/>
              <w:start w:w="80" w:type="dxa"/>
              <w:bottom w:w="90" w:type="dxa"/>
              <w:end w:w="80" w:type="dxa"/>
            </w:tcMar>
          </w:tcPr>
          <w:p>
            <w:pPr>
              <w:spacing w:after="0"/>
              <w:jc w:val="center"/>
            </w:pPr>
            <w:r>
              <w:rPr>
                <w:b/>
                <w:color w:val="FFFFFF"/>
                <w:sz w:val="17"/>
              </w:rPr>
              <w:t>Failures</w:t>
            </w:r>
          </w:p>
        </w:tc>
        <w:tc>
          <w:tcPr>
            <w:tcW w:type="dxa" w:w="1984"/>
            <w:shd w:fill="17365D"/>
            <w:vAlign w:val="center"/>
            <w:tcMar>
              <w:top w:w="90" w:type="dxa"/>
              <w:start w:w="80" w:type="dxa"/>
              <w:bottom w:w="90" w:type="dxa"/>
              <w:end w:w="80" w:type="dxa"/>
            </w:tcMar>
          </w:tcPr>
          <w:p>
            <w:pPr>
              <w:spacing w:after="0"/>
              <w:jc w:val="center"/>
            </w:pPr>
            <w:r>
              <w:rPr>
                <w:b/>
                <w:color w:val="FFFFFF"/>
                <w:sz w:val="17"/>
              </w:rPr>
              <w:t>Failure rate</w:t>
            </w:r>
          </w:p>
        </w:tc>
        <w:tc>
          <w:tcPr>
            <w:tcW w:type="dxa" w:w="1984"/>
            <w:shd w:fill="17365D"/>
            <w:vAlign w:val="center"/>
            <w:tcMar>
              <w:top w:w="90" w:type="dxa"/>
              <w:start w:w="80" w:type="dxa"/>
              <w:bottom w:w="90" w:type="dxa"/>
              <w:end w:w="80" w:type="dxa"/>
            </w:tcMar>
          </w:tcPr>
          <w:p>
            <w:pPr>
              <w:spacing w:after="0"/>
              <w:jc w:val="center"/>
            </w:pPr>
            <w:r>
              <w:rPr>
                <w:b/>
                <w:color w:val="FFFFFF"/>
                <w:sz w:val="17"/>
              </w:rPr>
              <w:t>Lift</w:t>
            </w:r>
          </w:p>
        </w:tc>
      </w:tr>
      <w:tr>
        <w:tc>
          <w:tcPr>
            <w:tcW w:type="dxa" w:w="1984"/>
            <w:tcMar>
              <w:top w:w="70" w:type="dxa"/>
              <w:start w:w="80" w:type="dxa"/>
              <w:bottom w:w="70" w:type="dxa"/>
              <w:end w:w="80" w:type="dxa"/>
            </w:tcMar>
            <w:vAlign w:val="center"/>
          </w:tcPr>
          <w:p>
            <w:pPr>
              <w:spacing w:after="0" w:line="240" w:lineRule="auto"/>
            </w:pPr>
            <w:r>
              <w:rPr>
                <w:sz w:val="17"/>
              </w:rPr>
              <w:t>L1</w:t>
            </w:r>
          </w:p>
        </w:tc>
        <w:tc>
          <w:tcPr>
            <w:tcW w:type="dxa" w:w="1984"/>
            <w:tcMar>
              <w:top w:w="70" w:type="dxa"/>
              <w:start w:w="80" w:type="dxa"/>
              <w:bottom w:w="70" w:type="dxa"/>
              <w:end w:w="80" w:type="dxa"/>
            </w:tcMar>
            <w:vAlign w:val="center"/>
          </w:tcPr>
          <w:p>
            <w:pPr>
              <w:spacing w:after="0" w:line="240" w:lineRule="auto"/>
            </w:pPr>
            <w:r>
              <w:rPr>
                <w:sz w:val="17"/>
              </w:rPr>
              <w:t>267,273</w:t>
            </w:r>
          </w:p>
        </w:tc>
        <w:tc>
          <w:tcPr>
            <w:tcW w:type="dxa" w:w="1984"/>
            <w:tcMar>
              <w:top w:w="70" w:type="dxa"/>
              <w:start w:w="80" w:type="dxa"/>
              <w:bottom w:w="70" w:type="dxa"/>
              <w:end w:w="80" w:type="dxa"/>
            </w:tcMar>
            <w:vAlign w:val="center"/>
          </w:tcPr>
          <w:p>
            <w:pPr>
              <w:spacing w:after="0" w:line="240" w:lineRule="auto"/>
            </w:pPr>
            <w:r>
              <w:rPr>
                <w:sz w:val="17"/>
              </w:rPr>
              <w:t>1,940</w:t>
            </w:r>
          </w:p>
        </w:tc>
        <w:tc>
          <w:tcPr>
            <w:tcW w:type="dxa" w:w="1984"/>
            <w:tcMar>
              <w:top w:w="70" w:type="dxa"/>
              <w:start w:w="80" w:type="dxa"/>
              <w:bottom w:w="70" w:type="dxa"/>
              <w:end w:w="80" w:type="dxa"/>
            </w:tcMar>
            <w:vAlign w:val="center"/>
          </w:tcPr>
          <w:p>
            <w:pPr>
              <w:spacing w:after="0" w:line="240" w:lineRule="auto"/>
            </w:pPr>
            <w:r>
              <w:rPr>
                <w:sz w:val="17"/>
              </w:rPr>
              <w:t>0.7259%</w:t>
            </w:r>
          </w:p>
        </w:tc>
        <w:tc>
          <w:tcPr>
            <w:tcW w:type="dxa" w:w="1984"/>
            <w:tcMar>
              <w:top w:w="70" w:type="dxa"/>
              <w:start w:w="80" w:type="dxa"/>
              <w:bottom w:w="70" w:type="dxa"/>
              <w:end w:w="80" w:type="dxa"/>
            </w:tcMar>
            <w:vAlign w:val="center"/>
          </w:tcPr>
          <w:p>
            <w:pPr>
              <w:spacing w:after="0" w:line="240" w:lineRule="auto"/>
            </w:pPr>
            <w:r>
              <w:rPr>
                <w:sz w:val="17"/>
              </w:rPr>
              <w:t>1.249×</w:t>
            </w:r>
          </w:p>
        </w:tc>
      </w:tr>
      <w:tr>
        <w:tc>
          <w:tcPr>
            <w:tcW w:type="dxa" w:w="1984"/>
            <w:shd w:fill="F5F7F9"/>
            <w:tcMar>
              <w:top w:w="70" w:type="dxa"/>
              <w:start w:w="80" w:type="dxa"/>
              <w:bottom w:w="70" w:type="dxa"/>
              <w:end w:w="80" w:type="dxa"/>
            </w:tcMar>
            <w:vAlign w:val="center"/>
          </w:tcPr>
          <w:p>
            <w:pPr>
              <w:spacing w:after="0" w:line="240" w:lineRule="auto"/>
            </w:pPr>
            <w:r>
              <w:rPr>
                <w:sz w:val="17"/>
              </w:rPr>
              <w:t>L2</w:t>
            </w:r>
          </w:p>
        </w:tc>
        <w:tc>
          <w:tcPr>
            <w:tcW w:type="dxa" w:w="1984"/>
            <w:shd w:fill="F5F7F9"/>
            <w:tcMar>
              <w:top w:w="70" w:type="dxa"/>
              <w:start w:w="80" w:type="dxa"/>
              <w:bottom w:w="70" w:type="dxa"/>
              <w:end w:w="80" w:type="dxa"/>
            </w:tcMar>
            <w:vAlign w:val="center"/>
          </w:tcPr>
          <w:p>
            <w:pPr>
              <w:spacing w:after="0" w:line="240" w:lineRule="auto"/>
            </w:pPr>
            <w:r>
              <w:rPr>
                <w:sz w:val="17"/>
              </w:rPr>
              <w:t>357,019</w:t>
            </w:r>
          </w:p>
        </w:tc>
        <w:tc>
          <w:tcPr>
            <w:tcW w:type="dxa" w:w="1984"/>
            <w:shd w:fill="F5F7F9"/>
            <w:tcMar>
              <w:top w:w="70" w:type="dxa"/>
              <w:start w:w="80" w:type="dxa"/>
              <w:bottom w:w="70" w:type="dxa"/>
              <w:end w:w="80" w:type="dxa"/>
            </w:tcMar>
            <w:vAlign w:val="center"/>
          </w:tcPr>
          <w:p>
            <w:pPr>
              <w:spacing w:after="0" w:line="240" w:lineRule="auto"/>
            </w:pPr>
            <w:r>
              <w:rPr>
                <w:sz w:val="17"/>
              </w:rPr>
              <w:t>2,575</w:t>
            </w:r>
          </w:p>
        </w:tc>
        <w:tc>
          <w:tcPr>
            <w:tcW w:type="dxa" w:w="1984"/>
            <w:shd w:fill="F5F7F9"/>
            <w:tcMar>
              <w:top w:w="70" w:type="dxa"/>
              <w:start w:w="80" w:type="dxa"/>
              <w:bottom w:w="70" w:type="dxa"/>
              <w:end w:w="80" w:type="dxa"/>
            </w:tcMar>
            <w:vAlign w:val="center"/>
          </w:tcPr>
          <w:p>
            <w:pPr>
              <w:spacing w:after="0" w:line="240" w:lineRule="auto"/>
            </w:pPr>
            <w:r>
              <w:rPr>
                <w:sz w:val="17"/>
              </w:rPr>
              <w:t>0.7213%</w:t>
            </w:r>
          </w:p>
        </w:tc>
        <w:tc>
          <w:tcPr>
            <w:tcW w:type="dxa" w:w="1984"/>
            <w:shd w:fill="F5F7F9"/>
            <w:tcMar>
              <w:top w:w="70" w:type="dxa"/>
              <w:start w:w="80" w:type="dxa"/>
              <w:bottom w:w="70" w:type="dxa"/>
              <w:end w:w="80" w:type="dxa"/>
            </w:tcMar>
            <w:vAlign w:val="center"/>
          </w:tcPr>
          <w:p>
            <w:pPr>
              <w:spacing w:after="0" w:line="240" w:lineRule="auto"/>
            </w:pPr>
            <w:r>
              <w:rPr>
                <w:sz w:val="17"/>
              </w:rPr>
              <w:t>1.241×</w:t>
            </w:r>
          </w:p>
        </w:tc>
      </w:tr>
      <w:tr>
        <w:tc>
          <w:tcPr>
            <w:tcW w:type="dxa" w:w="1984"/>
            <w:tcMar>
              <w:top w:w="70" w:type="dxa"/>
              <w:start w:w="80" w:type="dxa"/>
              <w:bottom w:w="70" w:type="dxa"/>
              <w:end w:w="80" w:type="dxa"/>
            </w:tcMar>
            <w:vAlign w:val="center"/>
          </w:tcPr>
          <w:p>
            <w:pPr>
              <w:spacing w:after="0" w:line="240" w:lineRule="auto"/>
            </w:pPr>
            <w:r>
              <w:rPr>
                <w:sz w:val="17"/>
              </w:rPr>
              <w:t>L3</w:t>
            </w:r>
          </w:p>
        </w:tc>
        <w:tc>
          <w:tcPr>
            <w:tcW w:type="dxa" w:w="1984"/>
            <w:tcMar>
              <w:top w:w="70" w:type="dxa"/>
              <w:start w:w="80" w:type="dxa"/>
              <w:bottom w:w="70" w:type="dxa"/>
              <w:end w:w="80" w:type="dxa"/>
            </w:tcMar>
            <w:vAlign w:val="center"/>
          </w:tcPr>
          <w:p>
            <w:pPr>
              <w:spacing w:after="0" w:line="240" w:lineRule="auto"/>
            </w:pPr>
            <w:r>
              <w:rPr>
                <w:sz w:val="17"/>
              </w:rPr>
              <w:t>1,183,159</w:t>
            </w:r>
          </w:p>
        </w:tc>
        <w:tc>
          <w:tcPr>
            <w:tcW w:type="dxa" w:w="1984"/>
            <w:tcMar>
              <w:top w:w="70" w:type="dxa"/>
              <w:start w:w="80" w:type="dxa"/>
              <w:bottom w:w="70" w:type="dxa"/>
              <w:end w:w="80" w:type="dxa"/>
            </w:tcMar>
            <w:vAlign w:val="center"/>
          </w:tcPr>
          <w:p>
            <w:pPr>
              <w:spacing w:after="0" w:line="240" w:lineRule="auto"/>
            </w:pPr>
            <w:r>
              <w:rPr>
                <w:sz w:val="17"/>
              </w:rPr>
              <w:t>6,875</w:t>
            </w:r>
          </w:p>
        </w:tc>
        <w:tc>
          <w:tcPr>
            <w:tcW w:type="dxa" w:w="1984"/>
            <w:tcMar>
              <w:top w:w="70" w:type="dxa"/>
              <w:start w:w="80" w:type="dxa"/>
              <w:bottom w:w="70" w:type="dxa"/>
              <w:end w:w="80" w:type="dxa"/>
            </w:tcMar>
            <w:vAlign w:val="center"/>
          </w:tcPr>
          <w:p>
            <w:pPr>
              <w:spacing w:after="0" w:line="240" w:lineRule="auto"/>
            </w:pPr>
            <w:r>
              <w:rPr>
                <w:sz w:val="17"/>
              </w:rPr>
              <w:t>0.5811%</w:t>
            </w:r>
          </w:p>
        </w:tc>
        <w:tc>
          <w:tcPr>
            <w:tcW w:type="dxa" w:w="1984"/>
            <w:tcMar>
              <w:top w:w="70" w:type="dxa"/>
              <w:start w:w="80" w:type="dxa"/>
              <w:bottom w:w="70" w:type="dxa"/>
              <w:end w:w="80" w:type="dxa"/>
            </w:tcMar>
            <w:vAlign w:val="center"/>
          </w:tcPr>
          <w:p>
            <w:pPr>
              <w:spacing w:after="0" w:line="240" w:lineRule="auto"/>
            </w:pPr>
            <w:r>
              <w:rPr>
                <w:sz w:val="17"/>
              </w:rPr>
              <w:t>1.000×</w:t>
            </w:r>
          </w:p>
        </w:tc>
      </w:tr>
      <w:tr>
        <w:tc>
          <w:tcPr>
            <w:tcW w:type="dxa" w:w="1984"/>
            <w:shd w:fill="F5F7F9"/>
            <w:tcMar>
              <w:top w:w="70" w:type="dxa"/>
              <w:start w:w="80" w:type="dxa"/>
              <w:bottom w:w="70" w:type="dxa"/>
              <w:end w:w="80" w:type="dxa"/>
            </w:tcMar>
            <w:vAlign w:val="center"/>
          </w:tcPr>
          <w:p>
            <w:pPr>
              <w:spacing w:after="0" w:line="240" w:lineRule="auto"/>
            </w:pPr>
            <w:r>
              <w:rPr>
                <w:sz w:val="17"/>
              </w:rPr>
              <w:t>L0</w:t>
            </w:r>
          </w:p>
        </w:tc>
        <w:tc>
          <w:tcPr>
            <w:tcW w:type="dxa" w:w="1984"/>
            <w:shd w:fill="F5F7F9"/>
            <w:tcMar>
              <w:top w:w="70" w:type="dxa"/>
              <w:start w:w="80" w:type="dxa"/>
              <w:bottom w:w="70" w:type="dxa"/>
              <w:end w:w="80" w:type="dxa"/>
            </w:tcMar>
            <w:vAlign w:val="center"/>
          </w:tcPr>
          <w:p>
            <w:pPr>
              <w:spacing w:after="0" w:line="240" w:lineRule="auto"/>
            </w:pPr>
            <w:r>
              <w:rPr>
                <w:sz w:val="17"/>
              </w:rPr>
              <w:t>916,029</w:t>
            </w:r>
          </w:p>
        </w:tc>
        <w:tc>
          <w:tcPr>
            <w:tcW w:type="dxa" w:w="1984"/>
            <w:shd w:fill="F5F7F9"/>
            <w:tcMar>
              <w:top w:w="70" w:type="dxa"/>
              <w:start w:w="80" w:type="dxa"/>
              <w:bottom w:w="70" w:type="dxa"/>
              <w:end w:w="80" w:type="dxa"/>
            </w:tcMar>
            <w:vAlign w:val="center"/>
          </w:tcPr>
          <w:p>
            <w:pPr>
              <w:spacing w:after="0" w:line="240" w:lineRule="auto"/>
            </w:pPr>
            <w:r>
              <w:rPr>
                <w:sz w:val="17"/>
              </w:rPr>
              <w:t>4,924</w:t>
            </w:r>
          </w:p>
        </w:tc>
        <w:tc>
          <w:tcPr>
            <w:tcW w:type="dxa" w:w="1984"/>
            <w:shd w:fill="F5F7F9"/>
            <w:tcMar>
              <w:top w:w="70" w:type="dxa"/>
              <w:start w:w="80" w:type="dxa"/>
              <w:bottom w:w="70" w:type="dxa"/>
              <w:end w:w="80" w:type="dxa"/>
            </w:tcMar>
            <w:vAlign w:val="center"/>
          </w:tcPr>
          <w:p>
            <w:pPr>
              <w:spacing w:after="0" w:line="240" w:lineRule="auto"/>
            </w:pPr>
            <w:r>
              <w:rPr>
                <w:sz w:val="17"/>
              </w:rPr>
              <w:t>0.5375%</w:t>
            </w:r>
          </w:p>
        </w:tc>
        <w:tc>
          <w:tcPr>
            <w:tcW w:type="dxa" w:w="1984"/>
            <w:shd w:fill="F5F7F9"/>
            <w:tcMar>
              <w:top w:w="70" w:type="dxa"/>
              <w:start w:w="80" w:type="dxa"/>
              <w:bottom w:w="70" w:type="dxa"/>
              <w:end w:w="80" w:type="dxa"/>
            </w:tcMar>
            <w:vAlign w:val="center"/>
          </w:tcPr>
          <w:p>
            <w:pPr>
              <w:spacing w:after="0" w:line="240" w:lineRule="auto"/>
            </w:pPr>
            <w:r>
              <w:rPr>
                <w:sz w:val="17"/>
              </w:rPr>
              <w:t>0.925×</w:t>
            </w:r>
          </w:p>
        </w:tc>
      </w:tr>
    </w:tbl>
    <w:p>
      <w:pPr>
        <w:spacing w:after="0"/>
      </w:pPr>
    </w:p>
    <w:p>
      <w:pPr>
        <w:spacing w:after="100" w:line="254" w:lineRule="auto"/>
      </w:pPr>
      <w:r>
        <w:t>L1 has the highest line-level failure rate, but the strongest localized signal appears at L3_S32: 1,106 failures among 24,543 observed products, a 4.506% failure rate and 7.75× lift. L1_S24 and L2_S26 are also high-volume risk candidates, although their lifts are much smaller.</w:t>
      </w:r>
    </w:p>
    <w:p>
      <w:r>
        <w:drawing>
          <wp:inline xmlns:a="http://schemas.openxmlformats.org/drawingml/2006/main" xmlns:pic="http://schemas.openxmlformats.org/drawingml/2006/picture">
            <wp:extent cx="6126480" cy="4356608"/>
            <wp:docPr id="4" name="Picture 4"/>
            <wp:cNvGraphicFramePr>
              <a:graphicFrameLocks noChangeAspect="1"/>
            </wp:cNvGraphicFramePr>
            <a:graphic>
              <a:graphicData uri="http://schemas.openxmlformats.org/drawingml/2006/picture">
                <pic:pic>
                  <pic:nvPicPr>
                    <pic:cNvPr id="0" name="phase3_composite.png"/>
                    <pic:cNvPicPr/>
                  </pic:nvPicPr>
                  <pic:blipFill>
                    <a:blip r:embed="rId14"/>
                    <a:stretch>
                      <a:fillRect/>
                    </a:stretch>
                  </pic:blipFill>
                  <pic:spPr>
                    <a:xfrm>
                      <a:off x="0" y="0"/>
                      <a:ext cx="6126480" cy="4356608"/>
                    </a:xfrm>
                    <a:prstGeom prst="rect"/>
                  </pic:spPr>
                </pic:pic>
              </a:graphicData>
            </a:graphic>
          </wp:inline>
        </w:drawing>
      </w:r>
    </w:p>
    <w:p>
      <w:pPr>
        <w:spacing w:after="100"/>
        <w:jc w:val="center"/>
      </w:pPr>
      <w:r>
        <w:rPr>
          <w:i/>
          <w:color w:val="595959"/>
          <w:sz w:val="17"/>
        </w:rPr>
        <w:t>Figure 29.1 — Phase 3 triangulates risk using rate, volume, time and categorical-state evidence.</w:t>
      </w:r>
    </w:p>
    <w:p>
      <w:pPr>
        <w:pStyle w:val="Heading2"/>
        <w:spacing w:after="100" w:line="254" w:lineRule="auto"/>
      </w:pPr>
      <w:r>
        <w:t>Product paths and temporal patterns</w:t>
      </w:r>
    </w:p>
    <w:p>
      <w:pPr>
        <w:spacing w:after="100" w:line="254" w:lineRule="auto"/>
      </w:pPr>
      <w:r>
        <w:t>A path signature is created by joining the active station keys for each product in station order. The two most common routes both begin at L1_S24, continue through L2_S26 and terminate through the L3_S29–L3_S37 region; each has a failure rate near 0.675%. Closely related routes that start at L1_S25 show materially lower rates near 0.32–0.38%, suggesting that route context contains predictive information.</w:t>
      </w:r>
    </w:p>
    <w:p>
      <w:pPr>
        <w:spacing w:after="100" w:line="254" w:lineRule="auto"/>
      </w:pPr>
      <w:r>
        <w:t>Relative date values are not calendar timestamps, so the script uses quantile bins rather than months or weekdays. Failed products begin earlier on average (760.3 versus 848.9 relative units) and have longer observed process spans (13.91 versus 10.70). These are distributional differences, not proof of physical delay causation.</w:t>
      </w:r>
    </w:p>
    <w:p>
      <w:pPr>
        <w:pStyle w:val="Heading2"/>
        <w:spacing w:after="100" w:line="254" w:lineRule="auto"/>
      </w:pPr>
      <w:r>
        <w:t>Categorical one-hot exploration</w:t>
      </w:r>
    </w:p>
    <w:p>
      <w:pPr>
        <w:spacing w:after="100" w:line="254" w:lineRule="auto"/>
      </w:pPr>
      <w:r>
        <w:t>One-hot analysis is deliberately constrained. A 50,000-row variability sample identifies columns with enough observed values and more than one level. Up to 30 columns are selected using completeness and priority stations; chunks are then one-hot encoded and aggregated without retaining the full dummy matrix.</w:t>
      </w:r>
    </w:p>
    <w:p>
      <w:pPr>
        <w:spacing w:after="100" w:line="254" w:lineRule="auto"/>
      </w:pPr>
      <w:r>
        <w:t>The most striking level is L3_S32_F3854_T2: 667 failures among 4,136 occurrences, a 16.13% failure rate, 27.75× lift and phi correlation of 0.121 with Response. This supports deeper modelling and root-cause investigation, while still requiring caution because a categorical level can be a marker of a route, product family or inspection outcome rather than a causal defect source.</w:t>
      </w:r>
    </w:p>
    <w:p>
      <w:pPr>
        <w:pStyle w:val="Heading2"/>
        <w:spacing w:after="100" w:line="254" w:lineRule="auto"/>
      </w:pPr>
      <w:r>
        <w:t>Outputs and interpretation rules</w:t>
      </w:r>
    </w:p>
    <w:tbl>
      <w:tblPr>
        <w:tblStyle w:val="TableGrid"/>
        <w:tblW w:type="auto" w:w="0"/>
        <w:jc w:val="center"/>
        <w:tblLook w:firstColumn="1" w:firstRow="1" w:lastColumn="0" w:lastRow="0" w:noHBand="0" w:noVBand="1" w:val="04A0"/>
      </w:tblPr>
      <w:tblGrid>
        <w:gridCol w:w="4961"/>
        <w:gridCol w:w="4961"/>
      </w:tblGrid>
      <w:tr>
        <w:trPr>
          <w:tblHeader w:val="true"/>
        </w:trPr>
        <w:tc>
          <w:tcPr>
            <w:tcW w:type="dxa" w:w="4961"/>
            <w:shd w:fill="17365D"/>
            <w:vAlign w:val="center"/>
            <w:tcMar>
              <w:top w:w="90" w:type="dxa"/>
              <w:start w:w="80" w:type="dxa"/>
              <w:bottom w:w="90" w:type="dxa"/>
              <w:end w:w="80" w:type="dxa"/>
            </w:tcMar>
          </w:tcPr>
          <w:p>
            <w:pPr>
              <w:spacing w:after="0"/>
              <w:jc w:val="center"/>
            </w:pPr>
            <w:r>
              <w:rPr>
                <w:b/>
                <w:color w:val="FFFFFF"/>
                <w:sz w:val="16"/>
              </w:rPr>
              <w:t>Output family</w:t>
            </w:r>
          </w:p>
        </w:tc>
        <w:tc>
          <w:tcPr>
            <w:tcW w:type="dxa" w:w="4961"/>
            <w:shd w:fill="17365D"/>
            <w:vAlign w:val="center"/>
            <w:tcMar>
              <w:top w:w="90" w:type="dxa"/>
              <w:start w:w="80" w:type="dxa"/>
              <w:bottom w:w="90" w:type="dxa"/>
              <w:end w:w="80" w:type="dxa"/>
            </w:tcMar>
          </w:tcPr>
          <w:p>
            <w:pPr>
              <w:spacing w:after="0"/>
              <w:jc w:val="center"/>
            </w:pPr>
            <w:r>
              <w:rPr>
                <w:b/>
                <w:color w:val="FFFFFF"/>
                <w:sz w:val="16"/>
              </w:rPr>
              <w:t>Examples</w:t>
            </w:r>
          </w:p>
        </w:tc>
      </w:tr>
      <w:tr>
        <w:tc>
          <w:tcPr>
            <w:tcW w:type="dxa" w:w="4961"/>
            <w:tcMar>
              <w:top w:w="70" w:type="dxa"/>
              <w:start w:w="80" w:type="dxa"/>
              <w:bottom w:w="70" w:type="dxa"/>
              <w:end w:w="80" w:type="dxa"/>
            </w:tcMar>
            <w:vAlign w:val="center"/>
          </w:tcPr>
          <w:p>
            <w:pPr>
              <w:spacing w:after="0" w:line="240" w:lineRule="auto"/>
            </w:pPr>
            <w:r>
              <w:rPr>
                <w:sz w:val="16"/>
              </w:rPr>
              <w:t>Risk tables</w:t>
            </w:r>
          </w:p>
        </w:tc>
        <w:tc>
          <w:tcPr>
            <w:tcW w:type="dxa" w:w="4961"/>
            <w:tcMar>
              <w:top w:w="70" w:type="dxa"/>
              <w:start w:w="80" w:type="dxa"/>
              <w:bottom w:w="70" w:type="dxa"/>
              <w:end w:w="80" w:type="dxa"/>
            </w:tcMar>
            <w:vAlign w:val="center"/>
          </w:tcPr>
          <w:p>
            <w:pPr>
              <w:spacing w:after="0" w:line="240" w:lineRule="auto"/>
            </w:pPr>
            <w:r>
              <w:rPr>
                <w:sz w:val="16"/>
              </w:rPr>
              <w:t>line/station failure rates; high-risk stations</w:t>
            </w:r>
          </w:p>
        </w:tc>
      </w:tr>
      <w:tr>
        <w:tc>
          <w:tcPr>
            <w:tcW w:type="dxa" w:w="4961"/>
            <w:shd w:fill="F5F7F9"/>
            <w:tcMar>
              <w:top w:w="70" w:type="dxa"/>
              <w:start w:w="80" w:type="dxa"/>
              <w:bottom w:w="70" w:type="dxa"/>
              <w:end w:w="80" w:type="dxa"/>
            </w:tcMar>
            <w:vAlign w:val="center"/>
          </w:tcPr>
          <w:p>
            <w:pPr>
              <w:spacing w:after="0" w:line="240" w:lineRule="auto"/>
            </w:pPr>
            <w:r>
              <w:rPr>
                <w:sz w:val="16"/>
              </w:rPr>
              <w:t>Process patterns</w:t>
            </w:r>
          </w:p>
        </w:tc>
        <w:tc>
          <w:tcPr>
            <w:tcW w:type="dxa" w:w="4961"/>
            <w:shd w:fill="F5F7F9"/>
            <w:tcMar>
              <w:top w:w="70" w:type="dxa"/>
              <w:start w:w="80" w:type="dxa"/>
              <w:bottom w:w="70" w:type="dxa"/>
              <w:end w:w="80" w:type="dxa"/>
            </w:tcMar>
            <w:vAlign w:val="center"/>
          </w:tcPr>
          <w:p>
            <w:pPr>
              <w:spacing w:after="0" w:line="240" w:lineRule="auto"/>
            </w:pPr>
            <w:r>
              <w:rPr>
                <w:sz w:val="16"/>
              </w:rPr>
              <w:t>flow paths; first-time and duration bins; distribution report</w:t>
            </w:r>
          </w:p>
        </w:tc>
      </w:tr>
      <w:tr>
        <w:tc>
          <w:tcPr>
            <w:tcW w:type="dxa" w:w="4961"/>
            <w:tcMar>
              <w:top w:w="70" w:type="dxa"/>
              <w:start w:w="80" w:type="dxa"/>
              <w:bottom w:w="70" w:type="dxa"/>
              <w:end w:w="80" w:type="dxa"/>
            </w:tcMar>
            <w:vAlign w:val="center"/>
          </w:tcPr>
          <w:p>
            <w:pPr>
              <w:spacing w:after="0" w:line="240" w:lineRule="auto"/>
            </w:pPr>
            <w:r>
              <w:rPr>
                <w:sz w:val="16"/>
              </w:rPr>
              <w:t>Association</w:t>
            </w:r>
          </w:p>
        </w:tc>
        <w:tc>
          <w:tcPr>
            <w:tcW w:type="dxa" w:w="4961"/>
            <w:tcMar>
              <w:top w:w="70" w:type="dxa"/>
              <w:start w:w="80" w:type="dxa"/>
              <w:bottom w:w="70" w:type="dxa"/>
              <w:end w:w="80" w:type="dxa"/>
            </w:tcMar>
            <w:vAlign w:val="center"/>
          </w:tcPr>
          <w:p>
            <w:pPr>
              <w:spacing w:after="0" w:line="240" w:lineRule="auto"/>
            </w:pPr>
            <w:r>
              <w:rPr>
                <w:sz w:val="16"/>
              </w:rPr>
              <w:t>flow correlations; selected categorical columns; one-hot lift and correlations</w:t>
            </w:r>
          </w:p>
        </w:tc>
      </w:tr>
      <w:tr>
        <w:tc>
          <w:tcPr>
            <w:tcW w:type="dxa" w:w="4961"/>
            <w:shd w:fill="F5F7F9"/>
            <w:tcMar>
              <w:top w:w="70" w:type="dxa"/>
              <w:start w:w="80" w:type="dxa"/>
              <w:bottom w:w="70" w:type="dxa"/>
              <w:end w:w="80" w:type="dxa"/>
            </w:tcMar>
            <w:vAlign w:val="center"/>
          </w:tcPr>
          <w:p>
            <w:pPr>
              <w:spacing w:after="0" w:line="240" w:lineRule="auto"/>
            </w:pPr>
            <w:r>
              <w:rPr>
                <w:sz w:val="16"/>
              </w:rPr>
              <w:t>Visuals</w:t>
            </w:r>
          </w:p>
        </w:tc>
        <w:tc>
          <w:tcPr>
            <w:tcW w:type="dxa" w:w="4961"/>
            <w:shd w:fill="F5F7F9"/>
            <w:tcMar>
              <w:top w:w="70" w:type="dxa"/>
              <w:start w:w="80" w:type="dxa"/>
              <w:bottom w:w="70" w:type="dxa"/>
              <w:end w:w="80" w:type="dxa"/>
            </w:tcMar>
            <w:vAlign w:val="center"/>
          </w:tcPr>
          <w:p>
            <w:pPr>
              <w:spacing w:after="0" w:line="240" w:lineRule="auto"/>
            </w:pPr>
            <w:r>
              <w:rPr>
                <w:sz w:val="16"/>
              </w:rPr>
              <w:t>nine phase3_*.png charts</w:t>
            </w:r>
          </w:p>
        </w:tc>
      </w:tr>
      <w:tr>
        <w:tc>
          <w:tcPr>
            <w:tcW w:type="dxa" w:w="4961"/>
            <w:tcMar>
              <w:top w:w="70" w:type="dxa"/>
              <w:start w:w="80" w:type="dxa"/>
              <w:bottom w:w="70" w:type="dxa"/>
              <w:end w:w="80" w:type="dxa"/>
            </w:tcMar>
            <w:vAlign w:val="center"/>
          </w:tcPr>
          <w:p>
            <w:pPr>
              <w:spacing w:after="0" w:line="240" w:lineRule="auto"/>
            </w:pPr>
            <w:r>
              <w:rPr>
                <w:sz w:val="16"/>
              </w:rPr>
              <w:t>Reusable data</w:t>
            </w:r>
          </w:p>
        </w:tc>
        <w:tc>
          <w:tcPr>
            <w:tcW w:type="dxa" w:w="4961"/>
            <w:tcMar>
              <w:top w:w="70" w:type="dxa"/>
              <w:start w:w="80" w:type="dxa"/>
              <w:bottom w:w="70" w:type="dxa"/>
              <w:end w:w="80" w:type="dxa"/>
            </w:tcMar>
            <w:vAlign w:val="center"/>
          </w:tcPr>
          <w:p>
            <w:pPr>
              <w:spacing w:after="0" w:line="240" w:lineRule="auto"/>
            </w:pPr>
            <w:r>
              <w:rPr>
                <w:sz w:val="16"/>
              </w:rPr>
              <w:t>phase3_train_time_features.csv</w:t>
            </w:r>
          </w:p>
        </w:tc>
      </w:tr>
    </w:tbl>
    <w:p>
      <w:pPr>
        <w:spacing w:after="0"/>
      </w:pPr>
    </w:p>
    <w:tbl>
      <w:tblPr>
        <w:tblW w:type="auto" w:w="0"/>
        <w:jc w:val="center"/>
        <w:tblLook w:firstColumn="1" w:firstRow="1" w:lastColumn="0" w:lastRow="0" w:noHBand="0" w:noVBand="1" w:val="04A0"/>
      </w:tblPr>
      <w:tblGrid>
        <w:gridCol w:w="9922"/>
      </w:tblGrid>
      <w:tr>
        <w:tc>
          <w:tcPr>
            <w:tcW w:type="dxa" w:w="9922"/>
            <w:shd w:fill="D9EAF7"/>
            <w:tcMar>
              <w:top w:w="110" w:type="dxa"/>
              <w:start w:w="140" w:type="dxa"/>
              <w:bottom w:w="110" w:type="dxa"/>
              <w:end w:w="140" w:type="dxa"/>
            </w:tcMar>
          </w:tcPr>
          <w:p>
            <w:pPr>
              <w:spacing w:after="0"/>
            </w:pPr>
            <w:r>
              <w:rPr>
                <w:b/>
                <w:color w:val="17365D"/>
              </w:rPr>
              <w:t xml:space="preserve">Interpretation rule: </w:t>
            </w:r>
            <w:r>
              <w:t>High lift with small support is unstable; high volume with tiny excess rate may be operationally important but weakly predictive. The project therefore uses multiple lenses rather than ranking by one number.</w:t>
            </w:r>
          </w:p>
        </w:tc>
      </w:tr>
    </w:tbl>
    <w:p>
      <w:pPr>
        <w:spacing w:after="0"/>
      </w:pPr>
    </w:p>
    <w:p>
      <w:pPr>
        <w:pStyle w:val="Heading2"/>
        <w:spacing w:after="100" w:line="254" w:lineRule="auto"/>
      </w:pPr>
      <w:r>
        <w:t>Chapter checkpoint</w:t>
      </w:r>
    </w:p>
    <w:p>
      <w:pPr>
        <w:pStyle w:val="ListBullet"/>
        <w:spacing w:after="50" w:line="245" w:lineRule="auto"/>
      </w:pPr>
      <w:r>
        <w:t>L1 and L2 have elevated line-level rates, while L3_S32 carries the strongest localized lift.</w:t>
      </w:r>
    </w:p>
    <w:p>
      <w:pPr>
        <w:pStyle w:val="ListBullet"/>
        <w:spacing w:after="50" w:line="245" w:lineRule="auto"/>
      </w:pPr>
      <w:r>
        <w:t>Routes beginning at L1_S24 and L1_S25 show different failure rates despite sharing much of the downstream path.</w:t>
      </w:r>
    </w:p>
    <w:p>
      <w:pPr>
        <w:pStyle w:val="ListBullet"/>
        <w:spacing w:after="50" w:line="245" w:lineRule="auto"/>
      </w:pPr>
      <w:r>
        <w:t>Failed products have longer observed date spans on average, but the values remain anonymized temporal proxies.</w:t>
      </w:r>
    </w:p>
    <w:p>
      <w:pPr>
        <w:pStyle w:val="ListBullet"/>
        <w:spacing w:after="50" w:line="245" w:lineRule="auto"/>
      </w:pPr>
      <w:r>
        <w:t>L3_S32_F3854_T2 is an important marker for modelling and investigation, not a standalone causal conclusion.</w:t>
      </w:r>
    </w:p>
    <w:p>
      <w:pPr>
        <w:spacing w:after="100" w:line="254" w:lineRule="auto"/>
      </w:pPr>
      <w:r>
        <w:t>Interview talking point: describe why rate, lift, support, correlation and route context must be considered together in a highly imbalanced manufacturing problem.</w:t>
      </w:r>
    </w:p>
    <w:p>
      <w:r>
        <w:br w:type="page"/>
      </w:r>
    </w:p>
    <w:p>
      <w:pPr>
        <w:spacing w:after="40"/>
      </w:pPr>
      <w:r>
        <w:rPr>
          <w:b/>
          <w:color w:val="1F4E79"/>
          <w:sz w:val="22"/>
        </w:rPr>
        <w:t>CHAPTER 30</w:t>
      </w:r>
    </w:p>
    <w:p>
      <w:pPr>
        <w:pStyle w:val="Heading1"/>
        <w:spacing w:after="80"/>
      </w:pPr>
      <w:r>
        <w:t>Phase 4 — Feature Engineering</w:t>
      </w:r>
    </w:p>
    <w:p>
      <w:pPr>
        <w:spacing w:after="240"/>
      </w:pPr>
      <w:r>
        <w:rPr>
          <w:i/>
          <w:color w:val="595959"/>
          <w:sz w:val="22"/>
        </w:rPr>
        <w:t>Compressing raw relative-time measurements into timing, delay-proxy, route and completeness features</w:t>
      </w:r>
    </w:p>
    <w:p>
      <w:pPr>
        <w:pStyle w:val="Heading2"/>
        <w:spacing w:after="100" w:line="254" w:lineRule="auto"/>
      </w:pPr>
      <w:r>
        <w:t>Phase objective</w:t>
      </w:r>
    </w:p>
    <w:p>
      <w:pPr>
        <w:spacing w:after="100" w:line="254" w:lineRule="auto"/>
      </w:pPr>
      <w:r>
        <w:t>Phase 4 converts 1,156 sparse raw date columns into a compact, interpretable table for every train and test product. The engineered variables capture when observations occur, how widely a part appears to travel, temporal gaps between observed stations, route complexity, data completeness and line-specific summaries.</w:t>
      </w:r>
    </w:p>
    <w:p>
      <w:r>
        <w:drawing>
          <wp:inline xmlns:a="http://schemas.openxmlformats.org/drawingml/2006/main" xmlns:pic="http://schemas.openxmlformats.org/drawingml/2006/picture">
            <wp:extent cx="5989320" cy="2963302"/>
            <wp:docPr id="5" name="Picture 5"/>
            <wp:cNvGraphicFramePr>
              <a:graphicFrameLocks noChangeAspect="1"/>
            </wp:cNvGraphicFramePr>
            <a:graphic>
              <a:graphicData uri="http://schemas.openxmlformats.org/drawingml/2006/picture">
                <pic:pic>
                  <pic:nvPicPr>
                    <pic:cNvPr id="0" name="phase4_feature_taxonomy.png"/>
                    <pic:cNvPicPr/>
                  </pic:nvPicPr>
                  <pic:blipFill>
                    <a:blip r:embed="rId15"/>
                    <a:stretch>
                      <a:fillRect/>
                    </a:stretch>
                  </pic:blipFill>
                  <pic:spPr>
                    <a:xfrm>
                      <a:off x="0" y="0"/>
                      <a:ext cx="5989320" cy="2963302"/>
                    </a:xfrm>
                    <a:prstGeom prst="rect"/>
                  </pic:spPr>
                </pic:pic>
              </a:graphicData>
            </a:graphic>
          </wp:inline>
        </w:drawing>
      </w:r>
    </w:p>
    <w:p>
      <w:pPr>
        <w:spacing w:after="100"/>
        <w:jc w:val="center"/>
      </w:pPr>
      <w:r>
        <w:rPr>
          <w:i/>
          <w:color w:val="595959"/>
          <w:sz w:val="17"/>
        </w:rPr>
        <w:t>Figure 30.1 — The 48 predictive columns are grouped into six manufacturing-oriented feature families.</w:t>
      </w:r>
    </w:p>
    <w:p>
      <w:pPr>
        <w:pStyle w:val="Heading2"/>
        <w:spacing w:after="100" w:line="254" w:lineRule="auto"/>
      </w:pPr>
      <w:r>
        <w:t>Core transformations</w:t>
      </w:r>
    </w:p>
    <w:tbl>
      <w:tblPr>
        <w:tblStyle w:val="TableGrid"/>
        <w:tblW w:type="auto" w:w="0"/>
        <w:jc w:val="center"/>
        <w:tblLook w:firstColumn="1" w:firstRow="1" w:lastColumn="0" w:lastRow="0" w:noHBand="0" w:noVBand="1" w:val="04A0"/>
      </w:tblPr>
      <w:tblGrid>
        <w:gridCol w:w="4961"/>
        <w:gridCol w:w="4961"/>
      </w:tblGrid>
      <w:tr>
        <w:trPr>
          <w:tblHeader w:val="true"/>
        </w:trPr>
        <w:tc>
          <w:tcPr>
            <w:tcW w:type="dxa" w:w="4961"/>
            <w:shd w:fill="17365D"/>
            <w:vAlign w:val="center"/>
            <w:tcMar>
              <w:top w:w="90" w:type="dxa"/>
              <w:start w:w="80" w:type="dxa"/>
              <w:bottom w:w="90" w:type="dxa"/>
              <w:end w:w="80" w:type="dxa"/>
            </w:tcMar>
          </w:tcPr>
          <w:p>
            <w:pPr>
              <w:spacing w:after="0"/>
              <w:jc w:val="center"/>
            </w:pPr>
            <w:r>
              <w:rPr>
                <w:b/>
                <w:color w:val="FFFFFF"/>
                <w:sz w:val="15"/>
              </w:rPr>
              <w:t>Feature family</w:t>
            </w:r>
          </w:p>
        </w:tc>
        <w:tc>
          <w:tcPr>
            <w:tcW w:type="dxa" w:w="4961"/>
            <w:shd w:fill="17365D"/>
            <w:vAlign w:val="center"/>
            <w:tcMar>
              <w:top w:w="90" w:type="dxa"/>
              <w:start w:w="80" w:type="dxa"/>
              <w:bottom w:w="90" w:type="dxa"/>
              <w:end w:w="80" w:type="dxa"/>
            </w:tcMar>
          </w:tcPr>
          <w:p>
            <w:pPr>
              <w:spacing w:after="0"/>
              <w:jc w:val="center"/>
            </w:pPr>
            <w:r>
              <w:rPr>
                <w:b/>
                <w:color w:val="FFFFFF"/>
                <w:sz w:val="15"/>
              </w:rPr>
              <w:t>Definition / role</w:t>
            </w:r>
          </w:p>
        </w:tc>
      </w:tr>
      <w:tr>
        <w:tc>
          <w:tcPr>
            <w:tcW w:type="dxa" w:w="4961"/>
            <w:tcMar>
              <w:top w:w="70" w:type="dxa"/>
              <w:start w:w="80" w:type="dxa"/>
              <w:bottom w:w="70" w:type="dxa"/>
              <w:end w:w="80" w:type="dxa"/>
            </w:tcMar>
            <w:vAlign w:val="center"/>
          </w:tcPr>
          <w:p>
            <w:pPr>
              <w:spacing w:after="0" w:line="240" w:lineRule="auto"/>
            </w:pPr>
            <w:r>
              <w:rPr>
                <w:sz w:val="15"/>
              </w:rPr>
              <w:t>start_time / end_time</w:t>
            </w:r>
          </w:p>
        </w:tc>
        <w:tc>
          <w:tcPr>
            <w:tcW w:type="dxa" w:w="4961"/>
            <w:tcMar>
              <w:top w:w="70" w:type="dxa"/>
              <w:start w:w="80" w:type="dxa"/>
              <w:bottom w:w="70" w:type="dxa"/>
              <w:end w:w="80" w:type="dxa"/>
            </w:tcMar>
            <w:vAlign w:val="center"/>
          </w:tcPr>
          <w:p>
            <w:pPr>
              <w:spacing w:after="0" w:line="240" w:lineRule="auto"/>
            </w:pPr>
            <w:r>
              <w:rPr>
                <w:sz w:val="15"/>
              </w:rPr>
              <w:t>Earliest and latest observed date values.</w:t>
            </w:r>
          </w:p>
        </w:tc>
      </w:tr>
      <w:tr>
        <w:tc>
          <w:tcPr>
            <w:tcW w:type="dxa" w:w="4961"/>
            <w:shd w:fill="F5F7F9"/>
            <w:tcMar>
              <w:top w:w="70" w:type="dxa"/>
              <w:start w:w="80" w:type="dxa"/>
              <w:bottom w:w="70" w:type="dxa"/>
              <w:end w:w="80" w:type="dxa"/>
            </w:tcMar>
            <w:vAlign w:val="center"/>
          </w:tcPr>
          <w:p>
            <w:pPr>
              <w:spacing w:after="0" w:line="240" w:lineRule="auto"/>
            </w:pPr>
            <w:r>
              <w:rPr>
                <w:sz w:val="15"/>
              </w:rPr>
              <w:t>cycle_time</w:t>
            </w:r>
          </w:p>
        </w:tc>
        <w:tc>
          <w:tcPr>
            <w:tcW w:type="dxa" w:w="4961"/>
            <w:shd w:fill="F5F7F9"/>
            <w:tcMar>
              <w:top w:w="70" w:type="dxa"/>
              <w:start w:w="80" w:type="dxa"/>
              <w:bottom w:w="70" w:type="dxa"/>
              <w:end w:w="80" w:type="dxa"/>
            </w:tcMar>
            <w:vAlign w:val="center"/>
          </w:tcPr>
          <w:p>
            <w:pPr>
              <w:spacing w:after="0" w:line="240" w:lineRule="auto"/>
            </w:pPr>
            <w:r>
              <w:rPr>
                <w:sz w:val="15"/>
              </w:rPr>
              <w:t>end_time − start_time; an observed span, not verified plant cycle time.</w:t>
            </w:r>
          </w:p>
        </w:tc>
      </w:tr>
      <w:tr>
        <w:tc>
          <w:tcPr>
            <w:tcW w:type="dxa" w:w="4961"/>
            <w:tcMar>
              <w:top w:w="70" w:type="dxa"/>
              <w:start w:w="80" w:type="dxa"/>
              <w:bottom w:w="70" w:type="dxa"/>
              <w:end w:w="80" w:type="dxa"/>
            </w:tcMar>
            <w:vAlign w:val="center"/>
          </w:tcPr>
          <w:p>
            <w:pPr>
              <w:spacing w:after="0" w:line="240" w:lineRule="auto"/>
            </w:pPr>
            <w:r>
              <w:rPr>
                <w:sz w:val="15"/>
              </w:rPr>
              <w:t>processing_duration</w:t>
            </w:r>
          </w:p>
        </w:tc>
        <w:tc>
          <w:tcPr>
            <w:tcW w:type="dxa" w:w="4961"/>
            <w:tcMar>
              <w:top w:w="70" w:type="dxa"/>
              <w:start w:w="80" w:type="dxa"/>
              <w:bottom w:w="70" w:type="dxa"/>
              <w:end w:w="80" w:type="dxa"/>
            </w:tcMar>
            <w:vAlign w:val="center"/>
          </w:tcPr>
          <w:p>
            <w:pPr>
              <w:spacing w:after="0" w:line="240" w:lineRule="auto"/>
            </w:pPr>
            <w:r>
              <w:rPr>
                <w:sz w:val="15"/>
              </w:rPr>
              <w:t>Sum of non-negative within-station date spans.</w:t>
            </w:r>
          </w:p>
        </w:tc>
      </w:tr>
      <w:tr>
        <w:tc>
          <w:tcPr>
            <w:tcW w:type="dxa" w:w="4961"/>
            <w:shd w:fill="F5F7F9"/>
            <w:tcMar>
              <w:top w:w="70" w:type="dxa"/>
              <w:start w:w="80" w:type="dxa"/>
              <w:bottom w:w="70" w:type="dxa"/>
              <w:end w:w="80" w:type="dxa"/>
            </w:tcMar>
            <w:vAlign w:val="center"/>
          </w:tcPr>
          <w:p>
            <w:pPr>
              <w:spacing w:after="0" w:line="240" w:lineRule="auto"/>
            </w:pPr>
            <w:r>
              <w:rPr>
                <w:sz w:val="15"/>
              </w:rPr>
              <w:t>waiting_time</w:t>
            </w:r>
          </w:p>
        </w:tc>
        <w:tc>
          <w:tcPr>
            <w:tcW w:type="dxa" w:w="4961"/>
            <w:shd w:fill="F5F7F9"/>
            <w:tcMar>
              <w:top w:w="70" w:type="dxa"/>
              <w:start w:w="80" w:type="dxa"/>
              <w:bottom w:w="70" w:type="dxa"/>
              <w:end w:w="80" w:type="dxa"/>
            </w:tcMar>
            <w:vAlign w:val="center"/>
          </w:tcPr>
          <w:p>
            <w:pPr>
              <w:spacing w:after="0" w:line="240" w:lineRule="auto"/>
            </w:pPr>
            <w:r>
              <w:rPr>
                <w:sz w:val="15"/>
              </w:rPr>
              <w:t>Sum of positive gaps between consecutive station end and start values.</w:t>
            </w:r>
          </w:p>
        </w:tc>
      </w:tr>
      <w:tr>
        <w:tc>
          <w:tcPr>
            <w:tcW w:type="dxa" w:w="4961"/>
            <w:tcMar>
              <w:top w:w="70" w:type="dxa"/>
              <w:start w:w="80" w:type="dxa"/>
              <w:bottom w:w="70" w:type="dxa"/>
              <w:end w:w="80" w:type="dxa"/>
            </w:tcMar>
            <w:vAlign w:val="center"/>
          </w:tcPr>
          <w:p>
            <w:pPr>
              <w:spacing w:after="0" w:line="240" w:lineRule="auto"/>
            </w:pPr>
            <w:r>
              <w:rPr>
                <w:sz w:val="15"/>
              </w:rPr>
              <w:t>delay_ratio</w:t>
            </w:r>
          </w:p>
        </w:tc>
        <w:tc>
          <w:tcPr>
            <w:tcW w:type="dxa" w:w="4961"/>
            <w:tcMar>
              <w:top w:w="70" w:type="dxa"/>
              <w:start w:w="80" w:type="dxa"/>
              <w:bottom w:w="70" w:type="dxa"/>
              <w:end w:w="80" w:type="dxa"/>
            </w:tcMar>
            <w:vAlign w:val="center"/>
          </w:tcPr>
          <w:p>
            <w:pPr>
              <w:spacing w:after="0" w:line="240" w:lineRule="auto"/>
            </w:pPr>
            <w:r>
              <w:rPr>
                <w:sz w:val="15"/>
              </w:rPr>
              <w:t>waiting_time ÷ cycle_time when cycle_time &gt; 0.</w:t>
            </w:r>
          </w:p>
        </w:tc>
      </w:tr>
      <w:tr>
        <w:tc>
          <w:tcPr>
            <w:tcW w:type="dxa" w:w="4961"/>
            <w:shd w:fill="F5F7F9"/>
            <w:tcMar>
              <w:top w:w="70" w:type="dxa"/>
              <w:start w:w="80" w:type="dxa"/>
              <w:bottom w:w="70" w:type="dxa"/>
              <w:end w:w="80" w:type="dxa"/>
            </w:tcMar>
            <w:vAlign w:val="center"/>
          </w:tcPr>
          <w:p>
            <w:pPr>
              <w:spacing w:after="0" w:line="240" w:lineRule="auto"/>
            </w:pPr>
            <w:r>
              <w:rPr>
                <w:sz w:val="15"/>
              </w:rPr>
              <w:t>station_count / line_count</w:t>
            </w:r>
          </w:p>
        </w:tc>
        <w:tc>
          <w:tcPr>
            <w:tcW w:type="dxa" w:w="4961"/>
            <w:shd w:fill="F5F7F9"/>
            <w:tcMar>
              <w:top w:w="70" w:type="dxa"/>
              <w:start w:w="80" w:type="dxa"/>
              <w:bottom w:w="70" w:type="dxa"/>
              <w:end w:w="80" w:type="dxa"/>
            </w:tcMar>
            <w:vAlign w:val="center"/>
          </w:tcPr>
          <w:p>
            <w:pPr>
              <w:spacing w:after="0" w:line="240" w:lineRule="auto"/>
            </w:pPr>
            <w:r>
              <w:rPr>
                <w:sz w:val="15"/>
              </w:rPr>
              <w:t>Number of observed stations and lines.</w:t>
            </w:r>
          </w:p>
        </w:tc>
      </w:tr>
      <w:tr>
        <w:tc>
          <w:tcPr>
            <w:tcW w:type="dxa" w:w="4961"/>
            <w:tcMar>
              <w:top w:w="70" w:type="dxa"/>
              <w:start w:w="80" w:type="dxa"/>
              <w:bottom w:w="70" w:type="dxa"/>
              <w:end w:w="80" w:type="dxa"/>
            </w:tcMar>
            <w:vAlign w:val="center"/>
          </w:tcPr>
          <w:p>
            <w:pPr>
              <w:spacing w:after="0" w:line="240" w:lineRule="auto"/>
            </w:pPr>
            <w:r>
              <w:rPr>
                <w:sz w:val="15"/>
              </w:rPr>
              <w:t>station_span / path_density</w:t>
            </w:r>
          </w:p>
        </w:tc>
        <w:tc>
          <w:tcPr>
            <w:tcW w:type="dxa" w:w="4961"/>
            <w:tcMar>
              <w:top w:w="70" w:type="dxa"/>
              <w:start w:w="80" w:type="dxa"/>
              <w:bottom w:w="70" w:type="dxa"/>
              <w:end w:w="80" w:type="dxa"/>
            </w:tcMar>
            <w:vAlign w:val="center"/>
          </w:tcPr>
          <w:p>
            <w:pPr>
              <w:spacing w:after="0" w:line="240" w:lineRule="auto"/>
            </w:pPr>
            <w:r>
              <w:rPr>
                <w:sz w:val="15"/>
              </w:rPr>
              <w:t>Route extent and observed-station density.</w:t>
            </w:r>
          </w:p>
        </w:tc>
      </w:tr>
      <w:tr>
        <w:tc>
          <w:tcPr>
            <w:tcW w:type="dxa" w:w="4961"/>
            <w:shd w:fill="F5F7F9"/>
            <w:tcMar>
              <w:top w:w="70" w:type="dxa"/>
              <w:start w:w="80" w:type="dxa"/>
              <w:bottom w:w="70" w:type="dxa"/>
              <w:end w:w="80" w:type="dxa"/>
            </w:tcMar>
            <w:vAlign w:val="center"/>
          </w:tcPr>
          <w:p>
            <w:pPr>
              <w:spacing w:after="0" w:line="240" w:lineRule="auto"/>
            </w:pPr>
            <w:r>
              <w:rPr>
                <w:sz w:val="15"/>
              </w:rPr>
              <w:t>line_switch_count</w:t>
            </w:r>
          </w:p>
        </w:tc>
        <w:tc>
          <w:tcPr>
            <w:tcW w:type="dxa" w:w="4961"/>
            <w:shd w:fill="F5F7F9"/>
            <w:tcMar>
              <w:top w:w="70" w:type="dxa"/>
              <w:start w:w="80" w:type="dxa"/>
              <w:bottom w:w="70" w:type="dxa"/>
              <w:end w:w="80" w:type="dxa"/>
            </w:tcMar>
            <w:vAlign w:val="center"/>
          </w:tcPr>
          <w:p>
            <w:pPr>
              <w:spacing w:after="0" w:line="240" w:lineRule="auto"/>
            </w:pPr>
            <w:r>
              <w:rPr>
                <w:sz w:val="15"/>
              </w:rPr>
              <w:t>Changes between line IDs across active stations.</w:t>
            </w:r>
          </w:p>
        </w:tc>
      </w:tr>
      <w:tr>
        <w:tc>
          <w:tcPr>
            <w:tcW w:type="dxa" w:w="4961"/>
            <w:tcMar>
              <w:top w:w="70" w:type="dxa"/>
              <w:start w:w="80" w:type="dxa"/>
              <w:bottom w:w="70" w:type="dxa"/>
              <w:end w:w="80" w:type="dxa"/>
            </w:tcMar>
            <w:vAlign w:val="center"/>
          </w:tcPr>
          <w:p>
            <w:pPr>
              <w:spacing w:after="0" w:line="240" w:lineRule="auto"/>
            </w:pPr>
            <w:r>
              <w:rPr>
                <w:sz w:val="15"/>
              </w:rPr>
              <w:t>path_complexity_score</w:t>
            </w:r>
          </w:p>
        </w:tc>
        <w:tc>
          <w:tcPr>
            <w:tcW w:type="dxa" w:w="4961"/>
            <w:tcMar>
              <w:top w:w="70" w:type="dxa"/>
              <w:start w:w="80" w:type="dxa"/>
              <w:bottom w:w="70" w:type="dxa"/>
              <w:end w:w="80" w:type="dxa"/>
            </w:tcMar>
            <w:vAlign w:val="center"/>
          </w:tcPr>
          <w:p>
            <w:pPr>
              <w:spacing w:after="0" w:line="240" w:lineRule="auto"/>
            </w:pPr>
            <w:r>
              <w:rPr>
                <w:sz w:val="15"/>
              </w:rPr>
              <w:t>station_count + 2×line_count + switches + (1−density).</w:t>
            </w:r>
          </w:p>
        </w:tc>
      </w:tr>
      <w:tr>
        <w:tc>
          <w:tcPr>
            <w:tcW w:type="dxa" w:w="4961"/>
            <w:shd w:fill="F5F7F9"/>
            <w:tcMar>
              <w:top w:w="70" w:type="dxa"/>
              <w:start w:w="80" w:type="dxa"/>
              <w:bottom w:w="70" w:type="dxa"/>
              <w:end w:w="80" w:type="dxa"/>
            </w:tcMar>
            <w:vAlign w:val="center"/>
          </w:tcPr>
          <w:p>
            <w:pPr>
              <w:spacing w:after="0" w:line="240" w:lineRule="auto"/>
            </w:pPr>
            <w:r>
              <w:rPr>
                <w:sz w:val="15"/>
              </w:rPr>
              <w:t>line_n_*</w:t>
            </w:r>
          </w:p>
        </w:tc>
        <w:tc>
          <w:tcPr>
            <w:tcW w:type="dxa" w:w="4961"/>
            <w:shd w:fill="F5F7F9"/>
            <w:tcMar>
              <w:top w:w="70" w:type="dxa"/>
              <w:start w:w="80" w:type="dxa"/>
              <w:bottom w:w="70" w:type="dxa"/>
              <w:end w:w="80" w:type="dxa"/>
            </w:tcMar>
            <w:vAlign w:val="center"/>
          </w:tcPr>
          <w:p>
            <w:pPr>
              <w:spacing w:after="0" w:line="240" w:lineRule="auto"/>
            </w:pPr>
            <w:r>
              <w:rPr>
                <w:sz w:val="15"/>
              </w:rPr>
              <w:t>Presence, time span, observations, station count and completeness per line.</w:t>
            </w:r>
          </w:p>
        </w:tc>
      </w:tr>
    </w:tbl>
    <w:p>
      <w:pPr>
        <w:spacing w:after="0"/>
      </w:pPr>
    </w:p>
    <w:p>
      <w:pPr>
        <w:pStyle w:val="Heading2"/>
        <w:spacing w:after="100" w:line="254" w:lineRule="auto"/>
      </w:pPr>
      <w:r>
        <w:t>Station timing and waiting proxies</w:t>
      </w:r>
    </w:p>
    <w:p>
      <w:pPr>
        <w:spacing w:after="100" w:line="254" w:lineRule="auto"/>
      </w:pPr>
      <w:r>
        <w:t>For each station, the earliest and latest non-null date values define an observed station span. Consecutive active stations are compared row by row; only positive start(next) − end(previous) gaps contribute to waiting_time. The function also records mean gap, maximum gap and number of positive gaps. Negative or overlapping gaps are ignored rather than forced into a waiting interpretation.</w:t>
      </w:r>
    </w:p>
    <w:tbl>
      <w:tblPr>
        <w:tblW w:type="auto" w:w="0"/>
        <w:jc w:val="center"/>
        <w:tblLayout w:type="autofit"/>
        <w:tblLook w:firstColumn="1" w:firstRow="1" w:lastColumn="0" w:lastRow="0" w:noHBand="0" w:noVBand="1" w:val="04A0"/>
      </w:tblPr>
      <w:tblGrid>
        <w:gridCol w:w="9922"/>
      </w:tblGrid>
      <w:tr>
        <w:tc>
          <w:tcPr>
            <w:tcW w:type="dxa" w:w="9922"/>
            <w:shd w:fill="F2F2F2"/>
            <w:tcMar>
              <w:top w:w="120" w:type="dxa"/>
              <w:start w:w="140" w:type="dxa"/>
              <w:bottom w:w="120" w:type="dxa"/>
              <w:end w:w="140" w:type="dxa"/>
            </w:tcMar>
          </w:tcPr>
          <w:p>
            <w:pPr>
              <w:spacing w:after="0"/>
            </w:pPr>
            <w:r>
              <w:rPr>
                <w:rFonts w:ascii="Consolas" w:hAnsi="Consolas"/>
                <w:sz w:val="16"/>
              </w:rPr>
              <w:t>gaps = starts[1:] - ends[:-1]</w:t>
              <w:br/>
            </w:r>
            <w:r>
              <w:rPr>
                <w:rFonts w:ascii="Consolas" w:hAnsi="Consolas"/>
                <w:sz w:val="16"/>
              </w:rPr>
              <w:t>gaps = gaps[gaps &gt; 0]</w:t>
              <w:br/>
            </w:r>
            <w:r>
              <w:rPr>
                <w:rFonts w:ascii="Consolas" w:hAnsi="Consolas"/>
                <w:sz w:val="16"/>
              </w:rPr>
              <w:t>waiting_time = gaps.sum()</w:t>
              <w:br/>
            </w:r>
            <w:r>
              <w:rPr>
                <w:rFonts w:ascii="Consolas" w:hAnsi="Consolas"/>
                <w:sz w:val="16"/>
              </w:rPr>
              <w:t>max_waiting_time = gaps.max()</w:t>
              <w:br/>
            </w:r>
          </w:p>
        </w:tc>
      </w:tr>
    </w:tbl>
    <w:p>
      <w:pPr>
        <w:pStyle w:val="Heading2"/>
        <w:spacing w:after="100" w:line="254" w:lineRule="auto"/>
      </w:pPr>
      <w:r>
        <w:t>Route geometry and line aggregates</w:t>
      </w:r>
    </w:p>
    <w:p>
      <w:pPr>
        <w:spacing w:after="100" w:line="254" w:lineRule="auto"/>
      </w:pPr>
      <w:r>
        <w:t>The station-presence matrix yields first_station, last_station and station_span. Path density distinguishes a compact observed route from a sparse route across the same station-number span. Line-switch count records changes in line identifiers along the ordered active stations. Each production line then receives its own presence flag, start/end values, observed span, date count, station count and completeness percentage.</w:t>
      </w:r>
    </w:p>
    <w:tbl>
      <w:tblPr>
        <w:tblW w:type="auto" w:w="0"/>
        <w:jc w:val="center"/>
        <w:tblLook w:firstColumn="1" w:firstRow="1" w:lastColumn="0" w:lastRow="0" w:noHBand="0" w:noVBand="1" w:val="04A0"/>
      </w:tblPr>
      <w:tblGrid>
        <w:gridCol w:w="9922"/>
      </w:tblGrid>
      <w:tr>
        <w:tc>
          <w:tcPr>
            <w:tcW w:type="dxa" w:w="9922"/>
            <w:shd w:fill="FFF2CC"/>
            <w:tcMar>
              <w:top w:w="110" w:type="dxa"/>
              <w:start w:w="140" w:type="dxa"/>
              <w:bottom w:w="110" w:type="dxa"/>
              <w:end w:w="140" w:type="dxa"/>
            </w:tcMar>
          </w:tcPr>
          <w:p>
            <w:pPr>
              <w:spacing w:after="0"/>
            </w:pPr>
            <w:r>
              <w:rPr>
                <w:b/>
                <w:color w:val="17365D"/>
              </w:rPr>
              <w:t xml:space="preserve">Caution: </w:t>
            </w:r>
            <w:r>
              <w:t>The feature dictionary should use “observed measurement span” and “temporal gap proxy” language. Anonymized relative date values do not prove actual workstation processing time, queue time or transport delay.</w:t>
            </w:r>
          </w:p>
        </w:tc>
      </w:tr>
    </w:tbl>
    <w:p>
      <w:pPr>
        <w:spacing w:after="0"/>
      </w:pPr>
    </w:p>
    <w:p>
      <w:pPr>
        <w:pStyle w:val="Heading2"/>
        <w:spacing w:after="100" w:line="254" w:lineRule="auto"/>
      </w:pPr>
      <w:r>
        <w:t>Chunked train/test engineering</w:t>
      </w:r>
    </w:p>
    <w:p>
      <w:pPr>
        <w:spacing w:after="100" w:line="254" w:lineRule="auto"/>
      </w:pPr>
      <w:r>
        <w:t>The same engineer_chunk function is applied to train and test in 20,000-row batches. For train only, Response is read from train_numeric.csv and Id order is verified before it is attached. Each engineered chunk is appended to CSV, preventing a full 1.18-million-row date table plus all intermediate station matrices from remaining in memory.</w:t>
      </w:r>
    </w:p>
    <w:tbl>
      <w:tblPr>
        <w:tblStyle w:val="TableGrid"/>
        <w:tblW w:type="auto" w:w="0"/>
        <w:jc w:val="center"/>
        <w:tblLook w:firstColumn="1" w:firstRow="1" w:lastColumn="0" w:lastRow="0" w:noHBand="0" w:noVBand="1" w:val="04A0"/>
      </w:tblPr>
      <w:tblGrid>
        <w:gridCol w:w="1984"/>
        <w:gridCol w:w="1984"/>
        <w:gridCol w:w="1984"/>
        <w:gridCol w:w="1984"/>
        <w:gridCol w:w="1984"/>
      </w:tblGrid>
      <w:tr>
        <w:trPr>
          <w:tblHeader w:val="true"/>
        </w:trPr>
        <w:tc>
          <w:tcPr>
            <w:tcW w:type="dxa" w:w="1984"/>
            <w:shd w:fill="17365D"/>
            <w:vAlign w:val="center"/>
            <w:tcMar>
              <w:top w:w="90" w:type="dxa"/>
              <w:start w:w="80" w:type="dxa"/>
              <w:bottom w:w="90" w:type="dxa"/>
              <w:end w:w="80" w:type="dxa"/>
            </w:tcMar>
          </w:tcPr>
          <w:p>
            <w:pPr>
              <w:spacing w:after="0"/>
              <w:jc w:val="center"/>
            </w:pPr>
            <w:r>
              <w:rPr>
                <w:b/>
                <w:color w:val="FFFFFF"/>
                <w:sz w:val="17"/>
              </w:rPr>
              <w:t>Split</w:t>
            </w:r>
          </w:p>
        </w:tc>
        <w:tc>
          <w:tcPr>
            <w:tcW w:type="dxa" w:w="1984"/>
            <w:shd w:fill="17365D"/>
            <w:vAlign w:val="center"/>
            <w:tcMar>
              <w:top w:w="90" w:type="dxa"/>
              <w:start w:w="80" w:type="dxa"/>
              <w:bottom w:w="90" w:type="dxa"/>
              <w:end w:w="80" w:type="dxa"/>
            </w:tcMar>
          </w:tcPr>
          <w:p>
            <w:pPr>
              <w:spacing w:after="0"/>
              <w:jc w:val="center"/>
            </w:pPr>
            <w:r>
              <w:rPr>
                <w:b/>
                <w:color w:val="FFFFFF"/>
                <w:sz w:val="17"/>
              </w:rPr>
              <w:t>Rows</w:t>
            </w:r>
          </w:p>
        </w:tc>
        <w:tc>
          <w:tcPr>
            <w:tcW w:type="dxa" w:w="1984"/>
            <w:shd w:fill="17365D"/>
            <w:vAlign w:val="center"/>
            <w:tcMar>
              <w:top w:w="90" w:type="dxa"/>
              <w:start w:w="80" w:type="dxa"/>
              <w:bottom w:w="90" w:type="dxa"/>
              <w:end w:w="80" w:type="dxa"/>
            </w:tcMar>
          </w:tcPr>
          <w:p>
            <w:pPr>
              <w:spacing w:after="0"/>
              <w:jc w:val="center"/>
            </w:pPr>
            <w:r>
              <w:rPr>
                <w:b/>
                <w:color w:val="FFFFFF"/>
                <w:sz w:val="17"/>
              </w:rPr>
              <w:t>Columns</w:t>
            </w:r>
          </w:p>
        </w:tc>
        <w:tc>
          <w:tcPr>
            <w:tcW w:type="dxa" w:w="1984"/>
            <w:shd w:fill="17365D"/>
            <w:vAlign w:val="center"/>
            <w:tcMar>
              <w:top w:w="90" w:type="dxa"/>
              <w:start w:w="80" w:type="dxa"/>
              <w:bottom w:w="90" w:type="dxa"/>
              <w:end w:w="80" w:type="dxa"/>
            </w:tcMar>
          </w:tcPr>
          <w:p>
            <w:pPr>
              <w:spacing w:after="0"/>
              <w:jc w:val="center"/>
            </w:pPr>
            <w:r>
              <w:rPr>
                <w:b/>
                <w:color w:val="FFFFFF"/>
                <w:sz w:val="17"/>
              </w:rPr>
              <w:t>File size</w:t>
            </w:r>
          </w:p>
        </w:tc>
        <w:tc>
          <w:tcPr>
            <w:tcW w:type="dxa" w:w="1984"/>
            <w:shd w:fill="17365D"/>
            <w:vAlign w:val="center"/>
            <w:tcMar>
              <w:top w:w="90" w:type="dxa"/>
              <w:start w:w="80" w:type="dxa"/>
              <w:bottom w:w="90" w:type="dxa"/>
              <w:end w:w="80" w:type="dxa"/>
            </w:tcMar>
          </w:tcPr>
          <w:p>
            <w:pPr>
              <w:spacing w:after="0"/>
              <w:jc w:val="center"/>
            </w:pPr>
            <w:r>
              <w:rPr>
                <w:b/>
                <w:color w:val="FFFFFF"/>
                <w:sz w:val="17"/>
              </w:rPr>
              <w:t>Response</w:t>
            </w:r>
          </w:p>
        </w:tc>
      </w:tr>
      <w:tr>
        <w:tc>
          <w:tcPr>
            <w:tcW w:type="dxa" w:w="1984"/>
            <w:tcMar>
              <w:top w:w="70" w:type="dxa"/>
              <w:start w:w="80" w:type="dxa"/>
              <w:bottom w:w="70" w:type="dxa"/>
              <w:end w:w="80" w:type="dxa"/>
            </w:tcMar>
            <w:vAlign w:val="center"/>
          </w:tcPr>
          <w:p>
            <w:pPr>
              <w:spacing w:after="0" w:line="240" w:lineRule="auto"/>
            </w:pPr>
            <w:r>
              <w:rPr>
                <w:sz w:val="17"/>
              </w:rPr>
              <w:t>Train</w:t>
            </w:r>
          </w:p>
        </w:tc>
        <w:tc>
          <w:tcPr>
            <w:tcW w:type="dxa" w:w="1984"/>
            <w:tcMar>
              <w:top w:w="70" w:type="dxa"/>
              <w:start w:w="80" w:type="dxa"/>
              <w:bottom w:w="70" w:type="dxa"/>
              <w:end w:w="80" w:type="dxa"/>
            </w:tcMar>
            <w:vAlign w:val="center"/>
          </w:tcPr>
          <w:p>
            <w:pPr>
              <w:spacing w:after="0" w:line="240" w:lineRule="auto"/>
            </w:pPr>
            <w:r>
              <w:rPr>
                <w:sz w:val="17"/>
              </w:rPr>
              <w:t>1,183,747</w:t>
            </w:r>
          </w:p>
        </w:tc>
        <w:tc>
          <w:tcPr>
            <w:tcW w:type="dxa" w:w="1984"/>
            <w:tcMar>
              <w:top w:w="70" w:type="dxa"/>
              <w:start w:w="80" w:type="dxa"/>
              <w:bottom w:w="70" w:type="dxa"/>
              <w:end w:w="80" w:type="dxa"/>
            </w:tcMar>
            <w:vAlign w:val="center"/>
          </w:tcPr>
          <w:p>
            <w:pPr>
              <w:spacing w:after="0" w:line="240" w:lineRule="auto"/>
            </w:pPr>
            <w:r>
              <w:rPr>
                <w:sz w:val="17"/>
              </w:rPr>
              <w:t>49</w:t>
            </w:r>
          </w:p>
        </w:tc>
        <w:tc>
          <w:tcPr>
            <w:tcW w:type="dxa" w:w="1984"/>
            <w:tcMar>
              <w:top w:w="70" w:type="dxa"/>
              <w:start w:w="80" w:type="dxa"/>
              <w:bottom w:w="70" w:type="dxa"/>
              <w:end w:w="80" w:type="dxa"/>
            </w:tcMar>
            <w:vAlign w:val="center"/>
          </w:tcPr>
          <w:p>
            <w:pPr>
              <w:spacing w:after="0" w:line="240" w:lineRule="auto"/>
            </w:pPr>
            <w:r>
              <w:rPr>
                <w:sz w:val="17"/>
              </w:rPr>
              <w:t>281.29 MB</w:t>
            </w:r>
          </w:p>
        </w:tc>
        <w:tc>
          <w:tcPr>
            <w:tcW w:type="dxa" w:w="1984"/>
            <w:tcMar>
              <w:top w:w="70" w:type="dxa"/>
              <w:start w:w="80" w:type="dxa"/>
              <w:bottom w:w="70" w:type="dxa"/>
              <w:end w:w="80" w:type="dxa"/>
            </w:tcMar>
            <w:vAlign w:val="center"/>
          </w:tcPr>
          <w:p>
            <w:pPr>
              <w:spacing w:after="0" w:line="240" w:lineRule="auto"/>
            </w:pPr>
            <w:r>
              <w:rPr>
                <w:sz w:val="17"/>
              </w:rPr>
              <w:t>Yes</w:t>
            </w:r>
          </w:p>
        </w:tc>
      </w:tr>
      <w:tr>
        <w:tc>
          <w:tcPr>
            <w:tcW w:type="dxa" w:w="1984"/>
            <w:shd w:fill="F5F7F9"/>
            <w:tcMar>
              <w:top w:w="70" w:type="dxa"/>
              <w:start w:w="80" w:type="dxa"/>
              <w:bottom w:w="70" w:type="dxa"/>
              <w:end w:w="80" w:type="dxa"/>
            </w:tcMar>
            <w:vAlign w:val="center"/>
          </w:tcPr>
          <w:p>
            <w:pPr>
              <w:spacing w:after="0" w:line="240" w:lineRule="auto"/>
            </w:pPr>
            <w:r>
              <w:rPr>
                <w:sz w:val="17"/>
              </w:rPr>
              <w:t>Test</w:t>
            </w:r>
          </w:p>
        </w:tc>
        <w:tc>
          <w:tcPr>
            <w:tcW w:type="dxa" w:w="1984"/>
            <w:shd w:fill="F5F7F9"/>
            <w:tcMar>
              <w:top w:w="70" w:type="dxa"/>
              <w:start w:w="80" w:type="dxa"/>
              <w:bottom w:w="70" w:type="dxa"/>
              <w:end w:w="80" w:type="dxa"/>
            </w:tcMar>
            <w:vAlign w:val="center"/>
          </w:tcPr>
          <w:p>
            <w:pPr>
              <w:spacing w:after="0" w:line="240" w:lineRule="auto"/>
            </w:pPr>
            <w:r>
              <w:rPr>
                <w:sz w:val="17"/>
              </w:rPr>
              <w:t>1,183,748</w:t>
            </w:r>
          </w:p>
        </w:tc>
        <w:tc>
          <w:tcPr>
            <w:tcW w:type="dxa" w:w="1984"/>
            <w:shd w:fill="F5F7F9"/>
            <w:tcMar>
              <w:top w:w="70" w:type="dxa"/>
              <w:start w:w="80" w:type="dxa"/>
              <w:bottom w:w="70" w:type="dxa"/>
              <w:end w:w="80" w:type="dxa"/>
            </w:tcMar>
            <w:vAlign w:val="center"/>
          </w:tcPr>
          <w:p>
            <w:pPr>
              <w:spacing w:after="0" w:line="240" w:lineRule="auto"/>
            </w:pPr>
            <w:r>
              <w:rPr>
                <w:sz w:val="17"/>
              </w:rPr>
              <w:t>48</w:t>
            </w:r>
          </w:p>
        </w:tc>
        <w:tc>
          <w:tcPr>
            <w:tcW w:type="dxa" w:w="1984"/>
            <w:shd w:fill="F5F7F9"/>
            <w:tcMar>
              <w:top w:w="70" w:type="dxa"/>
              <w:start w:w="80" w:type="dxa"/>
              <w:bottom w:w="70" w:type="dxa"/>
              <w:end w:w="80" w:type="dxa"/>
            </w:tcMar>
            <w:vAlign w:val="center"/>
          </w:tcPr>
          <w:p>
            <w:pPr>
              <w:spacing w:after="0" w:line="240" w:lineRule="auto"/>
            </w:pPr>
            <w:r>
              <w:rPr>
                <w:sz w:val="17"/>
              </w:rPr>
              <w:t>279.02 MB</w:t>
            </w:r>
          </w:p>
        </w:tc>
        <w:tc>
          <w:tcPr>
            <w:tcW w:type="dxa" w:w="1984"/>
            <w:shd w:fill="F5F7F9"/>
            <w:tcMar>
              <w:top w:w="70" w:type="dxa"/>
              <w:start w:w="80" w:type="dxa"/>
              <w:bottom w:w="70" w:type="dxa"/>
              <w:end w:w="80" w:type="dxa"/>
            </w:tcMar>
            <w:vAlign w:val="center"/>
          </w:tcPr>
          <w:p>
            <w:pPr>
              <w:spacing w:after="0" w:line="240" w:lineRule="auto"/>
            </w:pPr>
            <w:r>
              <w:rPr>
                <w:sz w:val="17"/>
              </w:rPr>
              <w:t>No</w:t>
            </w:r>
          </w:p>
        </w:tc>
      </w:tr>
    </w:tbl>
    <w:p>
      <w:pPr>
        <w:spacing w:after="0"/>
      </w:pPr>
    </w:p>
    <w:p>
      <w:pPr>
        <w:pStyle w:val="Heading2"/>
        <w:spacing w:after="100" w:line="254" w:lineRule="auto"/>
      </w:pPr>
      <w:r>
        <w:t>Engineering strengths and improvement opportunities</w:t>
      </w:r>
    </w:p>
    <w:p>
      <w:pPr>
        <w:pStyle w:val="ListBullet"/>
        <w:spacing w:after="50" w:line="245" w:lineRule="auto"/>
      </w:pPr>
      <w:r>
        <w:t>Strength: identical feature logic for train and test reduces training-serving skew.</w:t>
      </w:r>
    </w:p>
    <w:p>
      <w:pPr>
        <w:pStyle w:val="ListBullet"/>
        <w:spacing w:after="50" w:line="245" w:lineRule="auto"/>
      </w:pPr>
      <w:r>
        <w:t>Strength: compact outputs reduce 1,156 raw date columns to 48 predictors while retaining interpretable route and timing signals.</w:t>
      </w:r>
    </w:p>
    <w:p>
      <w:pPr>
        <w:pStyle w:val="ListBullet"/>
        <w:spacing w:after="50" w:line="245" w:lineRule="auto"/>
      </w:pPr>
      <w:r>
        <w:t>Strength: explicit low-width integer and float dtypes reduce intermediate memory.</w:t>
      </w:r>
    </w:p>
    <w:p>
      <w:pPr>
        <w:pStyle w:val="ListBullet"/>
        <w:spacing w:after="50" w:line="245" w:lineRule="auto"/>
      </w:pPr>
      <w:r>
        <w:t>Improvement: row-wise waiting and line-switch loops could be vectorized or accelerated if runtime becomes a bottleneck.</w:t>
      </w:r>
    </w:p>
    <w:p>
      <w:pPr>
        <w:pStyle w:val="ListBullet"/>
        <w:spacing w:after="50" w:line="245" w:lineRule="auto"/>
      </w:pPr>
      <w:r>
        <w:t>Improvement: feature validation tests should assert finite ratios, valid ranges and train/test schema parity.</w:t>
      </w:r>
    </w:p>
    <w:p>
      <w:pPr>
        <w:pStyle w:val="ListBullet"/>
        <w:spacing w:after="50" w:line="245" w:lineRule="auto"/>
      </w:pPr>
      <w:r>
        <w:t>Improvement: downstream cross-validation must fit any learned transformations only on training folds; these Phase 4 rules are deterministic and therefore safe to apply globally.</w:t>
      </w:r>
    </w:p>
    <w:p>
      <w:pPr>
        <w:pStyle w:val="Heading2"/>
        <w:spacing w:after="100" w:line="254" w:lineRule="auto"/>
      </w:pPr>
      <w:r>
        <w:t>Outputs and hand-off</w:t>
      </w:r>
    </w:p>
    <w:tbl>
      <w:tblPr>
        <w:tblStyle w:val="TableGrid"/>
        <w:tblW w:type="auto" w:w="0"/>
        <w:jc w:val="center"/>
        <w:tblLook w:firstColumn="1" w:firstRow="1" w:lastColumn="0" w:lastRow="0" w:noHBand="0" w:noVBand="1" w:val="04A0"/>
      </w:tblPr>
      <w:tblGrid>
        <w:gridCol w:w="4961"/>
        <w:gridCol w:w="4961"/>
      </w:tblGrid>
      <w:tr>
        <w:trPr>
          <w:tblHeader w:val="true"/>
        </w:trPr>
        <w:tc>
          <w:tcPr>
            <w:tcW w:type="dxa" w:w="4961"/>
            <w:shd w:fill="17365D"/>
            <w:vAlign w:val="center"/>
            <w:tcMar>
              <w:top w:w="90" w:type="dxa"/>
              <w:start w:w="80" w:type="dxa"/>
              <w:bottom w:w="90" w:type="dxa"/>
              <w:end w:w="80" w:type="dxa"/>
            </w:tcMar>
          </w:tcPr>
          <w:p>
            <w:pPr>
              <w:spacing w:after="0"/>
              <w:jc w:val="center"/>
            </w:pPr>
            <w:r>
              <w:rPr>
                <w:b/>
                <w:color w:val="FFFFFF"/>
                <w:sz w:val="16"/>
              </w:rPr>
              <w:t>Artifact</w:t>
            </w:r>
          </w:p>
        </w:tc>
        <w:tc>
          <w:tcPr>
            <w:tcW w:type="dxa" w:w="4961"/>
            <w:shd w:fill="17365D"/>
            <w:vAlign w:val="center"/>
            <w:tcMar>
              <w:top w:w="90" w:type="dxa"/>
              <w:start w:w="80" w:type="dxa"/>
              <w:bottom w:w="90" w:type="dxa"/>
              <w:end w:w="80" w:type="dxa"/>
            </w:tcMar>
          </w:tcPr>
          <w:p>
            <w:pPr>
              <w:spacing w:after="0"/>
              <w:jc w:val="center"/>
            </w:pPr>
            <w:r>
              <w:rPr>
                <w:b/>
                <w:color w:val="FFFFFF"/>
                <w:sz w:val="16"/>
              </w:rPr>
              <w:t>Role</w:t>
            </w:r>
          </w:p>
        </w:tc>
      </w:tr>
      <w:tr>
        <w:tc>
          <w:tcPr>
            <w:tcW w:type="dxa" w:w="4961"/>
            <w:tcMar>
              <w:top w:w="70" w:type="dxa"/>
              <w:start w:w="80" w:type="dxa"/>
              <w:bottom w:w="70" w:type="dxa"/>
              <w:end w:w="80" w:type="dxa"/>
            </w:tcMar>
            <w:vAlign w:val="center"/>
          </w:tcPr>
          <w:p>
            <w:pPr>
              <w:spacing w:after="0" w:line="240" w:lineRule="auto"/>
            </w:pPr>
            <w:r>
              <w:rPr>
                <w:sz w:val="16"/>
              </w:rPr>
              <w:t>phase4_train_engineered_features.csv</w:t>
            </w:r>
          </w:p>
        </w:tc>
        <w:tc>
          <w:tcPr>
            <w:tcW w:type="dxa" w:w="4961"/>
            <w:tcMar>
              <w:top w:w="70" w:type="dxa"/>
              <w:start w:w="80" w:type="dxa"/>
              <w:bottom w:w="70" w:type="dxa"/>
              <w:end w:w="80" w:type="dxa"/>
            </w:tcMar>
            <w:vAlign w:val="center"/>
          </w:tcPr>
          <w:p>
            <w:pPr>
              <w:spacing w:after="0" w:line="240" w:lineRule="auto"/>
            </w:pPr>
            <w:r>
              <w:rPr>
                <w:sz w:val="16"/>
              </w:rPr>
              <w:t>Id, Response and 48 engineered predictors.</w:t>
            </w:r>
          </w:p>
        </w:tc>
      </w:tr>
      <w:tr>
        <w:tc>
          <w:tcPr>
            <w:tcW w:type="dxa" w:w="4961"/>
            <w:shd w:fill="F5F7F9"/>
            <w:tcMar>
              <w:top w:w="70" w:type="dxa"/>
              <w:start w:w="80" w:type="dxa"/>
              <w:bottom w:w="70" w:type="dxa"/>
              <w:end w:w="80" w:type="dxa"/>
            </w:tcMar>
            <w:vAlign w:val="center"/>
          </w:tcPr>
          <w:p>
            <w:pPr>
              <w:spacing w:after="0" w:line="240" w:lineRule="auto"/>
            </w:pPr>
            <w:r>
              <w:rPr>
                <w:sz w:val="16"/>
              </w:rPr>
              <w:t>phase4_test_engineered_features.csv</w:t>
            </w:r>
          </w:p>
        </w:tc>
        <w:tc>
          <w:tcPr>
            <w:tcW w:type="dxa" w:w="4961"/>
            <w:shd w:fill="F5F7F9"/>
            <w:tcMar>
              <w:top w:w="70" w:type="dxa"/>
              <w:start w:w="80" w:type="dxa"/>
              <w:bottom w:w="70" w:type="dxa"/>
              <w:end w:w="80" w:type="dxa"/>
            </w:tcMar>
            <w:vAlign w:val="center"/>
          </w:tcPr>
          <w:p>
            <w:pPr>
              <w:spacing w:after="0" w:line="240" w:lineRule="auto"/>
            </w:pPr>
            <w:r>
              <w:rPr>
                <w:sz w:val="16"/>
              </w:rPr>
              <w:t>Id and the identical 48 predictor columns.</w:t>
            </w:r>
          </w:p>
        </w:tc>
      </w:tr>
      <w:tr>
        <w:tc>
          <w:tcPr>
            <w:tcW w:type="dxa" w:w="4961"/>
            <w:tcMar>
              <w:top w:w="70" w:type="dxa"/>
              <w:start w:w="80" w:type="dxa"/>
              <w:bottom w:w="70" w:type="dxa"/>
              <w:end w:w="80" w:type="dxa"/>
            </w:tcMar>
            <w:vAlign w:val="center"/>
          </w:tcPr>
          <w:p>
            <w:pPr>
              <w:spacing w:after="0" w:line="240" w:lineRule="auto"/>
            </w:pPr>
            <w:r>
              <w:rPr>
                <w:sz w:val="16"/>
              </w:rPr>
              <w:t>phase4_feature_dictionary.csv</w:t>
            </w:r>
          </w:p>
        </w:tc>
        <w:tc>
          <w:tcPr>
            <w:tcW w:type="dxa" w:w="4961"/>
            <w:tcMar>
              <w:top w:w="70" w:type="dxa"/>
              <w:start w:w="80" w:type="dxa"/>
              <w:bottom w:w="70" w:type="dxa"/>
              <w:end w:w="80" w:type="dxa"/>
            </w:tcMar>
            <w:vAlign w:val="center"/>
          </w:tcPr>
          <w:p>
            <w:pPr>
              <w:spacing w:after="0" w:line="240" w:lineRule="auto"/>
            </w:pPr>
            <w:r>
              <w:rPr>
                <w:sz w:val="16"/>
              </w:rPr>
              <w:t>Definitions and interpretation boundaries.</w:t>
            </w:r>
          </w:p>
        </w:tc>
      </w:tr>
      <w:tr>
        <w:tc>
          <w:tcPr>
            <w:tcW w:type="dxa" w:w="4961"/>
            <w:shd w:fill="F5F7F9"/>
            <w:tcMar>
              <w:top w:w="70" w:type="dxa"/>
              <w:start w:w="80" w:type="dxa"/>
              <w:bottom w:w="70" w:type="dxa"/>
              <w:end w:w="80" w:type="dxa"/>
            </w:tcMar>
            <w:vAlign w:val="center"/>
          </w:tcPr>
          <w:p>
            <w:pPr>
              <w:spacing w:after="0" w:line="240" w:lineRule="auto"/>
            </w:pPr>
            <w:r>
              <w:rPr>
                <w:sz w:val="16"/>
              </w:rPr>
              <w:t>phase4_engineered_feature_summary.csv</w:t>
            </w:r>
          </w:p>
        </w:tc>
        <w:tc>
          <w:tcPr>
            <w:tcW w:type="dxa" w:w="4961"/>
            <w:shd w:fill="F5F7F9"/>
            <w:tcMar>
              <w:top w:w="70" w:type="dxa"/>
              <w:start w:w="80" w:type="dxa"/>
              <w:bottom w:w="70" w:type="dxa"/>
              <w:end w:w="80" w:type="dxa"/>
            </w:tcMar>
            <w:vAlign w:val="center"/>
          </w:tcPr>
          <w:p>
            <w:pPr>
              <w:spacing w:after="0" w:line="240" w:lineRule="auto"/>
            </w:pPr>
            <w:r>
              <w:rPr>
                <w:sz w:val="16"/>
              </w:rPr>
              <w:t>Rows, columns, file sizes and target presence.</w:t>
            </w:r>
          </w:p>
        </w:tc>
      </w:tr>
      <w:tr>
        <w:tc>
          <w:tcPr>
            <w:tcW w:type="dxa" w:w="4961"/>
            <w:tcMar>
              <w:top w:w="70" w:type="dxa"/>
              <w:start w:w="80" w:type="dxa"/>
              <w:bottom w:w="70" w:type="dxa"/>
              <w:end w:w="80" w:type="dxa"/>
            </w:tcMar>
            <w:vAlign w:val="center"/>
          </w:tcPr>
          <w:p>
            <w:pPr>
              <w:spacing w:after="0" w:line="240" w:lineRule="auto"/>
            </w:pPr>
            <w:r>
              <w:rPr>
                <w:sz w:val="16"/>
              </w:rPr>
              <w:t>phase4_feature_engineering_report.md</w:t>
            </w:r>
          </w:p>
        </w:tc>
        <w:tc>
          <w:tcPr>
            <w:tcW w:type="dxa" w:w="4961"/>
            <w:tcMar>
              <w:top w:w="70" w:type="dxa"/>
              <w:start w:w="80" w:type="dxa"/>
              <w:bottom w:w="70" w:type="dxa"/>
              <w:end w:w="80" w:type="dxa"/>
            </w:tcMar>
            <w:vAlign w:val="center"/>
          </w:tcPr>
          <w:p>
            <w:pPr>
              <w:spacing w:after="0" w:line="240" w:lineRule="auto"/>
            </w:pPr>
            <w:r>
              <w:rPr>
                <w:sz w:val="16"/>
              </w:rPr>
              <w:t>Run-level documentation.</w:t>
            </w:r>
          </w:p>
        </w:tc>
      </w:tr>
    </w:tbl>
    <w:p>
      <w:pPr>
        <w:spacing w:after="0"/>
      </w:pPr>
    </w:p>
    <w:p>
      <w:pPr>
        <w:spacing w:after="100" w:line="254" w:lineRule="auto"/>
      </w:pPr>
      <w:r>
        <w:t>These outputs become reusable inputs for product-family discovery and predictive modelling. They also provide interpretable features for later explainability, process mining and executive dashboards.</w:t>
      </w:r>
    </w:p>
    <w:p>
      <w:pPr>
        <w:pStyle w:val="Heading2"/>
        <w:spacing w:after="100" w:line="254" w:lineRule="auto"/>
      </w:pPr>
      <w:r>
        <w:t>Chapter checkpoint</w:t>
      </w:r>
    </w:p>
    <w:p>
      <w:pPr>
        <w:pStyle w:val="ListBullet"/>
        <w:spacing w:after="50" w:line="245" w:lineRule="auto"/>
      </w:pPr>
      <w:r>
        <w:t>The raw date space is reduced to 48 deterministic predictors with identical train/test definitions.</w:t>
      </w:r>
    </w:p>
    <w:p>
      <w:pPr>
        <w:pStyle w:val="ListBullet"/>
        <w:spacing w:after="50" w:line="245" w:lineRule="auto"/>
      </w:pPr>
      <w:r>
        <w:t>Feature names and the dictionary preserve the boundary between an observed timestamp span and a verified plant KPI.</w:t>
      </w:r>
    </w:p>
    <w:p>
      <w:pPr>
        <w:pStyle w:val="ListBullet"/>
        <w:spacing w:after="50" w:line="245" w:lineRule="auto"/>
      </w:pPr>
      <w:r>
        <w:t>Waiting, density and complexity features encode route behaviour that raw measurements alone do not express directly.</w:t>
      </w:r>
    </w:p>
    <w:p>
      <w:pPr>
        <w:pStyle w:val="ListBullet"/>
        <w:spacing w:after="50" w:line="245" w:lineRule="auto"/>
      </w:pPr>
      <w:r>
        <w:t>The output is now suitable for clustering, family-specific modelling and failure prediction without repeatedly scanning all date columns.</w:t>
      </w:r>
    </w:p>
    <w:p>
      <w:pPr>
        <w:spacing w:after="100" w:line="254" w:lineRule="auto"/>
      </w:pPr>
      <w:r>
        <w:t>Interview talking point: explain how you would unit-test cycle-time, waiting, line-switch and completeness features before allowing them into a production model.</w:t>
      </w:r>
    </w:p>
    <w:p>
      <w:r>
        <w:br w:type="page"/>
      </w:r>
    </w:p>
    <w:p>
      <w:pPr>
        <w:pStyle w:val="Heading1"/>
      </w:pPr>
      <w:r>
        <w:t>Chapters 27–30: Integrated Data Contract</w:t>
      </w:r>
    </w:p>
    <w:p>
      <w:pPr>
        <w:spacing w:after="100" w:line="254" w:lineRule="auto"/>
      </w:pPr>
      <w:r>
        <w:t>The four phases form one data-engineering chain. Each phase produces explicit artifacts rather than passing hidden notebook state to the next stage.</w:t>
      </w:r>
    </w:p>
    <w:tbl>
      <w:tblPr>
        <w:tblStyle w:val="TableGrid"/>
        <w:tblW w:type="auto" w:w="0"/>
        <w:jc w:val="center"/>
        <w:tblLook w:firstColumn="1" w:firstRow="1" w:lastColumn="0" w:lastRow="0" w:noHBand="0" w:noVBand="1" w:val="04A0"/>
      </w:tblPr>
      <w:tblGrid>
        <w:gridCol w:w="2480"/>
        <w:gridCol w:w="2480"/>
        <w:gridCol w:w="2480"/>
        <w:gridCol w:w="2480"/>
      </w:tblGrid>
      <w:tr>
        <w:trPr>
          <w:tblHeader w:val="true"/>
        </w:trPr>
        <w:tc>
          <w:tcPr>
            <w:tcW w:type="dxa" w:w="2480"/>
            <w:shd w:fill="17365D"/>
            <w:vAlign w:val="center"/>
            <w:tcMar>
              <w:top w:w="90" w:type="dxa"/>
              <w:start w:w="80" w:type="dxa"/>
              <w:bottom w:w="90" w:type="dxa"/>
              <w:end w:w="80" w:type="dxa"/>
            </w:tcMar>
          </w:tcPr>
          <w:p>
            <w:pPr>
              <w:spacing w:after="0"/>
              <w:jc w:val="center"/>
            </w:pPr>
            <w:r>
              <w:rPr>
                <w:b/>
                <w:color w:val="FFFFFF"/>
                <w:sz w:val="17"/>
              </w:rPr>
              <w:t>Chapter</w:t>
            </w:r>
          </w:p>
        </w:tc>
        <w:tc>
          <w:tcPr>
            <w:tcW w:type="dxa" w:w="2480"/>
            <w:shd w:fill="17365D"/>
            <w:vAlign w:val="center"/>
            <w:tcMar>
              <w:top w:w="90" w:type="dxa"/>
              <w:start w:w="80" w:type="dxa"/>
              <w:bottom w:w="90" w:type="dxa"/>
              <w:end w:w="80" w:type="dxa"/>
            </w:tcMar>
          </w:tcPr>
          <w:p>
            <w:pPr>
              <w:spacing w:after="0"/>
              <w:jc w:val="center"/>
            </w:pPr>
            <w:r>
              <w:rPr>
                <w:b/>
                <w:color w:val="FFFFFF"/>
                <w:sz w:val="17"/>
              </w:rPr>
              <w:t>Primary input</w:t>
            </w:r>
          </w:p>
        </w:tc>
        <w:tc>
          <w:tcPr>
            <w:tcW w:type="dxa" w:w="2480"/>
            <w:shd w:fill="17365D"/>
            <w:vAlign w:val="center"/>
            <w:tcMar>
              <w:top w:w="90" w:type="dxa"/>
              <w:start w:w="80" w:type="dxa"/>
              <w:bottom w:w="90" w:type="dxa"/>
              <w:end w:w="80" w:type="dxa"/>
            </w:tcMar>
          </w:tcPr>
          <w:p>
            <w:pPr>
              <w:spacing w:after="0"/>
              <w:jc w:val="center"/>
            </w:pPr>
            <w:r>
              <w:rPr>
                <w:b/>
                <w:color w:val="FFFFFF"/>
                <w:sz w:val="17"/>
              </w:rPr>
              <w:t>Transformation</w:t>
            </w:r>
          </w:p>
        </w:tc>
        <w:tc>
          <w:tcPr>
            <w:tcW w:type="dxa" w:w="2480"/>
            <w:shd w:fill="17365D"/>
            <w:vAlign w:val="center"/>
            <w:tcMar>
              <w:top w:w="90" w:type="dxa"/>
              <w:start w:w="80" w:type="dxa"/>
              <w:bottom w:w="90" w:type="dxa"/>
              <w:end w:w="80" w:type="dxa"/>
            </w:tcMar>
          </w:tcPr>
          <w:p>
            <w:pPr>
              <w:spacing w:after="0"/>
              <w:jc w:val="center"/>
            </w:pPr>
            <w:r>
              <w:rPr>
                <w:b/>
                <w:color w:val="FFFFFF"/>
                <w:sz w:val="17"/>
              </w:rPr>
              <w:t>Principal hand-off</w:t>
            </w:r>
          </w:p>
        </w:tc>
      </w:tr>
      <w:tr>
        <w:tc>
          <w:tcPr>
            <w:tcW w:type="dxa" w:w="2480"/>
            <w:tcMar>
              <w:top w:w="70" w:type="dxa"/>
              <w:start w:w="80" w:type="dxa"/>
              <w:bottom w:w="70" w:type="dxa"/>
              <w:end w:w="80" w:type="dxa"/>
            </w:tcMar>
            <w:vAlign w:val="center"/>
          </w:tcPr>
          <w:p>
            <w:pPr>
              <w:spacing w:after="0" w:line="240" w:lineRule="auto"/>
            </w:pPr>
            <w:r>
              <w:rPr>
                <w:sz w:val="17"/>
              </w:rPr>
              <w:t>27</w:t>
            </w:r>
          </w:p>
        </w:tc>
        <w:tc>
          <w:tcPr>
            <w:tcW w:type="dxa" w:w="2480"/>
            <w:tcMar>
              <w:top w:w="70" w:type="dxa"/>
              <w:start w:w="80" w:type="dxa"/>
              <w:bottom w:w="70" w:type="dxa"/>
              <w:end w:w="80" w:type="dxa"/>
            </w:tcMar>
            <w:vAlign w:val="center"/>
          </w:tcPr>
          <w:p>
            <w:pPr>
              <w:spacing w:after="0" w:line="240" w:lineRule="auto"/>
            </w:pPr>
            <w:r>
              <w:rPr>
                <w:sz w:val="17"/>
              </w:rPr>
              <w:t>Raw CSVs</w:t>
            </w:r>
          </w:p>
        </w:tc>
        <w:tc>
          <w:tcPr>
            <w:tcW w:type="dxa" w:w="2480"/>
            <w:tcMar>
              <w:top w:w="70" w:type="dxa"/>
              <w:start w:w="80" w:type="dxa"/>
              <w:bottom w:w="70" w:type="dxa"/>
              <w:end w:w="80" w:type="dxa"/>
            </w:tcMar>
            <w:vAlign w:val="center"/>
          </w:tcPr>
          <w:p>
            <w:pPr>
              <w:spacing w:after="0" w:line="240" w:lineRule="auto"/>
            </w:pPr>
            <w:r>
              <w:rPr>
                <w:sz w:val="17"/>
              </w:rPr>
              <w:t>File and column quality evidence</w:t>
            </w:r>
          </w:p>
        </w:tc>
        <w:tc>
          <w:tcPr>
            <w:tcW w:type="dxa" w:w="2480"/>
            <w:tcMar>
              <w:top w:w="70" w:type="dxa"/>
              <w:start w:w="80" w:type="dxa"/>
              <w:bottom w:w="70" w:type="dxa"/>
              <w:end w:w="80" w:type="dxa"/>
            </w:tcMar>
            <w:vAlign w:val="center"/>
          </w:tcPr>
          <w:p>
            <w:pPr>
              <w:spacing w:after="0" w:line="240" w:lineRule="auto"/>
            </w:pPr>
            <w:r>
              <w:rPr>
                <w:sz w:val="17"/>
              </w:rPr>
              <w:t>phase1_missing_values_by_column.csv</w:t>
            </w:r>
          </w:p>
        </w:tc>
      </w:tr>
      <w:tr>
        <w:tc>
          <w:tcPr>
            <w:tcW w:type="dxa" w:w="2480"/>
            <w:shd w:fill="F5F7F9"/>
            <w:tcMar>
              <w:top w:w="70" w:type="dxa"/>
              <w:start w:w="80" w:type="dxa"/>
              <w:bottom w:w="70" w:type="dxa"/>
              <w:end w:w="80" w:type="dxa"/>
            </w:tcMar>
            <w:vAlign w:val="center"/>
          </w:tcPr>
          <w:p>
            <w:pPr>
              <w:spacing w:after="0" w:line="240" w:lineRule="auto"/>
            </w:pPr>
            <w:r>
              <w:rPr>
                <w:sz w:val="17"/>
              </w:rPr>
              <w:t>28</w:t>
            </w:r>
          </w:p>
        </w:tc>
        <w:tc>
          <w:tcPr>
            <w:tcW w:type="dxa" w:w="2480"/>
            <w:shd w:fill="F5F7F9"/>
            <w:tcMar>
              <w:top w:w="70" w:type="dxa"/>
              <w:start w:w="80" w:type="dxa"/>
              <w:bottom w:w="70" w:type="dxa"/>
              <w:end w:w="80" w:type="dxa"/>
            </w:tcMar>
            <w:vAlign w:val="center"/>
          </w:tcPr>
          <w:p>
            <w:pPr>
              <w:spacing w:after="0" w:line="240" w:lineRule="auto"/>
            </w:pPr>
            <w:r>
              <w:rPr>
                <w:sz w:val="17"/>
              </w:rPr>
              <w:t>Raw headers + Phase 1</w:t>
            </w:r>
          </w:p>
        </w:tc>
        <w:tc>
          <w:tcPr>
            <w:tcW w:type="dxa" w:w="2480"/>
            <w:shd w:fill="F5F7F9"/>
            <w:tcMar>
              <w:top w:w="70" w:type="dxa"/>
              <w:start w:w="80" w:type="dxa"/>
              <w:bottom w:w="70" w:type="dxa"/>
              <w:end w:w="80" w:type="dxa"/>
            </w:tcMar>
            <w:vAlign w:val="center"/>
          </w:tcPr>
          <w:p>
            <w:pPr>
              <w:spacing w:after="0" w:line="240" w:lineRule="auto"/>
            </w:pPr>
            <w:r>
              <w:rPr>
                <w:sz w:val="17"/>
              </w:rPr>
              <w:t>Manufacturing metadata and flow indicators</w:t>
            </w:r>
          </w:p>
        </w:tc>
        <w:tc>
          <w:tcPr>
            <w:tcW w:type="dxa" w:w="2480"/>
            <w:shd w:fill="F5F7F9"/>
            <w:tcMar>
              <w:top w:w="70" w:type="dxa"/>
              <w:start w:w="80" w:type="dxa"/>
              <w:bottom w:w="70" w:type="dxa"/>
              <w:end w:w="80" w:type="dxa"/>
            </w:tcMar>
            <w:vAlign w:val="center"/>
          </w:tcPr>
          <w:p>
            <w:pPr>
              <w:spacing w:after="0" w:line="240" w:lineRule="auto"/>
            </w:pPr>
            <w:r>
              <w:rPr>
                <w:sz w:val="17"/>
              </w:rPr>
              <w:t>manufacturing_flow_*.parquet</w:t>
            </w:r>
          </w:p>
        </w:tc>
      </w:tr>
      <w:tr>
        <w:tc>
          <w:tcPr>
            <w:tcW w:type="dxa" w:w="2480"/>
            <w:tcMar>
              <w:top w:w="70" w:type="dxa"/>
              <w:start w:w="80" w:type="dxa"/>
              <w:bottom w:w="70" w:type="dxa"/>
              <w:end w:w="80" w:type="dxa"/>
            </w:tcMar>
            <w:vAlign w:val="center"/>
          </w:tcPr>
          <w:p>
            <w:pPr>
              <w:spacing w:after="0" w:line="240" w:lineRule="auto"/>
            </w:pPr>
            <w:r>
              <w:rPr>
                <w:sz w:val="17"/>
              </w:rPr>
              <w:t>29</w:t>
            </w:r>
          </w:p>
        </w:tc>
        <w:tc>
          <w:tcPr>
            <w:tcW w:type="dxa" w:w="2480"/>
            <w:tcMar>
              <w:top w:w="70" w:type="dxa"/>
              <w:start w:w="80" w:type="dxa"/>
              <w:bottom w:w="70" w:type="dxa"/>
              <w:end w:w="80" w:type="dxa"/>
            </w:tcMar>
            <w:vAlign w:val="center"/>
          </w:tcPr>
          <w:p>
            <w:pPr>
              <w:spacing w:after="0" w:line="240" w:lineRule="auto"/>
            </w:pPr>
            <w:r>
              <w:rPr>
                <w:sz w:val="17"/>
              </w:rPr>
              <w:t>Raw train CSVs</w:t>
            </w:r>
          </w:p>
        </w:tc>
        <w:tc>
          <w:tcPr>
            <w:tcW w:type="dxa" w:w="2480"/>
            <w:tcMar>
              <w:top w:w="70" w:type="dxa"/>
              <w:start w:w="80" w:type="dxa"/>
              <w:bottom w:w="70" w:type="dxa"/>
              <w:end w:w="80" w:type="dxa"/>
            </w:tcMar>
            <w:vAlign w:val="center"/>
          </w:tcPr>
          <w:p>
            <w:pPr>
              <w:spacing w:after="0" w:line="240" w:lineRule="auto"/>
            </w:pPr>
            <w:r>
              <w:rPr>
                <w:sz w:val="17"/>
              </w:rPr>
              <w:t>Risk evidence and EDA outputs</w:t>
            </w:r>
          </w:p>
        </w:tc>
        <w:tc>
          <w:tcPr>
            <w:tcW w:type="dxa" w:w="2480"/>
            <w:tcMar>
              <w:top w:w="70" w:type="dxa"/>
              <w:start w:w="80" w:type="dxa"/>
              <w:bottom w:w="70" w:type="dxa"/>
              <w:end w:w="80" w:type="dxa"/>
            </w:tcMar>
            <w:vAlign w:val="center"/>
          </w:tcPr>
          <w:p>
            <w:pPr>
              <w:spacing w:after="0" w:line="240" w:lineRule="auto"/>
            </w:pPr>
            <w:r>
              <w:rPr>
                <w:sz w:val="17"/>
              </w:rPr>
              <w:t>phase3 reports, figures, time features</w:t>
            </w:r>
          </w:p>
        </w:tc>
      </w:tr>
      <w:tr>
        <w:tc>
          <w:tcPr>
            <w:tcW w:type="dxa" w:w="2480"/>
            <w:shd w:fill="F5F7F9"/>
            <w:tcMar>
              <w:top w:w="70" w:type="dxa"/>
              <w:start w:w="80" w:type="dxa"/>
              <w:bottom w:w="70" w:type="dxa"/>
              <w:end w:w="80" w:type="dxa"/>
            </w:tcMar>
            <w:vAlign w:val="center"/>
          </w:tcPr>
          <w:p>
            <w:pPr>
              <w:spacing w:after="0" w:line="240" w:lineRule="auto"/>
            </w:pPr>
            <w:r>
              <w:rPr>
                <w:sz w:val="17"/>
              </w:rPr>
              <w:t>30</w:t>
            </w:r>
          </w:p>
        </w:tc>
        <w:tc>
          <w:tcPr>
            <w:tcW w:type="dxa" w:w="2480"/>
            <w:shd w:fill="F5F7F9"/>
            <w:tcMar>
              <w:top w:w="70" w:type="dxa"/>
              <w:start w:w="80" w:type="dxa"/>
              <w:bottom w:w="70" w:type="dxa"/>
              <w:end w:w="80" w:type="dxa"/>
            </w:tcMar>
            <w:vAlign w:val="center"/>
          </w:tcPr>
          <w:p>
            <w:pPr>
              <w:spacing w:after="0" w:line="240" w:lineRule="auto"/>
            </w:pPr>
            <w:r>
              <w:rPr>
                <w:sz w:val="17"/>
              </w:rPr>
              <w:t>Raw date CSVs + target</w:t>
            </w:r>
          </w:p>
        </w:tc>
        <w:tc>
          <w:tcPr>
            <w:tcW w:type="dxa" w:w="2480"/>
            <w:shd w:fill="F5F7F9"/>
            <w:tcMar>
              <w:top w:w="70" w:type="dxa"/>
              <w:start w:w="80" w:type="dxa"/>
              <w:bottom w:w="70" w:type="dxa"/>
              <w:end w:w="80" w:type="dxa"/>
            </w:tcMar>
            <w:vAlign w:val="center"/>
          </w:tcPr>
          <w:p>
            <w:pPr>
              <w:spacing w:after="0" w:line="240" w:lineRule="auto"/>
            </w:pPr>
            <w:r>
              <w:rPr>
                <w:sz w:val="17"/>
              </w:rPr>
              <w:t>Model-ready deterministic features</w:t>
            </w:r>
          </w:p>
        </w:tc>
        <w:tc>
          <w:tcPr>
            <w:tcW w:type="dxa" w:w="2480"/>
            <w:shd w:fill="F5F7F9"/>
            <w:tcMar>
              <w:top w:w="70" w:type="dxa"/>
              <w:start w:w="80" w:type="dxa"/>
              <w:bottom w:w="70" w:type="dxa"/>
              <w:end w:w="80" w:type="dxa"/>
            </w:tcMar>
            <w:vAlign w:val="center"/>
          </w:tcPr>
          <w:p>
            <w:pPr>
              <w:spacing w:after="0" w:line="240" w:lineRule="auto"/>
            </w:pPr>
            <w:r>
              <w:rPr>
                <w:sz w:val="17"/>
              </w:rPr>
              <w:t>phase4_*_engineered_features.csv</w:t>
            </w:r>
          </w:p>
        </w:tc>
      </w:tr>
    </w:tbl>
    <w:p>
      <w:pPr>
        <w:spacing w:after="0"/>
      </w:pPr>
    </w:p>
    <w:p>
      <w:pPr>
        <w:pStyle w:val="Heading2"/>
        <w:spacing w:after="100" w:line="254" w:lineRule="auto"/>
      </w:pPr>
      <w:r>
        <w:t>End-to-end controls</w:t>
      </w:r>
    </w:p>
    <w:p>
      <w:pPr>
        <w:pStyle w:val="ListBullet"/>
        <w:spacing w:after="50" w:line="245" w:lineRule="auto"/>
      </w:pPr>
      <w:r>
        <w:t>Reproducibility: every chapter has a command-line script and a companion notebook.</w:t>
      </w:r>
    </w:p>
    <w:p>
      <w:pPr>
        <w:pStyle w:val="ListBullet"/>
        <w:spacing w:after="50" w:line="245" w:lineRule="auto"/>
      </w:pPr>
      <w:r>
        <w:t>Scalability: large CSVs are processed in chunks instead of full-memory loads.</w:t>
      </w:r>
    </w:p>
    <w:p>
      <w:pPr>
        <w:pStyle w:val="ListBullet"/>
        <w:spacing w:after="50" w:line="245" w:lineRule="auto"/>
      </w:pPr>
      <w:r>
        <w:t>Traceability: reports, dictionaries and summaries document each artifact.</w:t>
      </w:r>
    </w:p>
    <w:p>
      <w:pPr>
        <w:pStyle w:val="ListBullet"/>
        <w:spacing w:after="50" w:line="245" w:lineRule="auto"/>
      </w:pPr>
      <w:r>
        <w:t>Schema safety: train/test logic is shared and Id alignment is checked before target joins.</w:t>
      </w:r>
    </w:p>
    <w:p>
      <w:pPr>
        <w:pStyle w:val="ListBullet"/>
        <w:spacing w:after="50" w:line="245" w:lineRule="auto"/>
      </w:pPr>
      <w:r>
        <w:t>Interpretability: anonymous columns are never renamed to unsupported physical meanings.</w:t>
      </w:r>
    </w:p>
    <w:p>
      <w:pPr>
        <w:pStyle w:val="Heading2"/>
        <w:spacing w:after="100" w:line="254" w:lineRule="auto"/>
      </w:pPr>
      <w:r>
        <w:t>Review questions</w:t>
      </w:r>
    </w:p>
    <w:p>
      <w:pPr>
        <w:pStyle w:val="ListNumber"/>
        <w:spacing w:after="50"/>
      </w:pPr>
      <w:r>
        <w:t>Why is extreme missingness not automatically evidence that a Bosch feature is useless?</w:t>
      </w:r>
    </w:p>
    <w:p>
      <w:pPr>
        <w:pStyle w:val="ListNumber"/>
        <w:spacing w:after="50"/>
      </w:pPr>
      <w:r>
        <w:t>How does Phase 2 transform a feature such as L3_S32_F3854 into structured metadata?</w:t>
      </w:r>
    </w:p>
    <w:p>
      <w:pPr>
        <w:pStyle w:val="ListNumber"/>
        <w:spacing w:after="50"/>
      </w:pPr>
      <w:r>
        <w:t>Why does the Phase 3 risk score combine excess failure rate with product volume?</w:t>
      </w:r>
    </w:p>
    <w:p>
      <w:pPr>
        <w:pStyle w:val="ListNumber"/>
        <w:spacing w:after="50"/>
      </w:pPr>
      <w:r>
        <w:t>Why are relative-time bins appropriate while calendar seasonality is not?</w:t>
      </w:r>
    </w:p>
    <w:p>
      <w:pPr>
        <w:pStyle w:val="ListNumber"/>
        <w:spacing w:after="50"/>
      </w:pPr>
      <w:r>
        <w:t>What is the difference between cycle_time in Phase 4 and a verified factory cycle-time KPI?</w:t>
      </w:r>
    </w:p>
    <w:p>
      <w:pPr>
        <w:pStyle w:val="ListNumber"/>
        <w:spacing w:after="50"/>
      </w:pPr>
      <w:r>
        <w:t>Which safeguards prevent Response from being attached to the wrong products?</w:t>
      </w:r>
    </w:p>
    <w:p>
      <w:pPr>
        <w:pStyle w:val="ListNumber"/>
        <w:spacing w:after="50"/>
      </w:pPr>
      <w:r>
        <w:t>Why are deterministic Phase 4 features less vulnerable to cross-validation leakage than learned encodings?</w:t>
      </w:r>
    </w:p>
    <w:p>
      <w:pPr>
        <w:pStyle w:val="ListNumber"/>
        <w:spacing w:after="50"/>
      </w:pPr>
      <w:r>
        <w:t>What evidence from Chapters 27–30 supports the need for product-family discovery in the next phase?</w:t>
      </w:r>
    </w:p>
    <w:p>
      <w:pPr>
        <w:pStyle w:val="Heading2"/>
        <w:spacing w:after="100" w:line="254" w:lineRule="auto"/>
      </w:pPr>
      <w:r>
        <w:t>Repository references</w:t>
      </w:r>
    </w:p>
    <w:p>
      <w:pPr>
        <w:pStyle w:val="ListBullet"/>
        <w:spacing w:after="50" w:line="245" w:lineRule="auto"/>
      </w:pPr>
      <w:r>
        <w:t>src/data/phase1_data_quality.py and reports/phase1_*</w:t>
      </w:r>
    </w:p>
    <w:p>
      <w:pPr>
        <w:pStyle w:val="ListBullet"/>
        <w:spacing w:after="50" w:line="245" w:lineRule="auto"/>
      </w:pPr>
      <w:r>
        <w:t>src/data/phase2_data_understanding_engineering.py and reports/phase2_*</w:t>
      </w:r>
    </w:p>
    <w:p>
      <w:pPr>
        <w:pStyle w:val="ListBullet"/>
        <w:spacing w:after="50" w:line="245" w:lineRule="auto"/>
      </w:pPr>
      <w:r>
        <w:t>src/data/phase3_exploratory_data_analysis.py, reports/phase3_* and reports/figures/phase3_*.png</w:t>
      </w:r>
    </w:p>
    <w:p>
      <w:pPr>
        <w:pStyle w:val="ListBullet"/>
        <w:spacing w:after="50" w:line="245" w:lineRule="auto"/>
      </w:pPr>
      <w:r>
        <w:t>src/data/phase4_feature_engineering.py, reports/phase4_* and data/processed/phase4_*</w:t>
      </w:r>
    </w:p>
    <w:p>
      <w:pPr>
        <w:pStyle w:val="ListBullet"/>
        <w:spacing w:after="50" w:line="245" w:lineRule="auto"/>
      </w:pPr>
      <w:r>
        <w:t>README.md — execution commands, repository structure and phase output inventory</w:t>
      </w:r>
    </w:p>
    <w:tbl>
      <w:tblPr>
        <w:tblW w:type="auto" w:w="0"/>
        <w:jc w:val="center"/>
        <w:tblLook w:firstColumn="1" w:firstRow="1" w:lastColumn="0" w:lastRow="0" w:noHBand="0" w:noVBand="1" w:val="04A0"/>
      </w:tblPr>
      <w:tblGrid>
        <w:gridCol w:w="9922"/>
      </w:tblGrid>
      <w:tr>
        <w:tc>
          <w:tcPr>
            <w:tcW w:type="dxa" w:w="9922"/>
            <w:shd w:fill="E2F0D9"/>
            <w:tcMar>
              <w:top w:w="110" w:type="dxa"/>
              <w:start w:w="140" w:type="dxa"/>
              <w:bottom w:w="110" w:type="dxa"/>
              <w:end w:w="140" w:type="dxa"/>
            </w:tcMar>
          </w:tcPr>
          <w:p>
            <w:pPr>
              <w:spacing w:after="0"/>
            </w:pPr>
            <w:r>
              <w:rPr>
                <w:b/>
                <w:color w:val="17365D"/>
              </w:rPr>
              <w:t xml:space="preserve">Next chapter: </w:t>
            </w:r>
            <w:r>
              <w:t>Chapter 31 uses station-presence patterns to discover product families and build family-specific baselines, addressing the reality that different routes may represent distinct manufacturing populations.</w:t>
            </w:r>
          </w:p>
        </w:tc>
      </w:tr>
    </w:tbl>
    <w:p>
      <w:pPr>
        <w:spacing w:after="0"/>
      </w:pPr>
    </w:p>
    <w:sectPr w:rsidR="00FC693F" w:rsidRPr="0006063C" w:rsidSect="00034616">
      <w:headerReference w:type="default" r:id="rId9"/>
      <w:footerReference w:type="default" r:id="rId10"/>
      <w:pgSz w:w="11906" w:h="16838"/>
      <w:pgMar w:top="935" w:right="992" w:bottom="879" w:left="992"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7"/>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95959"/>
        <w:sz w:val="16"/>
      </w:rPr>
      <w:t>BOSCH PRODUCTION LINE PERFORMANCE  |  PART IV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 w:after="140"/>
      <w:outlineLvl w:val="0"/>
    </w:pPr>
    <w:rPr>
      <w:rFonts w:asciiTheme="majorHAnsi" w:eastAsiaTheme="majorEastAsia" w:hAnsiTheme="majorHAnsi" w:cstheme="majorBidi" w:ascii="Aptos Display" w:hAnsi="Aptos Display"/>
      <w:b/>
      <w:bCs/>
      <w:color w:val="17365D"/>
      <w:sz w:val="4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ptos" w:hAnsi="Aptos"/>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Bosch Production Line Performance Handbook — Part IV Chapters 27–30</dc:title>
  <dc:subject>Repository-driven walkthrough of data quality, data understanding, EDA and feature engineering</dc:subject>
  <dc:creator>Krishnakanth Reddy Karingula</dc:creator>
  <cp:keywords>Bosch, manufacturing analytics, data quality, EDA, feature engineering, machine learning</cp:keywords>
  <dc:description>generated by python-docx</dc:description>
  <cp:lastModifiedBy/>
  <cp:revision>1</cp:revision>
  <dcterms:created xsi:type="dcterms:W3CDTF">2013-12-23T23:15:00Z</dcterms:created>
  <dcterms:modified xsi:type="dcterms:W3CDTF">2013-12-23T23:15:00Z</dcterms:modified>
  <cp:category/>
</cp:coreProperties>
</file>