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56"/>
        </w:rPr>
        <w:t>BOSCH PRODUCTION LINE</w:t>
        <w:br/>
        <w:t>PERFORMANCE PROJECT HANDBOOK</w:t>
      </w:r>
    </w:p>
    <w:p>
      <w:pPr>
        <w:jc w:val="center"/>
      </w:pPr>
      <w:r>
        <w:rPr>
          <w:b/>
          <w:color w:val="1F4E79"/>
          <w:sz w:val="42"/>
        </w:rPr>
        <w:t>PART II - UNDERSTANDING THE BOSCH DATASET</w:t>
      </w:r>
    </w:p>
    <w:p>
      <w:pPr>
        <w:spacing w:before="360"/>
        <w:jc w:val="center"/>
      </w:pPr>
      <w:r>
        <w:rPr>
          <w:i/>
          <w:color w:val="5A6470"/>
          <w:sz w:val="28"/>
        </w:rPr>
        <w:t>A guided tour of the competition, files, features, timestamps, anonymization, limitations, and manufacturing interpretation</w:t>
      </w:r>
    </w:p>
    <w:p>
      <w:pPr>
        <w:spacing w:before="1900"/>
        <w:jc w:val="center"/>
      </w:pPr>
      <w:r>
        <w:rPr>
          <w:b/>
          <w:color w:val="17365D"/>
          <w:sz w:val="26"/>
        </w:rPr>
        <w:t>Author</w:t>
        <w:br/>
        <w:t>Krishnakanth Reddy Karingula</w:t>
      </w:r>
    </w:p>
    <w:p>
      <w:pPr>
        <w:spacing w:before="500"/>
        <w:jc w:val="center"/>
      </w:pPr>
      <w:r>
        <w:rPr>
          <w:sz w:val="20"/>
        </w:rPr>
        <w:t>Project repository: github.com/kkr199/Bosch-Production-line-performance</w:t>
        <w:br/>
        <w:t>Dashboard: bosch-peformance-line.streamlit.app</w:t>
      </w:r>
    </w:p>
    <w:p>
      <w:r>
        <w:br w:type="page"/>
      </w:r>
    </w:p>
    <w:p>
      <w:pPr>
        <w:pStyle w:val="Title"/>
      </w:pPr>
      <w:r>
        <w:t>How to Use Part II</w:t>
      </w:r>
    </w:p>
    <w:p>
      <w:r>
        <w:t>Part II explains the Bosch Production Line Performance dataset before the handbook moves into data science and modeling. The goal is not merely to list columns. A beginner should finish this part understanding what one row represents, how the files relate to one another, why the data is extremely sparse, what the feature names reveal, what they deliberately hide, and how to communicate findings without claiming more than the data supports.</w:t>
      </w:r>
    </w:p>
    <w:tbl>
      <w:tblPr>
        <w:tblW w:type="auto" w:w="0"/>
        <w:jc w:val="center"/>
        <w:tblLook w:firstColumn="1" w:firstRow="1" w:lastColumn="0" w:lastRow="0" w:noHBand="0" w:noVBand="1" w:val="04A0"/>
      </w:tblPr>
      <w:tblGrid>
        <w:gridCol w:w="9525"/>
      </w:tblGrid>
      <w:tr>
        <w:trPr>
          <w:cantSplit/>
        </w:trPr>
        <w:tc>
          <w:tcPr>
            <w:tcW w:type="dxa" w:w="9525"/>
            <w:shd w:fill="FCE4D6"/>
            <w:tcMar>
              <w:top w:w="180" w:type="dxa"/>
              <w:start w:w="220" w:type="dxa"/>
              <w:bottom w:w="180" w:type="dxa"/>
              <w:end w:w="220" w:type="dxa"/>
            </w:tcMar>
          </w:tcPr>
          <w:p>
            <w:r>
              <w:rPr>
                <w:b/>
                <w:color w:val="1F4E79"/>
                <w:sz w:val="21"/>
              </w:rPr>
              <w:t>The most important rule in this part</w:t>
              <w:br/>
            </w:r>
            <w:r>
              <w:rPr>
                <w:sz w:val="21"/>
              </w:rPr>
              <w:t>The dataset preserves manufacturing structure but removes physical meaning. You can identify a line, station, feature number, value type, relative measurement time, and labelled outcome. You cannot identify the real sensor, unit, operation, machine setting, product type, defect mechanism, or physical root cause without additional Bosch factory documentation.</w:t>
            </w:r>
          </w:p>
        </w:tc>
      </w:tr>
    </w:tbl>
    <w:p>
      <w:pPr>
        <w:spacing w:after="0"/>
      </w:pPr>
    </w:p>
    <w:p>
      <w:pPr>
        <w:pStyle w:val="Heading1"/>
        <w:keepNext/>
      </w:pPr>
      <w:r>
        <w:t>Part II learning roadmap</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1701"/>
            <w:shd w:fill="1F4E79"/>
            <w:vAlign w:val="center"/>
          </w:tcPr>
          <w:p>
            <w:r>
              <w:rPr>
                <w:b/>
                <w:color w:val="FFFFFF"/>
                <w:sz w:val="19"/>
              </w:rPr>
              <w:t>Chapter</w:t>
            </w:r>
          </w:p>
        </w:tc>
        <w:tc>
          <w:tcPr>
            <w:tcW w:type="dxa" w:w="7143"/>
            <w:shd w:fill="1F4E79"/>
            <w:vAlign w:val="center"/>
          </w:tcPr>
          <w:p>
            <w:r>
              <w:rPr>
                <w:b/>
                <w:color w:val="FFFFFF"/>
                <w:sz w:val="19"/>
              </w:rPr>
              <w:t>Purpose</w:t>
            </w:r>
          </w:p>
        </w:tc>
      </w:tr>
      <w:tr>
        <w:trPr>
          <w:cantSplit/>
        </w:trPr>
        <w:tc>
          <w:tcPr>
            <w:tcW w:type="dxa" w:w="1701"/>
            <w:vAlign w:val="top"/>
            <w:tcMar>
              <w:top w:w="90" w:type="dxa"/>
              <w:start w:w="100" w:type="dxa"/>
              <w:bottom w:w="90" w:type="dxa"/>
              <w:end w:w="100" w:type="dxa"/>
            </w:tcMar>
          </w:tcPr>
          <w:p>
            <w:pPr>
              <w:spacing w:after="0"/>
            </w:pPr>
            <w:r>
              <w:rPr>
                <w:sz w:val="18"/>
              </w:rPr>
              <w:t>Chapter 7</w:t>
            </w:r>
          </w:p>
        </w:tc>
        <w:tc>
          <w:tcPr>
            <w:tcW w:type="dxa" w:w="7143"/>
            <w:vAlign w:val="top"/>
            <w:tcMar>
              <w:top w:w="90" w:type="dxa"/>
              <w:start w:w="100" w:type="dxa"/>
              <w:bottom w:w="90" w:type="dxa"/>
              <w:end w:w="100" w:type="dxa"/>
            </w:tcMar>
          </w:tcPr>
          <w:p>
            <w:pPr>
              <w:spacing w:after="0"/>
            </w:pPr>
            <w:r>
              <w:rPr>
                <w:sz w:val="18"/>
              </w:rPr>
              <w:t>Understand the Kaggle task, target, train/test design, class imbalance, and MCC metric.</w:t>
            </w:r>
          </w:p>
        </w:tc>
      </w:tr>
      <w:tr>
        <w:trPr>
          <w:cantSplit/>
        </w:trPr>
        <w:tc>
          <w:tcPr>
            <w:tcW w:type="dxa" w:w="1701"/>
            <w:vAlign w:val="top"/>
            <w:tcMar>
              <w:top w:w="90" w:type="dxa"/>
              <w:start w:w="100" w:type="dxa"/>
              <w:bottom w:w="90" w:type="dxa"/>
              <w:end w:w="100" w:type="dxa"/>
            </w:tcMar>
          </w:tcPr>
          <w:p>
            <w:pPr>
              <w:spacing w:after="0"/>
            </w:pPr>
            <w:r>
              <w:rPr>
                <w:sz w:val="18"/>
              </w:rPr>
              <w:t>Chapter 8</w:t>
            </w:r>
          </w:p>
        </w:tc>
        <w:tc>
          <w:tcPr>
            <w:tcW w:type="dxa" w:w="7143"/>
            <w:vAlign w:val="top"/>
            <w:tcMar>
              <w:top w:w="90" w:type="dxa"/>
              <w:start w:w="100" w:type="dxa"/>
              <w:bottom w:w="90" w:type="dxa"/>
              <w:end w:w="100" w:type="dxa"/>
            </w:tcMar>
          </w:tcPr>
          <w:p>
            <w:pPr>
              <w:spacing w:after="0"/>
            </w:pPr>
            <w:r>
              <w:rPr>
                <w:sz w:val="18"/>
              </w:rPr>
              <w:t>Learn how the six large CSV files and sample submission fit together.</w:t>
            </w:r>
          </w:p>
        </w:tc>
      </w:tr>
      <w:tr>
        <w:trPr>
          <w:cantSplit/>
        </w:trPr>
        <w:tc>
          <w:tcPr>
            <w:tcW w:type="dxa" w:w="1701"/>
            <w:vAlign w:val="top"/>
            <w:tcMar>
              <w:top w:w="90" w:type="dxa"/>
              <w:start w:w="100" w:type="dxa"/>
              <w:bottom w:w="90" w:type="dxa"/>
              <w:end w:w="100" w:type="dxa"/>
            </w:tcMar>
          </w:tcPr>
          <w:p>
            <w:pPr>
              <w:spacing w:after="0"/>
            </w:pPr>
            <w:r>
              <w:rPr>
                <w:sz w:val="18"/>
              </w:rPr>
              <w:t>Chapter 9</w:t>
            </w:r>
          </w:p>
        </w:tc>
        <w:tc>
          <w:tcPr>
            <w:tcW w:type="dxa" w:w="7143"/>
            <w:vAlign w:val="top"/>
            <w:tcMar>
              <w:top w:w="90" w:type="dxa"/>
              <w:start w:w="100" w:type="dxa"/>
              <w:bottom w:w="90" w:type="dxa"/>
              <w:end w:w="100" w:type="dxa"/>
            </w:tcMar>
          </w:tcPr>
          <w:p>
            <w:pPr>
              <w:spacing w:after="0"/>
            </w:pPr>
            <w:r>
              <w:rPr>
                <w:sz w:val="18"/>
              </w:rPr>
              <w:t>Understand numerical measurements, sparsity, preprocessing, and safe interpretation.</w:t>
            </w:r>
          </w:p>
        </w:tc>
      </w:tr>
      <w:tr>
        <w:trPr>
          <w:cantSplit/>
        </w:trPr>
        <w:tc>
          <w:tcPr>
            <w:tcW w:type="dxa" w:w="1701"/>
            <w:vAlign w:val="top"/>
            <w:tcMar>
              <w:top w:w="90" w:type="dxa"/>
              <w:start w:w="100" w:type="dxa"/>
              <w:bottom w:w="90" w:type="dxa"/>
              <w:end w:w="100" w:type="dxa"/>
            </w:tcMar>
          </w:tcPr>
          <w:p>
            <w:pPr>
              <w:spacing w:after="0"/>
            </w:pPr>
            <w:r>
              <w:rPr>
                <w:sz w:val="18"/>
              </w:rPr>
              <w:t>Chapter 10</w:t>
            </w:r>
          </w:p>
        </w:tc>
        <w:tc>
          <w:tcPr>
            <w:tcW w:type="dxa" w:w="7143"/>
            <w:vAlign w:val="top"/>
            <w:tcMar>
              <w:top w:w="90" w:type="dxa"/>
              <w:start w:w="100" w:type="dxa"/>
              <w:bottom w:w="90" w:type="dxa"/>
              <w:end w:w="100" w:type="dxa"/>
            </w:tcMar>
          </w:tcPr>
          <w:p>
            <w:pPr>
              <w:spacing w:after="0"/>
            </w:pPr>
            <w:r>
              <w:rPr>
                <w:sz w:val="18"/>
              </w:rPr>
              <w:t>Understand categorical values, encoding choices, high cardinality, and unseen levels.</w:t>
            </w:r>
          </w:p>
        </w:tc>
      </w:tr>
      <w:tr>
        <w:trPr>
          <w:cantSplit/>
        </w:trPr>
        <w:tc>
          <w:tcPr>
            <w:tcW w:type="dxa" w:w="1701"/>
            <w:vAlign w:val="top"/>
            <w:tcMar>
              <w:top w:w="90" w:type="dxa"/>
              <w:start w:w="100" w:type="dxa"/>
              <w:bottom w:w="90" w:type="dxa"/>
              <w:end w:w="100" w:type="dxa"/>
            </w:tcMar>
          </w:tcPr>
          <w:p>
            <w:pPr>
              <w:spacing w:after="0"/>
            </w:pPr>
            <w:r>
              <w:rPr>
                <w:sz w:val="18"/>
              </w:rPr>
              <w:t>Chapter 11</w:t>
            </w:r>
          </w:p>
        </w:tc>
        <w:tc>
          <w:tcPr>
            <w:tcW w:type="dxa" w:w="7143"/>
            <w:vAlign w:val="top"/>
            <w:tcMar>
              <w:top w:w="90" w:type="dxa"/>
              <w:start w:w="100" w:type="dxa"/>
              <w:bottom w:w="90" w:type="dxa"/>
              <w:end w:w="100" w:type="dxa"/>
            </w:tcMar>
          </w:tcPr>
          <w:p>
            <w:pPr>
              <w:spacing w:after="0"/>
            </w:pPr>
            <w:r>
              <w:rPr>
                <w:sz w:val="18"/>
              </w:rPr>
              <w:t>Understand relative date features, feature pairing, station presence, and timestamp-derived engineering.</w:t>
            </w:r>
          </w:p>
        </w:tc>
      </w:tr>
      <w:tr>
        <w:trPr>
          <w:cantSplit/>
        </w:trPr>
        <w:tc>
          <w:tcPr>
            <w:tcW w:type="dxa" w:w="1701"/>
            <w:vAlign w:val="top"/>
            <w:tcMar>
              <w:top w:w="90" w:type="dxa"/>
              <w:start w:w="100" w:type="dxa"/>
              <w:bottom w:w="90" w:type="dxa"/>
              <w:end w:w="100" w:type="dxa"/>
            </w:tcMar>
          </w:tcPr>
          <w:p>
            <w:pPr>
              <w:spacing w:after="0"/>
            </w:pPr>
            <w:r>
              <w:rPr>
                <w:sz w:val="18"/>
              </w:rPr>
              <w:t>Chapter 12</w:t>
            </w:r>
          </w:p>
        </w:tc>
        <w:tc>
          <w:tcPr>
            <w:tcW w:type="dxa" w:w="7143"/>
            <w:vAlign w:val="top"/>
            <w:tcMar>
              <w:top w:w="90" w:type="dxa"/>
              <w:start w:w="100" w:type="dxa"/>
              <w:bottom w:w="90" w:type="dxa"/>
              <w:end w:w="100" w:type="dxa"/>
            </w:tcMar>
          </w:tcPr>
          <w:p>
            <w:pPr>
              <w:spacing w:after="0"/>
            </w:pPr>
            <w:r>
              <w:rPr>
                <w:sz w:val="18"/>
              </w:rPr>
              <w:t>Learn why data is anonymized and how that changes interpretation.</w:t>
            </w:r>
          </w:p>
        </w:tc>
      </w:tr>
      <w:tr>
        <w:trPr>
          <w:cantSplit/>
        </w:trPr>
        <w:tc>
          <w:tcPr>
            <w:tcW w:type="dxa" w:w="1701"/>
            <w:vAlign w:val="top"/>
            <w:tcMar>
              <w:top w:w="90" w:type="dxa"/>
              <w:start w:w="100" w:type="dxa"/>
              <w:bottom w:w="90" w:type="dxa"/>
              <w:end w:w="100" w:type="dxa"/>
            </w:tcMar>
          </w:tcPr>
          <w:p>
            <w:pPr>
              <w:spacing w:after="0"/>
            </w:pPr>
            <w:r>
              <w:rPr>
                <w:sz w:val="18"/>
              </w:rPr>
              <w:t>Chapter 13</w:t>
            </w:r>
          </w:p>
        </w:tc>
        <w:tc>
          <w:tcPr>
            <w:tcW w:type="dxa" w:w="7143"/>
            <w:vAlign w:val="top"/>
            <w:tcMar>
              <w:top w:w="90" w:type="dxa"/>
              <w:start w:w="100" w:type="dxa"/>
              <w:bottom w:w="90" w:type="dxa"/>
              <w:end w:w="100" w:type="dxa"/>
            </w:tcMar>
          </w:tcPr>
          <w:p>
            <w:pPr>
              <w:spacing w:after="0"/>
            </w:pPr>
            <w:r>
              <w:rPr>
                <w:sz w:val="18"/>
              </w:rPr>
              <w:t>Master the Lx_Sy_Fz and Lx_Sy_Dz naming convention and metadata parsing.</w:t>
            </w:r>
          </w:p>
        </w:tc>
      </w:tr>
      <w:tr>
        <w:trPr>
          <w:cantSplit/>
        </w:trPr>
        <w:tc>
          <w:tcPr>
            <w:tcW w:type="dxa" w:w="1701"/>
            <w:vAlign w:val="top"/>
            <w:tcMar>
              <w:top w:w="90" w:type="dxa"/>
              <w:start w:w="100" w:type="dxa"/>
              <w:bottom w:w="90" w:type="dxa"/>
              <w:end w:w="100" w:type="dxa"/>
            </w:tcMar>
          </w:tcPr>
          <w:p>
            <w:pPr>
              <w:spacing w:after="0"/>
            </w:pPr>
            <w:r>
              <w:rPr>
                <w:sz w:val="18"/>
              </w:rPr>
              <w:t>Chapter 14</w:t>
            </w:r>
          </w:p>
        </w:tc>
        <w:tc>
          <w:tcPr>
            <w:tcW w:type="dxa" w:w="7143"/>
            <w:vAlign w:val="top"/>
            <w:tcMar>
              <w:top w:w="90" w:type="dxa"/>
              <w:start w:w="100" w:type="dxa"/>
              <w:bottom w:w="90" w:type="dxa"/>
              <w:end w:w="100" w:type="dxa"/>
            </w:tcMar>
          </w:tcPr>
          <w:p>
            <w:pPr>
              <w:spacing w:after="0"/>
            </w:pPr>
            <w:r>
              <w:rPr>
                <w:sz w:val="18"/>
              </w:rPr>
              <w:t>Recognize the dataset limitations and separate benchmark readiness from factory readiness.</w:t>
            </w:r>
          </w:p>
        </w:tc>
      </w:tr>
      <w:tr>
        <w:trPr>
          <w:cantSplit/>
        </w:trPr>
        <w:tc>
          <w:tcPr>
            <w:tcW w:type="dxa" w:w="1701"/>
            <w:vAlign w:val="top"/>
            <w:tcMar>
              <w:top w:w="90" w:type="dxa"/>
              <w:start w:w="100" w:type="dxa"/>
              <w:bottom w:w="90" w:type="dxa"/>
              <w:end w:w="100" w:type="dxa"/>
            </w:tcMar>
          </w:tcPr>
          <w:p>
            <w:pPr>
              <w:spacing w:after="0"/>
            </w:pPr>
            <w:r>
              <w:rPr>
                <w:sz w:val="18"/>
              </w:rPr>
              <w:t>Chapter 15</w:t>
            </w:r>
          </w:p>
        </w:tc>
        <w:tc>
          <w:tcPr>
            <w:tcW w:type="dxa" w:w="7143"/>
            <w:vAlign w:val="top"/>
            <w:tcMar>
              <w:top w:w="90" w:type="dxa"/>
              <w:start w:w="100" w:type="dxa"/>
              <w:bottom w:w="90" w:type="dxa"/>
              <w:end w:w="100" w:type="dxa"/>
            </w:tcMar>
          </w:tcPr>
          <w:p>
            <w:pPr>
              <w:spacing w:after="0"/>
            </w:pPr>
            <w:r>
              <w:rPr>
                <w:sz w:val="18"/>
              </w:rPr>
              <w:t>Apply a disciplined manufacturing interpretation framework to project findings.</w:t>
            </w:r>
          </w:p>
        </w:tc>
      </w:tr>
    </w:tbl>
    <w:p/>
    <w:p>
      <w:pPr>
        <w:pStyle w:val="Heading1"/>
        <w:keepNext/>
      </w:pPr>
      <w:r>
        <w:t>Dataset snapshot from this project</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4252"/>
            <w:shd w:fill="1F4E79"/>
            <w:vAlign w:val="center"/>
          </w:tcPr>
          <w:p>
            <w:r>
              <w:rPr>
                <w:b/>
                <w:color w:val="FFFFFF"/>
                <w:sz w:val="19"/>
              </w:rPr>
              <w:t>Item</w:t>
            </w:r>
          </w:p>
        </w:tc>
        <w:tc>
          <w:tcPr>
            <w:tcW w:type="dxa" w:w="4535"/>
            <w:shd w:fill="1F4E79"/>
            <w:vAlign w:val="center"/>
          </w:tcPr>
          <w:p>
            <w:r>
              <w:rPr>
                <w:b/>
                <w:color w:val="FFFFFF"/>
                <w:sz w:val="19"/>
              </w:rPr>
              <w:t>Value</w:t>
            </w:r>
          </w:p>
        </w:tc>
      </w:tr>
      <w:tr>
        <w:trPr>
          <w:cantSplit/>
        </w:trPr>
        <w:tc>
          <w:tcPr>
            <w:tcW w:type="dxa" w:w="4252"/>
            <w:vAlign w:val="top"/>
            <w:tcMar>
              <w:top w:w="90" w:type="dxa"/>
              <w:start w:w="100" w:type="dxa"/>
              <w:bottom w:w="90" w:type="dxa"/>
              <w:end w:w="100" w:type="dxa"/>
            </w:tcMar>
          </w:tcPr>
          <w:p>
            <w:pPr>
              <w:spacing w:after="0"/>
            </w:pPr>
            <w:r>
              <w:rPr>
                <w:sz w:val="18"/>
              </w:rPr>
              <w:t>Training parts</w:t>
            </w:r>
          </w:p>
        </w:tc>
        <w:tc>
          <w:tcPr>
            <w:tcW w:type="dxa" w:w="4535"/>
            <w:vAlign w:val="top"/>
            <w:tcMar>
              <w:top w:w="90" w:type="dxa"/>
              <w:start w:w="100" w:type="dxa"/>
              <w:bottom w:w="90" w:type="dxa"/>
              <w:end w:w="100" w:type="dxa"/>
            </w:tcMar>
          </w:tcPr>
          <w:p>
            <w:pPr>
              <w:spacing w:after="0"/>
            </w:pPr>
            <w:r>
              <w:rPr>
                <w:sz w:val="18"/>
              </w:rPr>
              <w:t>1,183,747</w:t>
            </w:r>
          </w:p>
        </w:tc>
      </w:tr>
      <w:tr>
        <w:trPr>
          <w:cantSplit/>
        </w:trPr>
        <w:tc>
          <w:tcPr>
            <w:tcW w:type="dxa" w:w="4252"/>
            <w:vAlign w:val="top"/>
            <w:tcMar>
              <w:top w:w="90" w:type="dxa"/>
              <w:start w:w="100" w:type="dxa"/>
              <w:bottom w:w="90" w:type="dxa"/>
              <w:end w:w="100" w:type="dxa"/>
            </w:tcMar>
          </w:tcPr>
          <w:p>
            <w:pPr>
              <w:spacing w:after="0"/>
            </w:pPr>
            <w:r>
              <w:rPr>
                <w:sz w:val="18"/>
              </w:rPr>
              <w:t>Unlabelled test parts</w:t>
            </w:r>
          </w:p>
        </w:tc>
        <w:tc>
          <w:tcPr>
            <w:tcW w:type="dxa" w:w="4535"/>
            <w:vAlign w:val="top"/>
            <w:tcMar>
              <w:top w:w="90" w:type="dxa"/>
              <w:start w:w="100" w:type="dxa"/>
              <w:bottom w:w="90" w:type="dxa"/>
              <w:end w:w="100" w:type="dxa"/>
            </w:tcMar>
          </w:tcPr>
          <w:p>
            <w:pPr>
              <w:spacing w:after="0"/>
            </w:pPr>
            <w:r>
              <w:rPr>
                <w:sz w:val="18"/>
              </w:rPr>
              <w:t>1,183,748</w:t>
            </w:r>
          </w:p>
        </w:tc>
      </w:tr>
      <w:tr>
        <w:trPr>
          <w:cantSplit/>
        </w:trPr>
        <w:tc>
          <w:tcPr>
            <w:tcW w:type="dxa" w:w="4252"/>
            <w:vAlign w:val="top"/>
            <w:tcMar>
              <w:top w:w="90" w:type="dxa"/>
              <w:start w:w="100" w:type="dxa"/>
              <w:bottom w:w="90" w:type="dxa"/>
              <w:end w:w="100" w:type="dxa"/>
            </w:tcMar>
          </w:tcPr>
          <w:p>
            <w:pPr>
              <w:spacing w:after="0"/>
            </w:pPr>
            <w:r>
              <w:rPr>
                <w:sz w:val="18"/>
              </w:rPr>
              <w:t>Failure rate in training</w:t>
            </w:r>
          </w:p>
        </w:tc>
        <w:tc>
          <w:tcPr>
            <w:tcW w:type="dxa" w:w="4535"/>
            <w:vAlign w:val="top"/>
            <w:tcMar>
              <w:top w:w="90" w:type="dxa"/>
              <w:start w:w="100" w:type="dxa"/>
              <w:bottom w:w="90" w:type="dxa"/>
              <w:end w:w="100" w:type="dxa"/>
            </w:tcMar>
          </w:tcPr>
          <w:p>
            <w:pPr>
              <w:spacing w:after="0"/>
            </w:pPr>
            <w:r>
              <w:rPr>
                <w:sz w:val="18"/>
              </w:rPr>
              <w:t>0.5811% (6,879 failures)</w:t>
            </w:r>
          </w:p>
        </w:tc>
      </w:tr>
      <w:tr>
        <w:trPr>
          <w:cantSplit/>
        </w:trPr>
        <w:tc>
          <w:tcPr>
            <w:tcW w:type="dxa" w:w="4252"/>
            <w:vAlign w:val="top"/>
            <w:tcMar>
              <w:top w:w="90" w:type="dxa"/>
              <w:start w:w="100" w:type="dxa"/>
              <w:bottom w:w="90" w:type="dxa"/>
              <w:end w:w="100" w:type="dxa"/>
            </w:tcMar>
          </w:tcPr>
          <w:p>
            <w:pPr>
              <w:spacing w:after="0"/>
            </w:pPr>
            <w:r>
              <w:rPr>
                <w:sz w:val="18"/>
              </w:rPr>
              <w:t>Raw model feature columns</w:t>
            </w:r>
          </w:p>
        </w:tc>
        <w:tc>
          <w:tcPr>
            <w:tcW w:type="dxa" w:w="4535"/>
            <w:vAlign w:val="top"/>
            <w:tcMar>
              <w:top w:w="90" w:type="dxa"/>
              <w:start w:w="100" w:type="dxa"/>
              <w:bottom w:w="90" w:type="dxa"/>
              <w:end w:w="100" w:type="dxa"/>
            </w:tcMar>
          </w:tcPr>
          <w:p>
            <w:pPr>
              <w:spacing w:after="0"/>
            </w:pPr>
            <w:r>
              <w:rPr>
                <w:sz w:val="18"/>
              </w:rPr>
              <w:t>4,264</w:t>
            </w:r>
          </w:p>
        </w:tc>
      </w:tr>
      <w:tr>
        <w:trPr>
          <w:cantSplit/>
        </w:trPr>
        <w:tc>
          <w:tcPr>
            <w:tcW w:type="dxa" w:w="4252"/>
            <w:vAlign w:val="top"/>
            <w:tcMar>
              <w:top w:w="90" w:type="dxa"/>
              <w:start w:w="100" w:type="dxa"/>
              <w:bottom w:w="90" w:type="dxa"/>
              <w:end w:w="100" w:type="dxa"/>
            </w:tcMar>
          </w:tcPr>
          <w:p>
            <w:pPr>
              <w:spacing w:after="0"/>
            </w:pPr>
            <w:r>
              <w:rPr>
                <w:sz w:val="18"/>
              </w:rPr>
              <w:t>Numerical features</w:t>
            </w:r>
          </w:p>
        </w:tc>
        <w:tc>
          <w:tcPr>
            <w:tcW w:type="dxa" w:w="4535"/>
            <w:vAlign w:val="top"/>
            <w:tcMar>
              <w:top w:w="90" w:type="dxa"/>
              <w:start w:w="100" w:type="dxa"/>
              <w:bottom w:w="90" w:type="dxa"/>
              <w:end w:w="100" w:type="dxa"/>
            </w:tcMar>
          </w:tcPr>
          <w:p>
            <w:pPr>
              <w:spacing w:after="0"/>
            </w:pPr>
            <w:r>
              <w:rPr>
                <w:sz w:val="18"/>
              </w:rPr>
              <w:t>968</w:t>
            </w:r>
          </w:p>
        </w:tc>
      </w:tr>
      <w:tr>
        <w:trPr>
          <w:cantSplit/>
        </w:trPr>
        <w:tc>
          <w:tcPr>
            <w:tcW w:type="dxa" w:w="4252"/>
            <w:vAlign w:val="top"/>
            <w:tcMar>
              <w:top w:w="90" w:type="dxa"/>
              <w:start w:w="100" w:type="dxa"/>
              <w:bottom w:w="90" w:type="dxa"/>
              <w:end w:w="100" w:type="dxa"/>
            </w:tcMar>
          </w:tcPr>
          <w:p>
            <w:pPr>
              <w:spacing w:after="0"/>
            </w:pPr>
            <w:r>
              <w:rPr>
                <w:sz w:val="18"/>
              </w:rPr>
              <w:t>Categorical features</w:t>
            </w:r>
          </w:p>
        </w:tc>
        <w:tc>
          <w:tcPr>
            <w:tcW w:type="dxa" w:w="4535"/>
            <w:vAlign w:val="top"/>
            <w:tcMar>
              <w:top w:w="90" w:type="dxa"/>
              <w:start w:w="100" w:type="dxa"/>
              <w:bottom w:w="90" w:type="dxa"/>
              <w:end w:w="100" w:type="dxa"/>
            </w:tcMar>
          </w:tcPr>
          <w:p>
            <w:pPr>
              <w:spacing w:after="0"/>
            </w:pPr>
            <w:r>
              <w:rPr>
                <w:sz w:val="18"/>
              </w:rPr>
              <w:t>2,140</w:t>
            </w:r>
          </w:p>
        </w:tc>
      </w:tr>
      <w:tr>
        <w:trPr>
          <w:cantSplit/>
        </w:trPr>
        <w:tc>
          <w:tcPr>
            <w:tcW w:type="dxa" w:w="4252"/>
            <w:vAlign w:val="top"/>
            <w:tcMar>
              <w:top w:w="90" w:type="dxa"/>
              <w:start w:w="100" w:type="dxa"/>
              <w:bottom w:w="90" w:type="dxa"/>
              <w:end w:w="100" w:type="dxa"/>
            </w:tcMar>
          </w:tcPr>
          <w:p>
            <w:pPr>
              <w:spacing w:after="0"/>
            </w:pPr>
            <w:r>
              <w:rPr>
                <w:sz w:val="18"/>
              </w:rPr>
              <w:t>Date features</w:t>
            </w:r>
          </w:p>
        </w:tc>
        <w:tc>
          <w:tcPr>
            <w:tcW w:type="dxa" w:w="4535"/>
            <w:vAlign w:val="top"/>
            <w:tcMar>
              <w:top w:w="90" w:type="dxa"/>
              <w:start w:w="100" w:type="dxa"/>
              <w:bottom w:w="90" w:type="dxa"/>
              <w:end w:w="100" w:type="dxa"/>
            </w:tcMar>
          </w:tcPr>
          <w:p>
            <w:pPr>
              <w:spacing w:after="0"/>
            </w:pPr>
            <w:r>
              <w:rPr>
                <w:sz w:val="18"/>
              </w:rPr>
              <w:t>1,156</w:t>
            </w:r>
          </w:p>
        </w:tc>
      </w:tr>
      <w:tr>
        <w:trPr>
          <w:cantSplit/>
        </w:trPr>
        <w:tc>
          <w:tcPr>
            <w:tcW w:type="dxa" w:w="4252"/>
            <w:vAlign w:val="top"/>
            <w:tcMar>
              <w:top w:w="90" w:type="dxa"/>
              <w:start w:w="100" w:type="dxa"/>
              <w:bottom w:w="90" w:type="dxa"/>
              <w:end w:w="100" w:type="dxa"/>
            </w:tcMar>
          </w:tcPr>
          <w:p>
            <w:pPr>
              <w:spacing w:after="0"/>
            </w:pPr>
            <w:r>
              <w:rPr>
                <w:sz w:val="18"/>
              </w:rPr>
              <w:t>Encoded production lines</w:t>
            </w:r>
          </w:p>
        </w:tc>
        <w:tc>
          <w:tcPr>
            <w:tcW w:type="dxa" w:w="4535"/>
            <w:vAlign w:val="top"/>
            <w:tcMar>
              <w:top w:w="90" w:type="dxa"/>
              <w:start w:w="100" w:type="dxa"/>
              <w:bottom w:w="90" w:type="dxa"/>
              <w:end w:w="100" w:type="dxa"/>
            </w:tcMar>
          </w:tcPr>
          <w:p>
            <w:pPr>
              <w:spacing w:after="0"/>
            </w:pPr>
            <w:r>
              <w:rPr>
                <w:sz w:val="18"/>
              </w:rPr>
              <w:t>4</w:t>
            </w:r>
          </w:p>
        </w:tc>
      </w:tr>
      <w:tr>
        <w:trPr>
          <w:cantSplit/>
        </w:trPr>
        <w:tc>
          <w:tcPr>
            <w:tcW w:type="dxa" w:w="4252"/>
            <w:vAlign w:val="top"/>
            <w:tcMar>
              <w:top w:w="90" w:type="dxa"/>
              <w:start w:w="100" w:type="dxa"/>
              <w:bottom w:w="90" w:type="dxa"/>
              <w:end w:w="100" w:type="dxa"/>
            </w:tcMar>
          </w:tcPr>
          <w:p>
            <w:pPr>
              <w:spacing w:after="0"/>
            </w:pPr>
            <w:r>
              <w:rPr>
                <w:sz w:val="18"/>
              </w:rPr>
              <w:t>Encoded stations</w:t>
            </w:r>
          </w:p>
        </w:tc>
        <w:tc>
          <w:tcPr>
            <w:tcW w:type="dxa" w:w="4535"/>
            <w:vAlign w:val="top"/>
            <w:tcMar>
              <w:top w:w="90" w:type="dxa"/>
              <w:start w:w="100" w:type="dxa"/>
              <w:bottom w:w="90" w:type="dxa"/>
              <w:end w:w="100" w:type="dxa"/>
            </w:tcMar>
          </w:tcPr>
          <w:p>
            <w:pPr>
              <w:spacing w:after="0"/>
            </w:pPr>
            <w:r>
              <w:rPr>
                <w:sz w:val="18"/>
              </w:rPr>
              <w:t>52</w:t>
            </w:r>
          </w:p>
        </w:tc>
      </w:tr>
      <w:tr>
        <w:trPr>
          <w:cantSplit/>
        </w:trPr>
        <w:tc>
          <w:tcPr>
            <w:tcW w:type="dxa" w:w="4252"/>
            <w:vAlign w:val="top"/>
            <w:tcMar>
              <w:top w:w="90" w:type="dxa"/>
              <w:start w:w="100" w:type="dxa"/>
              <w:bottom w:w="90" w:type="dxa"/>
              <w:end w:w="100" w:type="dxa"/>
            </w:tcMar>
          </w:tcPr>
          <w:p>
            <w:pPr>
              <w:spacing w:after="0"/>
            </w:pPr>
            <w:r>
              <w:rPr>
                <w:sz w:val="18"/>
              </w:rPr>
              <w:t>Approximate raw CSV size</w:t>
            </w:r>
          </w:p>
        </w:tc>
        <w:tc>
          <w:tcPr>
            <w:tcW w:type="dxa" w:w="4535"/>
            <w:vAlign w:val="top"/>
            <w:tcMar>
              <w:top w:w="90" w:type="dxa"/>
              <w:start w:w="100" w:type="dxa"/>
              <w:bottom w:w="90" w:type="dxa"/>
              <w:end w:w="100" w:type="dxa"/>
            </w:tcMar>
          </w:tcPr>
          <w:p>
            <w:pPr>
              <w:spacing w:after="0"/>
            </w:pPr>
            <w:r>
              <w:rPr>
                <w:sz w:val="18"/>
              </w:rPr>
              <w:t>14.3 GB across train and test files</w:t>
            </w:r>
          </w:p>
        </w:tc>
      </w:tr>
    </w:tbl>
    <w:p/>
    <w:p>
      <w:pPr>
        <w:pStyle w:val="Heading1"/>
        <w:keepNext/>
      </w:pPr>
      <w:r>
        <w:t>Source policy</w:t>
      </w:r>
    </w:p>
    <w:p>
      <w:r>
        <w:t>The core description is based on the official Kaggle competition materials and the data-quality, metadata, exploratory-analysis, feature-engineering, and research artifacts produced in this project. The Kaggle discussion forum is used as supplementary evidence for competition techniques and community observations. Such observations are not treated as official descriptions of Bosch operations. Where a community technique exploits ordering or information that would not exist in a future factory deployment, the handbook labels it as competition-style rather than production-safe.</w:t>
      </w:r>
    </w:p>
    <w:p>
      <w:pPr>
        <w:pStyle w:val="Heading1"/>
        <w:keepNext/>
      </w:pPr>
      <w:r>
        <w:t>Contents</w:t>
      </w:r>
    </w:p>
    <w:p>
      <w:pPr>
        <w:pStyle w:val="ListBullet"/>
      </w:pPr>
      <w:r>
        <w:t>Chapter 7: Bosch Kaggle Competition</w:t>
      </w:r>
    </w:p>
    <w:p>
      <w:pPr>
        <w:pStyle w:val="ListBullet"/>
      </w:pPr>
      <w:r>
        <w:t>Chapter 8: Dataset Structure</w:t>
      </w:r>
    </w:p>
    <w:p>
      <w:pPr>
        <w:pStyle w:val="ListBullet"/>
      </w:pPr>
      <w:r>
        <w:t>Chapter 9: Numerical Features</w:t>
      </w:r>
    </w:p>
    <w:p>
      <w:pPr>
        <w:pStyle w:val="ListBullet"/>
      </w:pPr>
      <w:r>
        <w:t>Chapter 10: Categorical Features</w:t>
      </w:r>
    </w:p>
    <w:p>
      <w:pPr>
        <w:pStyle w:val="ListBullet"/>
      </w:pPr>
      <w:r>
        <w:t>Chapter 11: Date Features</w:t>
      </w:r>
    </w:p>
    <w:p>
      <w:pPr>
        <w:pStyle w:val="ListBullet"/>
      </w:pPr>
      <w:r>
        <w:t>Chapter 12: Why Features are Anonymous</w:t>
      </w:r>
    </w:p>
    <w:p>
      <w:pPr>
        <w:pStyle w:val="ListBullet"/>
      </w:pPr>
      <w:r>
        <w:t>Chapter 13: Understanding Line-Station-Feature Naming</w:t>
      </w:r>
    </w:p>
    <w:p>
      <w:pPr>
        <w:pStyle w:val="ListBullet"/>
      </w:pPr>
      <w:r>
        <w:t>Chapter 14: Dataset Limitations</w:t>
      </w:r>
    </w:p>
    <w:p>
      <w:pPr>
        <w:pStyle w:val="ListBullet"/>
      </w:pPr>
      <w:r>
        <w:t>Chapter 15: Manufacturing Interpretation</w:t>
      </w:r>
    </w:p>
    <w:p>
      <w:pPr>
        <w:pStyle w:val="ListBullet"/>
      </w:pPr>
      <w:r>
        <w:t>Part II Glossary</w:t>
      </w:r>
    </w:p>
    <w:p>
      <w:pPr>
        <w:pStyle w:val="ListBullet"/>
      </w:pPr>
      <w:r>
        <w:t>References</w:t>
      </w:r>
    </w:p>
    <w:p>
      <w:r>
        <w:br w:type="page"/>
      </w:r>
    </w:p>
    <w:p>
      <w:pPr>
        <w:pStyle w:val="Title"/>
      </w:pPr>
      <w:r>
        <w:t>Chapter 7: Bosch Kaggle Competition</w:t>
      </w:r>
    </w:p>
    <w:tbl>
      <w:tblPr>
        <w:tblW w:type="auto" w:w="0"/>
        <w:jc w:val="center"/>
        <w:tblLook w:firstColumn="1" w:firstRow="1" w:lastColumn="0" w:lastRow="0" w:noHBand="0" w:noVBand="1" w:val="04A0"/>
      </w:tblPr>
      <w:tblGrid>
        <w:gridCol w:w="9525"/>
      </w:tblGrid>
      <w:tr>
        <w:trPr>
          <w:cantSplit/>
        </w:trPr>
        <w:tc>
          <w:tcPr>
            <w:tcW w:type="dxa" w:w="9525"/>
            <w:shd w:fill="E4DFEC"/>
            <w:tcMar>
              <w:top w:w="180" w:type="dxa"/>
              <w:start w:w="220" w:type="dxa"/>
              <w:bottom w:w="180" w:type="dxa"/>
              <w:end w:w="220" w:type="dxa"/>
            </w:tcMar>
          </w:tcPr>
          <w:p>
            <w:r>
              <w:rPr>
                <w:b/>
                <w:color w:val="1F4E79"/>
                <w:sz w:val="21"/>
              </w:rPr>
              <w:t>Learning objectives</w:t>
              <w:br/>
            </w:r>
            <w:r>
              <w:rPr>
                <w:sz w:val="21"/>
              </w:rPr>
              <w:t>By the end of this chapter, the reader should be able to:</w:t>
              <w:br/>
              <w:t>• describe the goal and unit of analysis of the Bosch competition</w:t>
              <w:br/>
              <w:t>• explain the Response target and the train/test arrangement</w:t>
              <w:br/>
              <w:t>• calculate and interpret the severe class imbalance</w:t>
              <w:br/>
              <w:t>• explain why accuracy is unsuitable and why MCC was used</w:t>
              <w:br/>
              <w:t>• separate competition performance from production-readiness claims</w:t>
            </w:r>
          </w:p>
        </w:tc>
      </w:tr>
    </w:tbl>
    <w:p>
      <w:pPr>
        <w:spacing w:after="0"/>
      </w:pPr>
    </w:p>
    <w:p>
      <w:pPr>
        <w:pStyle w:val="Heading1"/>
        <w:keepNext/>
      </w:pPr>
      <w:r>
        <w:t>7.1 The business problem behind the competition</w:t>
      </w:r>
    </w:p>
    <w:p>
      <w:r>
        <w:t>Bosch records many measurements and tests while parts move through production. The competition asked participants to use those records to predict internal failures. The general manufacturing motivation is straightforward: if high-risk parts can be recognized earlier or prioritized for additional review, a manufacturer may reduce waste, rework, missed defects, and unnecessary inspection. The competition converted this broad industrial objective into a supervised binary classification problem [1][10].</w:t>
      </w:r>
    </w:p>
    <w:p>
      <w:pPr>
        <w:jc w:val="center"/>
      </w:pPr>
      <w:r>
        <w:drawing>
          <wp:inline xmlns:a="http://schemas.openxmlformats.org/drawingml/2006/main" xmlns:pic="http://schemas.openxmlformats.org/drawingml/2006/picture">
            <wp:extent cx="6126480" cy="3335528"/>
            <wp:docPr id="1" name="Picture 1"/>
            <wp:cNvGraphicFramePr>
              <a:graphicFrameLocks noChangeAspect="1"/>
            </wp:cNvGraphicFramePr>
            <a:graphic>
              <a:graphicData uri="http://schemas.openxmlformats.org/drawingml/2006/picture">
                <pic:pic>
                  <pic:nvPicPr>
                    <pic:cNvPr id="0" name="figure_7_1_competition_task.png"/>
                    <pic:cNvPicPr/>
                  </pic:nvPicPr>
                  <pic:blipFill>
                    <a:blip r:embed="rId11"/>
                    <a:stretch>
                      <a:fillRect/>
                    </a:stretch>
                  </pic:blipFill>
                  <pic:spPr>
                    <a:xfrm>
                      <a:off x="0" y="0"/>
                      <a:ext cx="6126480" cy="3335528"/>
                    </a:xfrm>
                    <a:prstGeom prst="rect"/>
                  </pic:spPr>
                </pic:pic>
              </a:graphicData>
            </a:graphic>
          </wp:inline>
        </w:drawing>
      </w:r>
    </w:p>
    <w:p>
      <w:pPr>
        <w:pStyle w:val="Caption"/>
        <w:jc w:val="center"/>
      </w:pPr>
      <w:r>
        <w:t>Figure 7.1 - The competition converts production records for each part into a binary failure prediction task.</w:t>
      </w:r>
    </w:p>
    <w:tbl>
      <w:tblPr>
        <w:tblW w:type="auto" w:w="0"/>
        <w:jc w:val="center"/>
        <w:tblLook w:firstColumn="1" w:firstRow="1" w:lastColumn="0" w:lastRow="0" w:noHBand="0" w:noVBand="1" w:val="04A0"/>
      </w:tblPr>
      <w:tblGrid>
        <w:gridCol w:w="9525"/>
      </w:tblGrid>
      <w:tr>
        <w:trPr>
          <w:cantSplit/>
        </w:trPr>
        <w:tc>
          <w:tcPr>
            <w:tcW w:type="dxa" w:w="9525"/>
            <w:shd w:fill="E4DFEC"/>
            <w:tcMar>
              <w:top w:w="180" w:type="dxa"/>
              <w:start w:w="220" w:type="dxa"/>
              <w:bottom w:w="180" w:type="dxa"/>
              <w:end w:w="220" w:type="dxa"/>
            </w:tcMar>
          </w:tcPr>
          <w:p>
            <w:r>
              <w:rPr>
                <w:b/>
                <w:color w:val="1F4E79"/>
                <w:sz w:val="21"/>
              </w:rPr>
              <w:t>Unit of analysis</w:t>
              <w:br/>
            </w:r>
            <w:r>
              <w:rPr>
                <w:sz w:val="21"/>
              </w:rPr>
              <w:t>One row represents one manufactured part or component, identified by Id. Measurements from the numerical, categorical, and date files must be associated with that same Id before they can be analyzed together.</w:t>
            </w:r>
          </w:p>
        </w:tc>
      </w:tr>
    </w:tbl>
    <w:p>
      <w:pPr>
        <w:spacing w:after="0"/>
      </w:pPr>
    </w:p>
    <w:p>
      <w:pPr>
        <w:pStyle w:val="Heading1"/>
        <w:keepNext/>
      </w:pPr>
      <w:r>
        <w:t>7.2 What does Response mean?</w:t>
      </w:r>
    </w:p>
    <w:p>
      <w:r>
        <w:t>The target column is named Response and appears only in train_numeric.csv. A value of 1 indicates a recorded internal failure for that training part, while 0 indicates that the part was not labelled as a failure in the competition data. The test files do not contain Response because Kaggle held the test outcomes and used them to score submissions.</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1417"/>
            <w:shd w:fill="1F4E79"/>
            <w:vAlign w:val="center"/>
          </w:tcPr>
          <w:p>
            <w:r>
              <w:rPr>
                <w:b/>
                <w:color w:val="FFFFFF"/>
                <w:sz w:val="19"/>
              </w:rPr>
              <w:t>Response</w:t>
            </w:r>
          </w:p>
        </w:tc>
        <w:tc>
          <w:tcPr>
            <w:tcW w:type="dxa" w:w="5386"/>
            <w:shd w:fill="1F4E79"/>
            <w:vAlign w:val="center"/>
          </w:tcPr>
          <w:p>
            <w:r>
              <w:rPr>
                <w:b/>
                <w:color w:val="FFFFFF"/>
                <w:sz w:val="19"/>
              </w:rPr>
              <w:t>Competition meaning</w:t>
            </w:r>
          </w:p>
        </w:tc>
        <w:tc>
          <w:tcPr>
            <w:tcW w:type="dxa" w:w="1984"/>
            <w:shd w:fill="1F4E79"/>
            <w:vAlign w:val="center"/>
          </w:tcPr>
          <w:p>
            <w:r>
              <w:rPr>
                <w:b/>
                <w:color w:val="FFFFFF"/>
                <w:sz w:val="19"/>
              </w:rPr>
              <w:t>Modeling class</w:t>
            </w:r>
          </w:p>
        </w:tc>
      </w:tr>
      <w:tr>
        <w:trPr>
          <w:cantSplit/>
        </w:trPr>
        <w:tc>
          <w:tcPr>
            <w:tcW w:type="dxa" w:w="1417"/>
            <w:vAlign w:val="top"/>
            <w:tcMar>
              <w:top w:w="90" w:type="dxa"/>
              <w:start w:w="100" w:type="dxa"/>
              <w:bottom w:w="90" w:type="dxa"/>
              <w:end w:w="100" w:type="dxa"/>
            </w:tcMar>
          </w:tcPr>
          <w:p>
            <w:pPr>
              <w:spacing w:after="0"/>
            </w:pPr>
            <w:r>
              <w:rPr>
                <w:sz w:val="18"/>
              </w:rPr>
              <w:t>0</w:t>
            </w:r>
          </w:p>
        </w:tc>
        <w:tc>
          <w:tcPr>
            <w:tcW w:type="dxa" w:w="5386"/>
            <w:vAlign w:val="top"/>
            <w:tcMar>
              <w:top w:w="90" w:type="dxa"/>
              <w:start w:w="100" w:type="dxa"/>
              <w:bottom w:w="90" w:type="dxa"/>
              <w:end w:w="100" w:type="dxa"/>
            </w:tcMar>
          </w:tcPr>
          <w:p>
            <w:pPr>
              <w:spacing w:after="0"/>
            </w:pPr>
            <w:r>
              <w:rPr>
                <w:sz w:val="18"/>
              </w:rPr>
              <w:t>No recorded internal failure in the provided label</w:t>
            </w:r>
          </w:p>
        </w:tc>
        <w:tc>
          <w:tcPr>
            <w:tcW w:type="dxa" w:w="1984"/>
            <w:vAlign w:val="top"/>
            <w:tcMar>
              <w:top w:w="90" w:type="dxa"/>
              <w:start w:w="100" w:type="dxa"/>
              <w:bottom w:w="90" w:type="dxa"/>
              <w:end w:w="100" w:type="dxa"/>
            </w:tcMar>
          </w:tcPr>
          <w:p>
            <w:pPr>
              <w:spacing w:after="0"/>
            </w:pPr>
            <w:r>
              <w:rPr>
                <w:sz w:val="18"/>
              </w:rPr>
              <w:t>Negative class</w:t>
            </w:r>
          </w:p>
        </w:tc>
      </w:tr>
      <w:tr>
        <w:trPr>
          <w:cantSplit/>
        </w:trPr>
        <w:tc>
          <w:tcPr>
            <w:tcW w:type="dxa" w:w="1417"/>
            <w:vAlign w:val="top"/>
            <w:tcMar>
              <w:top w:w="90" w:type="dxa"/>
              <w:start w:w="100" w:type="dxa"/>
              <w:bottom w:w="90" w:type="dxa"/>
              <w:end w:w="100" w:type="dxa"/>
            </w:tcMar>
          </w:tcPr>
          <w:p>
            <w:pPr>
              <w:spacing w:after="0"/>
            </w:pPr>
            <w:r>
              <w:rPr>
                <w:sz w:val="18"/>
              </w:rPr>
              <w:t>1</w:t>
            </w:r>
          </w:p>
        </w:tc>
        <w:tc>
          <w:tcPr>
            <w:tcW w:type="dxa" w:w="5386"/>
            <w:vAlign w:val="top"/>
            <w:tcMar>
              <w:top w:w="90" w:type="dxa"/>
              <w:start w:w="100" w:type="dxa"/>
              <w:bottom w:w="90" w:type="dxa"/>
              <w:end w:w="100" w:type="dxa"/>
            </w:tcMar>
          </w:tcPr>
          <w:p>
            <w:pPr>
              <w:spacing w:after="0"/>
            </w:pPr>
            <w:r>
              <w:rPr>
                <w:sz w:val="18"/>
              </w:rPr>
              <w:t>Recorded internal failure</w:t>
            </w:r>
          </w:p>
        </w:tc>
        <w:tc>
          <w:tcPr>
            <w:tcW w:type="dxa" w:w="1984"/>
            <w:vAlign w:val="top"/>
            <w:tcMar>
              <w:top w:w="90" w:type="dxa"/>
              <w:start w:w="100" w:type="dxa"/>
              <w:bottom w:w="90" w:type="dxa"/>
              <w:end w:w="100" w:type="dxa"/>
            </w:tcMar>
          </w:tcPr>
          <w:p>
            <w:pPr>
              <w:spacing w:after="0"/>
            </w:pPr>
            <w:r>
              <w:rPr>
                <w:sz w:val="18"/>
              </w:rPr>
              <w:t>Positive class</w:t>
            </w:r>
          </w:p>
        </w:tc>
      </w:tr>
    </w:tbl>
    <w:p/>
    <w:tbl>
      <w:tblPr>
        <w:tblW w:type="auto" w:w="0"/>
        <w:jc w:val="center"/>
        <w:tblLook w:firstColumn="1" w:firstRow="1" w:lastColumn="0" w:lastRow="0" w:noHBand="0" w:noVBand="1" w:val="04A0"/>
      </w:tblPr>
      <w:tblGrid>
        <w:gridCol w:w="9525"/>
      </w:tblGrid>
      <w:tr>
        <w:trPr>
          <w:cantSplit/>
        </w:trPr>
        <w:tc>
          <w:tcPr>
            <w:tcW w:type="dxa" w:w="9525"/>
            <w:shd w:fill="FCE4D6"/>
            <w:tcMar>
              <w:top w:w="180" w:type="dxa"/>
              <w:start w:w="220" w:type="dxa"/>
              <w:bottom w:w="180" w:type="dxa"/>
              <w:end w:w="220" w:type="dxa"/>
            </w:tcMar>
          </w:tcPr>
          <w:p>
            <w:r>
              <w:rPr>
                <w:b/>
                <w:color w:val="1F4E79"/>
                <w:sz w:val="21"/>
              </w:rPr>
              <w:t>Careful wording</w:t>
              <w:br/>
            </w:r>
            <w:r>
              <w:rPr>
                <w:sz w:val="21"/>
              </w:rPr>
              <w:t>Response = 0 should not be described as proof that the part was perfect in every possible way. It means the competition label did not mark the part as an internal failure. The exact inspection rule, failure mode, and downstream disposition are not provided.</w:t>
            </w:r>
          </w:p>
        </w:tc>
      </w:tr>
    </w:tbl>
    <w:p>
      <w:pPr>
        <w:spacing w:after="0"/>
      </w:pPr>
    </w:p>
    <w:p>
      <w:pPr>
        <w:pStyle w:val="Heading1"/>
        <w:keepNext/>
      </w:pPr>
      <w:r>
        <w:t>7.3 Train and test splits</w:t>
      </w:r>
    </w:p>
    <w:p>
      <w:r>
        <w:t>The labelled training split contains 1,183,747 parts. The unlabelled test split contains 1,183,748 parts. Each split is divided into numerical, categorical, and date files. A sample_submission.csv file provides the required submission format, typically Id and Response. It is not a source of training features and should not be included in data profiling as though it were another model table.</w:t>
      </w:r>
    </w:p>
    <w:tbl>
      <w:tblPr>
        <w:tblStyle w:val="TableGrid"/>
        <w:tblW w:type="auto" w:w="0"/>
        <w:jc w:val="center"/>
        <w:tblLook w:firstColumn="1" w:firstRow="1" w:lastColumn="0" w:lastRow="0" w:noHBand="0" w:noVBand="1" w:val="04A0"/>
      </w:tblPr>
      <w:tblGrid>
        <w:gridCol w:w="2381"/>
        <w:gridCol w:w="2381"/>
        <w:gridCol w:w="2381"/>
        <w:gridCol w:w="2381"/>
      </w:tblGrid>
      <w:tr>
        <w:trPr>
          <w:tblHeader/>
          <w:cantSplit/>
        </w:trPr>
        <w:tc>
          <w:tcPr>
            <w:tcW w:type="dxa" w:w="1701"/>
            <w:shd w:fill="1F4E79"/>
            <w:vAlign w:val="center"/>
          </w:tcPr>
          <w:p>
            <w:r>
              <w:rPr>
                <w:b/>
                <w:color w:val="FFFFFF"/>
                <w:sz w:val="19"/>
              </w:rPr>
              <w:t>Split</w:t>
            </w:r>
          </w:p>
        </w:tc>
        <w:tc>
          <w:tcPr>
            <w:tcW w:type="dxa" w:w="1701"/>
            <w:shd w:fill="1F4E79"/>
            <w:vAlign w:val="center"/>
          </w:tcPr>
          <w:p>
            <w:r>
              <w:rPr>
                <w:b/>
                <w:color w:val="FFFFFF"/>
                <w:sz w:val="19"/>
              </w:rPr>
              <w:t>Rows</w:t>
            </w:r>
          </w:p>
        </w:tc>
        <w:tc>
          <w:tcPr>
            <w:tcW w:type="dxa" w:w="1814"/>
            <w:shd w:fill="1F4E79"/>
            <w:vAlign w:val="center"/>
          </w:tcPr>
          <w:p>
            <w:r>
              <w:rPr>
                <w:b/>
                <w:color w:val="FFFFFF"/>
                <w:sz w:val="19"/>
              </w:rPr>
              <w:t>Label available?</w:t>
            </w:r>
          </w:p>
        </w:tc>
        <w:tc>
          <w:tcPr>
            <w:tcW w:type="dxa" w:w="3515"/>
            <w:shd w:fill="1F4E79"/>
            <w:vAlign w:val="center"/>
          </w:tcPr>
          <w:p>
            <w:r>
              <w:rPr>
                <w:b/>
                <w:color w:val="FFFFFF"/>
                <w:sz w:val="19"/>
              </w:rPr>
              <w:t>Purpose</w:t>
            </w:r>
          </w:p>
        </w:tc>
      </w:tr>
      <w:tr>
        <w:trPr>
          <w:cantSplit/>
        </w:trPr>
        <w:tc>
          <w:tcPr>
            <w:tcW w:type="dxa" w:w="1701"/>
            <w:vAlign w:val="top"/>
            <w:tcMar>
              <w:top w:w="90" w:type="dxa"/>
              <w:start w:w="100" w:type="dxa"/>
              <w:bottom w:w="90" w:type="dxa"/>
              <w:end w:w="100" w:type="dxa"/>
            </w:tcMar>
          </w:tcPr>
          <w:p>
            <w:pPr>
              <w:spacing w:after="0"/>
            </w:pPr>
            <w:r>
              <w:rPr>
                <w:sz w:val="18"/>
              </w:rPr>
              <w:t>Train</w:t>
            </w:r>
          </w:p>
        </w:tc>
        <w:tc>
          <w:tcPr>
            <w:tcW w:type="dxa" w:w="1701"/>
            <w:vAlign w:val="top"/>
            <w:tcMar>
              <w:top w:w="90" w:type="dxa"/>
              <w:start w:w="100" w:type="dxa"/>
              <w:bottom w:w="90" w:type="dxa"/>
              <w:end w:w="100" w:type="dxa"/>
            </w:tcMar>
          </w:tcPr>
          <w:p>
            <w:pPr>
              <w:spacing w:after="0"/>
            </w:pPr>
            <w:r>
              <w:rPr>
                <w:sz w:val="18"/>
              </w:rPr>
              <w:t>1,183,747</w:t>
            </w:r>
          </w:p>
        </w:tc>
        <w:tc>
          <w:tcPr>
            <w:tcW w:type="dxa" w:w="1814"/>
            <w:vAlign w:val="top"/>
            <w:tcMar>
              <w:top w:w="90" w:type="dxa"/>
              <w:start w:w="100" w:type="dxa"/>
              <w:bottom w:w="90" w:type="dxa"/>
              <w:end w:w="100" w:type="dxa"/>
            </w:tcMar>
          </w:tcPr>
          <w:p>
            <w:pPr>
              <w:spacing w:after="0"/>
            </w:pPr>
            <w:r>
              <w:rPr>
                <w:sz w:val="18"/>
              </w:rPr>
              <w:t>Yes</w:t>
            </w:r>
          </w:p>
        </w:tc>
        <w:tc>
          <w:tcPr>
            <w:tcW w:type="dxa" w:w="3515"/>
            <w:vAlign w:val="top"/>
            <w:tcMar>
              <w:top w:w="90" w:type="dxa"/>
              <w:start w:w="100" w:type="dxa"/>
              <w:bottom w:w="90" w:type="dxa"/>
              <w:end w:w="100" w:type="dxa"/>
            </w:tcMar>
          </w:tcPr>
          <w:p>
            <w:pPr>
              <w:spacing w:after="0"/>
            </w:pPr>
            <w:r>
              <w:rPr>
                <w:sz w:val="18"/>
              </w:rPr>
              <w:t>Fit models, create validation splits, and evaluate locally</w:t>
            </w:r>
          </w:p>
        </w:tc>
      </w:tr>
      <w:tr>
        <w:trPr>
          <w:cantSplit/>
        </w:trPr>
        <w:tc>
          <w:tcPr>
            <w:tcW w:type="dxa" w:w="1701"/>
            <w:vAlign w:val="top"/>
            <w:tcMar>
              <w:top w:w="90" w:type="dxa"/>
              <w:start w:w="100" w:type="dxa"/>
              <w:bottom w:w="90" w:type="dxa"/>
              <w:end w:w="100" w:type="dxa"/>
            </w:tcMar>
          </w:tcPr>
          <w:p>
            <w:pPr>
              <w:spacing w:after="0"/>
            </w:pPr>
            <w:r>
              <w:rPr>
                <w:sz w:val="18"/>
              </w:rPr>
              <w:t>Test</w:t>
            </w:r>
          </w:p>
        </w:tc>
        <w:tc>
          <w:tcPr>
            <w:tcW w:type="dxa" w:w="1701"/>
            <w:vAlign w:val="top"/>
            <w:tcMar>
              <w:top w:w="90" w:type="dxa"/>
              <w:start w:w="100" w:type="dxa"/>
              <w:bottom w:w="90" w:type="dxa"/>
              <w:end w:w="100" w:type="dxa"/>
            </w:tcMar>
          </w:tcPr>
          <w:p>
            <w:pPr>
              <w:spacing w:after="0"/>
            </w:pPr>
            <w:r>
              <w:rPr>
                <w:sz w:val="18"/>
              </w:rPr>
              <w:t>1,183,748</w:t>
            </w:r>
          </w:p>
        </w:tc>
        <w:tc>
          <w:tcPr>
            <w:tcW w:type="dxa" w:w="1814"/>
            <w:vAlign w:val="top"/>
            <w:tcMar>
              <w:top w:w="90" w:type="dxa"/>
              <w:start w:w="100" w:type="dxa"/>
              <w:bottom w:w="90" w:type="dxa"/>
              <w:end w:w="100" w:type="dxa"/>
            </w:tcMar>
          </w:tcPr>
          <w:p>
            <w:pPr>
              <w:spacing w:after="0"/>
            </w:pPr>
            <w:r>
              <w:rPr>
                <w:sz w:val="18"/>
              </w:rPr>
              <w:t>No</w:t>
            </w:r>
          </w:p>
        </w:tc>
        <w:tc>
          <w:tcPr>
            <w:tcW w:type="dxa" w:w="3515"/>
            <w:vAlign w:val="top"/>
            <w:tcMar>
              <w:top w:w="90" w:type="dxa"/>
              <w:start w:w="100" w:type="dxa"/>
              <w:bottom w:w="90" w:type="dxa"/>
              <w:end w:w="100" w:type="dxa"/>
            </w:tcMar>
          </w:tcPr>
          <w:p>
            <w:pPr>
              <w:spacing w:after="0"/>
            </w:pPr>
            <w:r>
              <w:rPr>
                <w:sz w:val="18"/>
              </w:rPr>
              <w:t>Generate final competition predictions</w:t>
            </w:r>
          </w:p>
        </w:tc>
      </w:tr>
    </w:tbl>
    <w:p/>
    <w:p>
      <w:pPr>
        <w:pStyle w:val="Heading1"/>
        <w:keepNext/>
      </w:pPr>
      <w:r>
        <w:t>7.4 The rare-event challenge</w:t>
      </w:r>
    </w:p>
    <w:p>
      <w:r>
        <w:t>Only 6,879 of the 1,183,747 training parts are labelled as failures. This is a failure rate of approximately 0.5811%. There are about 171 non-failures for every failure. Such a distribution is called severe class imbalance.</w:t>
      </w:r>
    </w:p>
    <w:p>
      <w:pPr>
        <w:jc w:val="center"/>
      </w:pPr>
      <w:r>
        <w:drawing>
          <wp:inline xmlns:a="http://schemas.openxmlformats.org/drawingml/2006/main" xmlns:pic="http://schemas.openxmlformats.org/drawingml/2006/picture">
            <wp:extent cx="6126480" cy="3335528"/>
            <wp:docPr id="2" name="Picture 2"/>
            <wp:cNvGraphicFramePr>
              <a:graphicFrameLocks noChangeAspect="1"/>
            </wp:cNvGraphicFramePr>
            <a:graphic>
              <a:graphicData uri="http://schemas.openxmlformats.org/drawingml/2006/picture">
                <pic:pic>
                  <pic:nvPicPr>
                    <pic:cNvPr id="0" name="figure_7_2_class_imbalance.png"/>
                    <pic:cNvPicPr/>
                  </pic:nvPicPr>
                  <pic:blipFill>
                    <a:blip r:embed="rId12"/>
                    <a:stretch>
                      <a:fillRect/>
                    </a:stretch>
                  </pic:blipFill>
                  <pic:spPr>
                    <a:xfrm>
                      <a:off x="0" y="0"/>
                      <a:ext cx="6126480" cy="3335528"/>
                    </a:xfrm>
                    <a:prstGeom prst="rect"/>
                  </pic:spPr>
                </pic:pic>
              </a:graphicData>
            </a:graphic>
          </wp:inline>
        </w:drawing>
      </w:r>
    </w:p>
    <w:p>
      <w:pPr>
        <w:pStyle w:val="Caption"/>
        <w:jc w:val="center"/>
      </w:pPr>
      <w:r>
        <w:t>Figure 7.2 - The failure class is visually tiny compared with the non-failure class.</w:t>
      </w:r>
    </w:p>
    <w:p>
      <w:r>
        <w:t>A beginner may believe that 99% accuracy is excellent. In this dataset, a model that predicts every part as non-failure would achieve approximately 99.42% accuracy while identifying none of the 6,879 failures. This is why the evaluation metric must look at both classes and all parts of the confusion matrix.</w:t>
      </w:r>
    </w:p>
    <w:p>
      <w:pPr>
        <w:pStyle w:val="Heading1"/>
        <w:keepNext/>
      </w:pPr>
      <w:r>
        <w:t>7.5 Confusion matrix foundations</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2381"/>
            <w:shd w:fill="1F4E79"/>
            <w:vAlign w:val="center"/>
          </w:tcPr>
          <w:p>
            <w:r>
              <w:rPr>
                <w:b/>
                <w:color w:val="FFFFFF"/>
                <w:sz w:val="19"/>
              </w:rPr>
              <w:t>Term</w:t>
            </w:r>
          </w:p>
        </w:tc>
        <w:tc>
          <w:tcPr>
            <w:tcW w:type="dxa" w:w="6350"/>
            <w:shd w:fill="1F4E79"/>
            <w:vAlign w:val="center"/>
          </w:tcPr>
          <w:p>
            <w:r>
              <w:rPr>
                <w:b/>
                <w:color w:val="FFFFFF"/>
                <w:sz w:val="19"/>
              </w:rPr>
              <w:t>Meaning in this project</w:t>
            </w:r>
          </w:p>
        </w:tc>
      </w:tr>
      <w:tr>
        <w:trPr>
          <w:cantSplit/>
        </w:trPr>
        <w:tc>
          <w:tcPr>
            <w:tcW w:type="dxa" w:w="2381"/>
            <w:vAlign w:val="top"/>
            <w:tcMar>
              <w:top w:w="90" w:type="dxa"/>
              <w:start w:w="100" w:type="dxa"/>
              <w:bottom w:w="90" w:type="dxa"/>
              <w:end w:w="100" w:type="dxa"/>
            </w:tcMar>
          </w:tcPr>
          <w:p>
            <w:pPr>
              <w:spacing w:after="0"/>
            </w:pPr>
            <w:r>
              <w:rPr>
                <w:sz w:val="18"/>
              </w:rPr>
              <w:t>True Positive (TP)</w:t>
            </w:r>
          </w:p>
        </w:tc>
        <w:tc>
          <w:tcPr>
            <w:tcW w:type="dxa" w:w="6350"/>
            <w:vAlign w:val="top"/>
            <w:tcMar>
              <w:top w:w="90" w:type="dxa"/>
              <w:start w:w="100" w:type="dxa"/>
              <w:bottom w:w="90" w:type="dxa"/>
              <w:end w:w="100" w:type="dxa"/>
            </w:tcMar>
          </w:tcPr>
          <w:p>
            <w:pPr>
              <w:spacing w:after="0"/>
            </w:pPr>
            <w:r>
              <w:rPr>
                <w:sz w:val="18"/>
              </w:rPr>
              <w:t>A failed part is predicted as failure.</w:t>
            </w:r>
          </w:p>
        </w:tc>
      </w:tr>
      <w:tr>
        <w:trPr>
          <w:cantSplit/>
        </w:trPr>
        <w:tc>
          <w:tcPr>
            <w:tcW w:type="dxa" w:w="2381"/>
            <w:vAlign w:val="top"/>
            <w:tcMar>
              <w:top w:w="90" w:type="dxa"/>
              <w:start w:w="100" w:type="dxa"/>
              <w:bottom w:w="90" w:type="dxa"/>
              <w:end w:w="100" w:type="dxa"/>
            </w:tcMar>
          </w:tcPr>
          <w:p>
            <w:pPr>
              <w:spacing w:after="0"/>
            </w:pPr>
            <w:r>
              <w:rPr>
                <w:sz w:val="18"/>
              </w:rPr>
              <w:t>False Positive (FP)</w:t>
            </w:r>
          </w:p>
        </w:tc>
        <w:tc>
          <w:tcPr>
            <w:tcW w:type="dxa" w:w="6350"/>
            <w:vAlign w:val="top"/>
            <w:tcMar>
              <w:top w:w="90" w:type="dxa"/>
              <w:start w:w="100" w:type="dxa"/>
              <w:bottom w:w="90" w:type="dxa"/>
              <w:end w:w="100" w:type="dxa"/>
            </w:tcMar>
          </w:tcPr>
          <w:p>
            <w:pPr>
              <w:spacing w:after="0"/>
            </w:pPr>
            <w:r>
              <w:rPr>
                <w:sz w:val="18"/>
              </w:rPr>
              <w:t>A non-failed part is predicted as failure.</w:t>
            </w:r>
          </w:p>
        </w:tc>
      </w:tr>
      <w:tr>
        <w:trPr>
          <w:cantSplit/>
        </w:trPr>
        <w:tc>
          <w:tcPr>
            <w:tcW w:type="dxa" w:w="2381"/>
            <w:vAlign w:val="top"/>
            <w:tcMar>
              <w:top w:w="90" w:type="dxa"/>
              <w:start w:w="100" w:type="dxa"/>
              <w:bottom w:w="90" w:type="dxa"/>
              <w:end w:w="100" w:type="dxa"/>
            </w:tcMar>
          </w:tcPr>
          <w:p>
            <w:pPr>
              <w:spacing w:after="0"/>
            </w:pPr>
            <w:r>
              <w:rPr>
                <w:sz w:val="18"/>
              </w:rPr>
              <w:t>True Negative (TN)</w:t>
            </w:r>
          </w:p>
        </w:tc>
        <w:tc>
          <w:tcPr>
            <w:tcW w:type="dxa" w:w="6350"/>
            <w:vAlign w:val="top"/>
            <w:tcMar>
              <w:top w:w="90" w:type="dxa"/>
              <w:start w:w="100" w:type="dxa"/>
              <w:bottom w:w="90" w:type="dxa"/>
              <w:end w:w="100" w:type="dxa"/>
            </w:tcMar>
          </w:tcPr>
          <w:p>
            <w:pPr>
              <w:spacing w:after="0"/>
            </w:pPr>
            <w:r>
              <w:rPr>
                <w:sz w:val="18"/>
              </w:rPr>
              <w:t>A non-failed part is predicted as non-failure.</w:t>
            </w:r>
          </w:p>
        </w:tc>
      </w:tr>
      <w:tr>
        <w:trPr>
          <w:cantSplit/>
        </w:trPr>
        <w:tc>
          <w:tcPr>
            <w:tcW w:type="dxa" w:w="2381"/>
            <w:vAlign w:val="top"/>
            <w:tcMar>
              <w:top w:w="90" w:type="dxa"/>
              <w:start w:w="100" w:type="dxa"/>
              <w:bottom w:w="90" w:type="dxa"/>
              <w:end w:w="100" w:type="dxa"/>
            </w:tcMar>
          </w:tcPr>
          <w:p>
            <w:pPr>
              <w:spacing w:after="0"/>
            </w:pPr>
            <w:r>
              <w:rPr>
                <w:sz w:val="18"/>
              </w:rPr>
              <w:t>False Negative (FN)</w:t>
            </w:r>
          </w:p>
        </w:tc>
        <w:tc>
          <w:tcPr>
            <w:tcW w:type="dxa" w:w="6350"/>
            <w:vAlign w:val="top"/>
            <w:tcMar>
              <w:top w:w="90" w:type="dxa"/>
              <w:start w:w="100" w:type="dxa"/>
              <w:bottom w:w="90" w:type="dxa"/>
              <w:end w:w="100" w:type="dxa"/>
            </w:tcMar>
          </w:tcPr>
          <w:p>
            <w:pPr>
              <w:spacing w:after="0"/>
            </w:pPr>
            <w:r>
              <w:rPr>
                <w:sz w:val="18"/>
              </w:rPr>
              <w:t>A failed part is predicted as non-failure.</w:t>
            </w:r>
          </w:p>
        </w:tc>
      </w:tr>
    </w:tbl>
    <w:p/>
    <w:p>
      <w:r>
        <w:t>False positives can create additional inspection work, while false negatives can allow risky parts to pass without the intended intervention. The relative business impact of these errors is not provided in the competition. A real factory POC would require cost, safety, capacity, and process-owner input before selecting an operating threshold.</w:t>
      </w:r>
    </w:p>
    <w:p>
      <w:pPr>
        <w:pStyle w:val="Heading1"/>
        <w:keepNext/>
      </w:pPr>
      <w:r>
        <w:t>7.6 Matthews Correlation Coefficient</w:t>
      </w:r>
    </w:p>
    <w:p>
      <w:r>
        <w:t>Kaggle evaluated submissions using the Matthews Correlation Coefficient (MCC). MCC combines TP, TN, FP, and FN into a single score. It is particularly useful for imbalanced binary classification because it rewards predictions that perform well across both classes rather than being dominated by the majority class [1][2].</w:t>
      </w:r>
    </w:p>
    <w:p>
      <w:r>
        <w:rPr>
          <w:b/>
          <w:color w:val="1F4E79"/>
        </w:rPr>
        <w:t>MCC formula</w:t>
      </w:r>
    </w:p>
    <w:tbl>
      <w:tblPr>
        <w:tblW w:type="auto" w:w="0"/>
        <w:jc w:val="center"/>
        <w:tblLook w:firstColumn="1" w:firstRow="1" w:lastColumn="0" w:lastRow="0" w:noHBand="0" w:noVBand="1" w:val="04A0"/>
      </w:tblPr>
      <w:tblGrid>
        <w:gridCol w:w="9525"/>
      </w:tblGrid>
      <w:tr>
        <w:trPr>
          <w:cantSplit/>
        </w:trPr>
        <w:tc>
          <w:tcPr>
            <w:tcW w:type="dxa" w:w="9525"/>
            <w:shd w:fill="F2F2F2"/>
            <w:tcMar>
              <w:top w:w="160" w:type="dxa"/>
              <w:start w:w="180" w:type="dxa"/>
              <w:bottom w:w="160" w:type="dxa"/>
              <w:end w:w="180" w:type="dxa"/>
            </w:tcMar>
          </w:tcPr>
          <w:p>
            <w:pPr>
              <w:spacing w:after="0"/>
            </w:pPr>
            <w:r>
              <w:rPr>
                <w:rFonts w:ascii="Consolas" w:hAnsi="Consolas" w:eastAsia="Consolas"/>
                <w:sz w:val="17"/>
              </w:rPr>
              <w:t>MCC = (TP*TN - FP*FN) /</w:t>
            </w:r>
            <w:r>
              <w:br/>
            </w:r>
            <w:r>
              <w:rPr>
                <w:rFonts w:ascii="Consolas" w:hAnsi="Consolas" w:eastAsia="Consolas"/>
                <w:sz w:val="17"/>
              </w:rPr>
              <w:t xml:space="preserve">      sqrt((TP+FP)*(TP+FN)*(TN+FP)*(TN+FN))</w:t>
            </w:r>
          </w:p>
        </w:tc>
      </w:tr>
    </w:tbl>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1701"/>
            <w:shd w:fill="1F4E79"/>
            <w:vAlign w:val="center"/>
          </w:tcPr>
          <w:p>
            <w:r>
              <w:rPr>
                <w:b/>
                <w:color w:val="FFFFFF"/>
                <w:sz w:val="19"/>
              </w:rPr>
              <w:t>MCC value</w:t>
            </w:r>
          </w:p>
        </w:tc>
        <w:tc>
          <w:tcPr>
            <w:tcW w:type="dxa" w:w="7030"/>
            <w:shd w:fill="1F4E79"/>
            <w:vAlign w:val="center"/>
          </w:tcPr>
          <w:p>
            <w:r>
              <w:rPr>
                <w:b/>
                <w:color w:val="FFFFFF"/>
                <w:sz w:val="19"/>
              </w:rPr>
              <w:t>Interpretation</w:t>
            </w:r>
          </w:p>
        </w:tc>
      </w:tr>
      <w:tr>
        <w:trPr>
          <w:cantSplit/>
        </w:trPr>
        <w:tc>
          <w:tcPr>
            <w:tcW w:type="dxa" w:w="1701"/>
            <w:vAlign w:val="top"/>
            <w:tcMar>
              <w:top w:w="90" w:type="dxa"/>
              <w:start w:w="100" w:type="dxa"/>
              <w:bottom w:w="90" w:type="dxa"/>
              <w:end w:w="100" w:type="dxa"/>
            </w:tcMar>
          </w:tcPr>
          <w:p>
            <w:pPr>
              <w:spacing w:after="0"/>
            </w:pPr>
            <w:r>
              <w:rPr>
                <w:sz w:val="18"/>
              </w:rPr>
              <w:t>+1</w:t>
            </w:r>
          </w:p>
        </w:tc>
        <w:tc>
          <w:tcPr>
            <w:tcW w:type="dxa" w:w="7030"/>
            <w:vAlign w:val="top"/>
            <w:tcMar>
              <w:top w:w="90" w:type="dxa"/>
              <w:start w:w="100" w:type="dxa"/>
              <w:bottom w:w="90" w:type="dxa"/>
              <w:end w:w="100" w:type="dxa"/>
            </w:tcMar>
          </w:tcPr>
          <w:p>
            <w:pPr>
              <w:spacing w:after="0"/>
            </w:pPr>
            <w:r>
              <w:rPr>
                <w:sz w:val="18"/>
              </w:rPr>
              <w:t>Perfect agreement between predictions and labels</w:t>
            </w:r>
          </w:p>
        </w:tc>
      </w:tr>
      <w:tr>
        <w:trPr>
          <w:cantSplit/>
        </w:trPr>
        <w:tc>
          <w:tcPr>
            <w:tcW w:type="dxa" w:w="1701"/>
            <w:vAlign w:val="top"/>
            <w:tcMar>
              <w:top w:w="90" w:type="dxa"/>
              <w:start w:w="100" w:type="dxa"/>
              <w:bottom w:w="90" w:type="dxa"/>
              <w:end w:w="100" w:type="dxa"/>
            </w:tcMar>
          </w:tcPr>
          <w:p>
            <w:pPr>
              <w:spacing w:after="0"/>
            </w:pPr>
            <w:r>
              <w:rPr>
                <w:sz w:val="18"/>
              </w:rPr>
              <w:t>0</w:t>
            </w:r>
          </w:p>
        </w:tc>
        <w:tc>
          <w:tcPr>
            <w:tcW w:type="dxa" w:w="7030"/>
            <w:vAlign w:val="top"/>
            <w:tcMar>
              <w:top w:w="90" w:type="dxa"/>
              <w:start w:w="100" w:type="dxa"/>
              <w:bottom w:w="90" w:type="dxa"/>
              <w:end w:w="100" w:type="dxa"/>
            </w:tcMar>
          </w:tcPr>
          <w:p>
            <w:pPr>
              <w:spacing w:after="0"/>
            </w:pPr>
            <w:r>
              <w:rPr>
                <w:sz w:val="18"/>
              </w:rPr>
              <w:t>No better than an uncorrelated prediction pattern</w:t>
            </w:r>
          </w:p>
        </w:tc>
      </w:tr>
      <w:tr>
        <w:trPr>
          <w:cantSplit/>
        </w:trPr>
        <w:tc>
          <w:tcPr>
            <w:tcW w:type="dxa" w:w="1701"/>
            <w:vAlign w:val="top"/>
            <w:tcMar>
              <w:top w:w="90" w:type="dxa"/>
              <w:start w:w="100" w:type="dxa"/>
              <w:bottom w:w="90" w:type="dxa"/>
              <w:end w:w="100" w:type="dxa"/>
            </w:tcMar>
          </w:tcPr>
          <w:p>
            <w:pPr>
              <w:spacing w:after="0"/>
            </w:pPr>
            <w:r>
              <w:rPr>
                <w:sz w:val="18"/>
              </w:rPr>
              <w:t>-1</w:t>
            </w:r>
          </w:p>
        </w:tc>
        <w:tc>
          <w:tcPr>
            <w:tcW w:type="dxa" w:w="7030"/>
            <w:vAlign w:val="top"/>
            <w:tcMar>
              <w:top w:w="90" w:type="dxa"/>
              <w:start w:w="100" w:type="dxa"/>
              <w:bottom w:w="90" w:type="dxa"/>
              <w:end w:w="100" w:type="dxa"/>
            </w:tcMar>
          </w:tcPr>
          <w:p>
            <w:pPr>
              <w:spacing w:after="0"/>
            </w:pPr>
            <w:r>
              <w:rPr>
                <w:sz w:val="18"/>
              </w:rPr>
              <w:t>Perfect disagreement</w:t>
            </w:r>
          </w:p>
        </w:tc>
      </w:tr>
    </w:tbl>
    <w:p/>
    <w:tbl>
      <w:tblPr>
        <w:tblW w:type="auto" w:w="0"/>
        <w:jc w:val="center"/>
        <w:tblLook w:firstColumn="1" w:firstRow="1" w:lastColumn="0" w:lastRow="0" w:noHBand="0" w:noVBand="1" w:val="04A0"/>
      </w:tblPr>
      <w:tblGrid>
        <w:gridCol w:w="9525"/>
      </w:tblGrid>
      <w:tr>
        <w:trPr>
          <w:cantSplit/>
        </w:trPr>
        <w:tc>
          <w:tcPr>
            <w:tcW w:type="dxa" w:w="9525"/>
            <w:shd w:fill="FFF2CC"/>
            <w:tcMar>
              <w:top w:w="180" w:type="dxa"/>
              <w:start w:w="220" w:type="dxa"/>
              <w:bottom w:w="180" w:type="dxa"/>
              <w:end w:w="220" w:type="dxa"/>
            </w:tcMar>
          </w:tcPr>
          <w:p>
            <w:r>
              <w:rPr>
                <w:b/>
                <w:color w:val="1F4E79"/>
                <w:sz w:val="21"/>
              </w:rPr>
              <w:t>Threshold matters</w:t>
              <w:br/>
            </w:r>
            <w:r>
              <w:rPr>
                <w:sz w:val="21"/>
              </w:rPr>
              <w:t>Most classifiers output probabilities. The competition submission requires a binary Response prediction. The probability threshold that maximizes MCC is often not 0.5, especially when failures are rare. Threshold tuning must be performed only on validation data, not on the final test labels.</w:t>
            </w:r>
          </w:p>
        </w:tc>
      </w:tr>
    </w:tbl>
    <w:p>
      <w:pPr>
        <w:spacing w:after="0"/>
      </w:pPr>
    </w:p>
    <w:p>
      <w:pPr>
        <w:pStyle w:val="Heading1"/>
        <w:keepNext/>
      </w:pPr>
      <w:r>
        <w:t>7.7 Competition learning versus factory learning</w:t>
      </w:r>
    </w:p>
    <w:p>
      <w:r>
        <w:t>Kaggle competitions encourage experimentation and leaderboard optimization. Public discussions and solution write-ups showed that time ordering, neighboring products, path patterns, missingness, threshold tuning, and ensembles could improve MCC [3][9]. These lessons are valuable, but a high leaderboard score does not automatically represent future-factory performance.</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4309"/>
            <w:shd w:fill="1F4E79"/>
            <w:vAlign w:val="center"/>
          </w:tcPr>
          <w:p>
            <w:r>
              <w:rPr>
                <w:b/>
                <w:color w:val="FFFFFF"/>
                <w:sz w:val="19"/>
              </w:rPr>
              <w:t>Competition question</w:t>
            </w:r>
          </w:p>
        </w:tc>
        <w:tc>
          <w:tcPr>
            <w:tcW w:type="dxa" w:w="4422"/>
            <w:shd w:fill="1F4E79"/>
            <w:vAlign w:val="center"/>
          </w:tcPr>
          <w:p>
            <w:r>
              <w:rPr>
                <w:b/>
                <w:color w:val="FFFFFF"/>
                <w:sz w:val="19"/>
              </w:rPr>
              <w:t>Factory question</w:t>
            </w:r>
          </w:p>
        </w:tc>
      </w:tr>
      <w:tr>
        <w:trPr>
          <w:cantSplit/>
        </w:trPr>
        <w:tc>
          <w:tcPr>
            <w:tcW w:type="dxa" w:w="4309"/>
            <w:vAlign w:val="top"/>
            <w:tcMar>
              <w:top w:w="90" w:type="dxa"/>
              <w:start w:w="100" w:type="dxa"/>
              <w:bottom w:w="90" w:type="dxa"/>
              <w:end w:w="100" w:type="dxa"/>
            </w:tcMar>
          </w:tcPr>
          <w:p>
            <w:pPr>
              <w:spacing w:after="0"/>
            </w:pPr>
            <w:r>
              <w:rPr>
                <w:sz w:val="18"/>
              </w:rPr>
              <w:t>Can the hidden Kaggle labels be predicted?</w:t>
            </w:r>
          </w:p>
        </w:tc>
        <w:tc>
          <w:tcPr>
            <w:tcW w:type="dxa" w:w="4422"/>
            <w:vAlign w:val="top"/>
            <w:tcMar>
              <w:top w:w="90" w:type="dxa"/>
              <w:start w:w="100" w:type="dxa"/>
              <w:bottom w:w="90" w:type="dxa"/>
              <w:end w:w="100" w:type="dxa"/>
            </w:tcMar>
          </w:tcPr>
          <w:p>
            <w:pPr>
              <w:spacing w:after="0"/>
            </w:pPr>
            <w:r>
              <w:rPr>
                <w:sz w:val="18"/>
              </w:rPr>
              <w:t>Can future parts be scored before the quality decision must be made?</w:t>
            </w:r>
          </w:p>
        </w:tc>
      </w:tr>
      <w:tr>
        <w:trPr>
          <w:cantSplit/>
        </w:trPr>
        <w:tc>
          <w:tcPr>
            <w:tcW w:type="dxa" w:w="4309"/>
            <w:vAlign w:val="top"/>
            <w:tcMar>
              <w:top w:w="90" w:type="dxa"/>
              <w:start w:w="100" w:type="dxa"/>
              <w:bottom w:w="90" w:type="dxa"/>
              <w:end w:w="100" w:type="dxa"/>
            </w:tcMar>
          </w:tcPr>
          <w:p>
            <w:pPr>
              <w:spacing w:after="0"/>
            </w:pPr>
            <w:r>
              <w:rPr>
                <w:sz w:val="18"/>
              </w:rPr>
              <w:t>What feature gives the best leaderboard gain?</w:t>
            </w:r>
          </w:p>
        </w:tc>
        <w:tc>
          <w:tcPr>
            <w:tcW w:type="dxa" w:w="4422"/>
            <w:vAlign w:val="top"/>
            <w:tcMar>
              <w:top w:w="90" w:type="dxa"/>
              <w:start w:w="100" w:type="dxa"/>
              <w:bottom w:w="90" w:type="dxa"/>
              <w:end w:w="100" w:type="dxa"/>
            </w:tcMar>
          </w:tcPr>
          <w:p>
            <w:pPr>
              <w:spacing w:after="0"/>
            </w:pPr>
            <w:r>
              <w:rPr>
                <w:sz w:val="18"/>
              </w:rPr>
              <w:t>Is the feature available, stable, governed, and causally safe enough for the intended action?</w:t>
            </w:r>
          </w:p>
        </w:tc>
      </w:tr>
      <w:tr>
        <w:trPr>
          <w:cantSplit/>
        </w:trPr>
        <w:tc>
          <w:tcPr>
            <w:tcW w:type="dxa" w:w="4309"/>
            <w:vAlign w:val="top"/>
            <w:tcMar>
              <w:top w:w="90" w:type="dxa"/>
              <w:start w:w="100" w:type="dxa"/>
              <w:bottom w:w="90" w:type="dxa"/>
              <w:end w:w="100" w:type="dxa"/>
            </w:tcMar>
          </w:tcPr>
          <w:p>
            <w:pPr>
              <w:spacing w:after="0"/>
            </w:pPr>
            <w:r>
              <w:rPr>
                <w:sz w:val="18"/>
              </w:rPr>
              <w:t>What threshold maximizes MCC?</w:t>
            </w:r>
          </w:p>
        </w:tc>
        <w:tc>
          <w:tcPr>
            <w:tcW w:type="dxa" w:w="4422"/>
            <w:vAlign w:val="top"/>
            <w:tcMar>
              <w:top w:w="90" w:type="dxa"/>
              <w:start w:w="100" w:type="dxa"/>
              <w:bottom w:w="90" w:type="dxa"/>
              <w:end w:w="100" w:type="dxa"/>
            </w:tcMar>
          </w:tcPr>
          <w:p>
            <w:pPr>
              <w:spacing w:after="0"/>
            </w:pPr>
            <w:r>
              <w:rPr>
                <w:sz w:val="18"/>
              </w:rPr>
              <w:t>What threshold balances missed failures, inspection capacity, cost, and safety?</w:t>
            </w:r>
          </w:p>
        </w:tc>
      </w:tr>
      <w:tr>
        <w:trPr>
          <w:cantSplit/>
        </w:trPr>
        <w:tc>
          <w:tcPr>
            <w:tcW w:type="dxa" w:w="4309"/>
            <w:vAlign w:val="top"/>
            <w:tcMar>
              <w:top w:w="90" w:type="dxa"/>
              <w:start w:w="100" w:type="dxa"/>
              <w:bottom w:w="90" w:type="dxa"/>
              <w:end w:w="100" w:type="dxa"/>
            </w:tcMar>
          </w:tcPr>
          <w:p>
            <w:pPr>
              <w:spacing w:after="0"/>
            </w:pPr>
            <w:r>
              <w:rPr>
                <w:sz w:val="18"/>
              </w:rPr>
              <w:t>Can train/test ordering be exploited?</w:t>
            </w:r>
          </w:p>
        </w:tc>
        <w:tc>
          <w:tcPr>
            <w:tcW w:type="dxa" w:w="4422"/>
            <w:vAlign w:val="top"/>
            <w:tcMar>
              <w:top w:w="90" w:type="dxa"/>
              <w:start w:w="100" w:type="dxa"/>
              <w:bottom w:w="90" w:type="dxa"/>
              <w:end w:w="100" w:type="dxa"/>
            </w:tcMar>
          </w:tcPr>
          <w:p>
            <w:pPr>
              <w:spacing w:after="0"/>
            </w:pPr>
            <w:r>
              <w:rPr>
                <w:sz w:val="18"/>
              </w:rPr>
              <w:t>Will the same relationship exist for future production periods and new products?</w:t>
            </w:r>
          </w:p>
        </w:tc>
      </w:tr>
    </w:tbl>
    <w:p/>
    <w:p>
      <w:pPr>
        <w:pStyle w:val="Heading1"/>
        <w:keepNext/>
      </w:pPr>
      <w:r>
        <w:t>7.8 How this project uses the competition</w:t>
      </w:r>
    </w:p>
    <w:p>
      <w:r>
        <w:t>This project treats the Bosch data as a benchmark for an end-to-end manufacturing analytics POC. It includes a production-safe Phase 6 LightGBM model, while keeping a separate leaderboard-style research extension that uses order and neighbor features. The separation is important: the leaderboard extension is informative for competition research, but its optimistic validation score is not used as the official production-readiness claim [4][9].</w:t>
      </w:r>
    </w:p>
    <w:tbl>
      <w:tblPr>
        <w:tblW w:type="auto" w:w="0"/>
        <w:jc w:val="center"/>
        <w:tblLook w:firstColumn="1" w:firstRow="1" w:lastColumn="0" w:lastRow="0" w:noHBand="0" w:noVBand="1" w:val="04A0"/>
      </w:tblPr>
      <w:tblGrid>
        <w:gridCol w:w="9525"/>
      </w:tblGrid>
      <w:tr>
        <w:trPr>
          <w:cantSplit/>
        </w:trPr>
        <w:tc>
          <w:tcPr>
            <w:tcW w:type="dxa" w:w="9525"/>
            <w:shd w:fill="FCE4D6"/>
            <w:tcMar>
              <w:top w:w="180" w:type="dxa"/>
              <w:start w:w="220" w:type="dxa"/>
              <w:bottom w:w="180" w:type="dxa"/>
              <w:end w:w="220" w:type="dxa"/>
            </w:tcMar>
          </w:tcPr>
          <w:p>
            <w:r>
              <w:rPr>
                <w:b/>
                <w:color w:val="1F4E79"/>
                <w:sz w:val="21"/>
              </w:rPr>
              <w:t>Common beginner mistakes</w:t>
              <w:br/>
            </w:r>
            <w:r>
              <w:rPr>
                <w:sz w:val="21"/>
              </w:rPr>
              <w:t>• Using accuracy as the main metric for a 0.58% failure rate.</w:t>
              <w:br/>
              <w:t>• Assuming Response = 0 proves the part has no possible quality issue.</w:t>
              <w:br/>
              <w:t>• Tuning the threshold on the Kaggle test result or repeatedly using a holdout until it becomes training data.</w:t>
              <w:br/>
              <w:t>• Describing a leaderboard feature as production-safe without checking whether it exists at prediction time.</w:t>
              <w:br/>
              <w:t>• Comparing MCC values obtained from different splits as though they were directly equivalent.</w:t>
            </w:r>
          </w:p>
        </w:tc>
      </w:tr>
    </w:tbl>
    <w:p>
      <w:pPr>
        <w:spacing w:after="0"/>
      </w:pPr>
    </w:p>
    <w:p>
      <w:pPr>
        <w:pStyle w:val="Heading2"/>
        <w:keepNext/>
      </w:pPr>
      <w:r>
        <w:t>Review questions</w:t>
      </w:r>
    </w:p>
    <w:p>
      <w:pPr>
        <w:ind w:left="369" w:hanging="255"/>
      </w:pPr>
      <w:r>
        <w:t>1.  What does one row represent?</w:t>
      </w:r>
    </w:p>
    <w:p>
      <w:pPr>
        <w:ind w:left="369" w:hanging="255"/>
      </w:pPr>
      <w:r>
        <w:t>2.  Where is Response stored, and why is it absent from test files?</w:t>
      </w:r>
    </w:p>
    <w:p>
      <w:pPr>
        <w:ind w:left="369" w:hanging="255"/>
      </w:pPr>
      <w:r>
        <w:t>3.  Why would an always-zero model appear accurate?</w:t>
      </w:r>
    </w:p>
    <w:p>
      <w:pPr>
        <w:ind w:left="369" w:hanging="255"/>
      </w:pPr>
      <w:r>
        <w:t>4.  What four confusion-matrix quantities are used by MCC?</w:t>
      </w:r>
    </w:p>
    <w:p>
      <w:pPr>
        <w:ind w:left="369" w:hanging="255"/>
      </w:pPr>
      <w:r>
        <w:t>5.  Why can a Kaggle leaderboard strategy fail in a real future-production setting?</w:t>
      </w:r>
    </w:p>
    <w:p>
      <w:pPr>
        <w:pStyle w:val="Heading2"/>
        <w:keepNext/>
      </w:pPr>
      <w:r>
        <w:t>Practice exercise</w:t>
      </w:r>
    </w:p>
    <w:p>
      <w:r>
        <w:t>Assume a validation set contains 100,000 parts with 580 failures. Create a hypothetical confusion matrix for a model that finds 200 failures but raises 500 false alarms. Calculate precision and recall, then explain why a factory manager would need more information before approving the threshold.</w:t>
      </w:r>
    </w:p>
    <w:tbl>
      <w:tblPr>
        <w:tblW w:type="auto" w:w="0"/>
        <w:jc w:val="center"/>
        <w:tblLook w:firstColumn="1" w:firstRow="1" w:lastColumn="0" w:lastRow="0" w:noHBand="0" w:noVBand="1" w:val="04A0"/>
      </w:tblPr>
      <w:tblGrid>
        <w:gridCol w:w="9525"/>
      </w:tblGrid>
      <w:tr>
        <w:trPr>
          <w:cantSplit/>
        </w:trPr>
        <w:tc>
          <w:tcPr>
            <w:tcW w:type="dxa" w:w="9525"/>
            <w:shd w:fill="E2F0D9"/>
            <w:tcMar>
              <w:top w:w="180" w:type="dxa"/>
              <w:start w:w="220" w:type="dxa"/>
              <w:bottom w:w="180" w:type="dxa"/>
              <w:end w:w="220" w:type="dxa"/>
            </w:tcMar>
          </w:tcPr>
          <w:p>
            <w:r>
              <w:rPr>
                <w:b/>
                <w:color w:val="1F4E79"/>
                <w:sz w:val="21"/>
              </w:rPr>
              <w:t>Chapter summary</w:t>
              <w:br/>
            </w:r>
            <w:r>
              <w:rPr>
                <w:sz w:val="21"/>
              </w:rPr>
              <w:t>• The competition is a rare-event binary classification problem at part level.</w:t>
              <w:br/>
              <w:t>• Response = 1 identifies a recorded internal failure in the training labels.</w:t>
              <w:br/>
              <w:t>• Only about 0.58% of training parts are failures, making accuracy misleading.</w:t>
              <w:br/>
              <w:t>• MCC evaluates all four confusion-matrix outcomes.</w:t>
              <w:br/>
              <w:t>• Leaderboard performance is not the same as factory performance.</w:t>
            </w:r>
          </w:p>
        </w:tc>
      </w:tr>
    </w:tbl>
    <w:p>
      <w:pPr>
        <w:spacing w:after="0"/>
      </w:pPr>
    </w:p>
    <w:p>
      <w:r>
        <w:br w:type="page"/>
      </w:r>
    </w:p>
    <w:p>
      <w:pPr>
        <w:pStyle w:val="Title"/>
      </w:pPr>
      <w:r>
        <w:t>Chapter 8: Dataset Structure</w:t>
      </w:r>
    </w:p>
    <w:tbl>
      <w:tblPr>
        <w:tblW w:type="auto" w:w="0"/>
        <w:jc w:val="center"/>
        <w:tblLook w:firstColumn="1" w:firstRow="1" w:lastColumn="0" w:lastRow="0" w:noHBand="0" w:noVBand="1" w:val="04A0"/>
      </w:tblPr>
      <w:tblGrid>
        <w:gridCol w:w="9525"/>
      </w:tblGrid>
      <w:tr>
        <w:trPr>
          <w:cantSplit/>
        </w:trPr>
        <w:tc>
          <w:tcPr>
            <w:tcW w:type="dxa" w:w="9525"/>
            <w:shd w:fill="E4DFEC"/>
            <w:tcMar>
              <w:top w:w="180" w:type="dxa"/>
              <w:start w:w="220" w:type="dxa"/>
              <w:bottom w:w="180" w:type="dxa"/>
              <w:end w:w="220" w:type="dxa"/>
            </w:tcMar>
          </w:tcPr>
          <w:p>
            <w:r>
              <w:rPr>
                <w:b/>
                <w:color w:val="1F4E79"/>
                <w:sz w:val="21"/>
              </w:rPr>
              <w:t>Learning objectives</w:t>
              <w:br/>
            </w:r>
            <w:r>
              <w:rPr>
                <w:sz w:val="21"/>
              </w:rPr>
              <w:t>By the end of this chapter, the reader should be able to:</w:t>
              <w:br/>
              <w:t>• identify every supplied file and its purpose</w:t>
              <w:br/>
              <w:t>• explain why the dataset is separated by feature type</w:t>
              <w:br/>
              <w:t>• join numerical, categorical, and date records safely by Id</w:t>
              <w:br/>
              <w:t>• describe the scale, dimensionality, sparsity, lines, and stations</w:t>
              <w:br/>
              <w:t>• design a memory-aware data-loading workflow</w:t>
            </w:r>
          </w:p>
        </w:tc>
      </w:tr>
    </w:tbl>
    <w:p>
      <w:pPr>
        <w:spacing w:after="0"/>
      </w:pPr>
    </w:p>
    <w:p>
      <w:pPr>
        <w:pStyle w:val="Heading1"/>
        <w:keepNext/>
      </w:pPr>
      <w:r>
        <w:t>8.1 Why the files are separated</w:t>
      </w:r>
    </w:p>
    <w:p>
      <w:r>
        <w:t>The dataset is extremely large, so Kaggle separated it into files by feature type: numerical, categorical, and date. This separation allows a participant to start with one feature family, read the data in chunks, or build separate preprocessing pipelines. The project Phase 1 inventory shows that the six train/test CSV files together occupy roughly 14.3 GB before derived outputs are created [5].</w:t>
      </w:r>
    </w:p>
    <w:p>
      <w:pPr>
        <w:jc w:val="center"/>
      </w:pPr>
      <w:r>
        <w:drawing>
          <wp:inline xmlns:a="http://schemas.openxmlformats.org/drawingml/2006/main" xmlns:pic="http://schemas.openxmlformats.org/drawingml/2006/picture">
            <wp:extent cx="6126480" cy="3335528"/>
            <wp:docPr id="3" name="Picture 3"/>
            <wp:cNvGraphicFramePr>
              <a:graphicFrameLocks noChangeAspect="1"/>
            </wp:cNvGraphicFramePr>
            <a:graphic>
              <a:graphicData uri="http://schemas.openxmlformats.org/drawingml/2006/picture">
                <pic:pic>
                  <pic:nvPicPr>
                    <pic:cNvPr id="0" name="figure_8_1_file_map.png"/>
                    <pic:cNvPicPr/>
                  </pic:nvPicPr>
                  <pic:blipFill>
                    <a:blip r:embed="rId13"/>
                    <a:stretch>
                      <a:fillRect/>
                    </a:stretch>
                  </pic:blipFill>
                  <pic:spPr>
                    <a:xfrm>
                      <a:off x="0" y="0"/>
                      <a:ext cx="6126480" cy="3335528"/>
                    </a:xfrm>
                    <a:prstGeom prst="rect"/>
                  </pic:spPr>
                </pic:pic>
              </a:graphicData>
            </a:graphic>
          </wp:inline>
        </w:drawing>
      </w:r>
    </w:p>
    <w:p>
      <w:pPr>
        <w:pStyle w:val="Caption"/>
        <w:jc w:val="center"/>
      </w:pPr>
      <w:r>
        <w:t>Figure 8.1 - The numerical, categorical, and date tables are linked by the unique Id column.</w:t>
      </w:r>
    </w:p>
    <w:p>
      <w:pPr>
        <w:pStyle w:val="Heading1"/>
        <w:keepNext/>
      </w:pPr>
      <w:r>
        <w:t>8.2 Complete file inventory</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blHeader/>
          <w:cantSplit/>
        </w:trPr>
        <w:tc>
          <w:tcPr>
            <w:tcW w:type="dxa" w:w="2154"/>
            <w:shd w:fill="1F4E79"/>
            <w:vAlign w:val="center"/>
          </w:tcPr>
          <w:p>
            <w:r>
              <w:rPr>
                <w:b/>
                <w:color w:val="FFFFFF"/>
                <w:sz w:val="19"/>
              </w:rPr>
              <w:t>File</w:t>
            </w:r>
          </w:p>
        </w:tc>
        <w:tc>
          <w:tcPr>
            <w:tcW w:type="dxa" w:w="1247"/>
            <w:shd w:fill="1F4E79"/>
            <w:vAlign w:val="center"/>
          </w:tcPr>
          <w:p>
            <w:r>
              <w:rPr>
                <w:b/>
                <w:color w:val="FFFFFF"/>
                <w:sz w:val="19"/>
              </w:rPr>
              <w:t>Rows</w:t>
            </w:r>
          </w:p>
        </w:tc>
        <w:tc>
          <w:tcPr>
            <w:tcW w:type="dxa" w:w="1134"/>
            <w:shd w:fill="1F4E79"/>
            <w:vAlign w:val="center"/>
          </w:tcPr>
          <w:p>
            <w:r>
              <w:rPr>
                <w:b/>
                <w:color w:val="FFFFFF"/>
                <w:sz w:val="19"/>
              </w:rPr>
              <w:t>Columns</w:t>
            </w:r>
          </w:p>
        </w:tc>
        <w:tc>
          <w:tcPr>
            <w:tcW w:type="dxa" w:w="3118"/>
            <w:shd w:fill="1F4E79"/>
            <w:vAlign w:val="center"/>
          </w:tcPr>
          <w:p>
            <w:r>
              <w:rPr>
                <w:b/>
                <w:color w:val="FFFFFF"/>
                <w:sz w:val="19"/>
              </w:rPr>
              <w:t>Contents</w:t>
            </w:r>
          </w:p>
        </w:tc>
        <w:tc>
          <w:tcPr>
            <w:tcW w:type="dxa" w:w="1304"/>
            <w:shd w:fill="1F4E79"/>
            <w:vAlign w:val="center"/>
          </w:tcPr>
          <w:p>
            <w:r>
              <w:rPr>
                <w:b/>
                <w:color w:val="FFFFFF"/>
                <w:sz w:val="19"/>
              </w:rPr>
              <w:t>Approx. size</w:t>
            </w:r>
          </w:p>
        </w:tc>
      </w:tr>
      <w:tr>
        <w:trPr>
          <w:cantSplit/>
        </w:trPr>
        <w:tc>
          <w:tcPr>
            <w:tcW w:type="dxa" w:w="2154"/>
            <w:vAlign w:val="top"/>
            <w:tcMar>
              <w:top w:w="90" w:type="dxa"/>
              <w:start w:w="100" w:type="dxa"/>
              <w:bottom w:w="90" w:type="dxa"/>
              <w:end w:w="100" w:type="dxa"/>
            </w:tcMar>
          </w:tcPr>
          <w:p>
            <w:pPr>
              <w:spacing w:after="0"/>
            </w:pPr>
            <w:r>
              <w:rPr>
                <w:sz w:val="16"/>
              </w:rPr>
              <w:t>train_numeric.csv</w:t>
            </w:r>
          </w:p>
        </w:tc>
        <w:tc>
          <w:tcPr>
            <w:tcW w:type="dxa" w:w="1247"/>
            <w:vAlign w:val="top"/>
            <w:tcMar>
              <w:top w:w="90" w:type="dxa"/>
              <w:start w:w="100" w:type="dxa"/>
              <w:bottom w:w="90" w:type="dxa"/>
              <w:end w:w="100" w:type="dxa"/>
            </w:tcMar>
          </w:tcPr>
          <w:p>
            <w:pPr>
              <w:spacing w:after="0"/>
            </w:pPr>
            <w:r>
              <w:rPr>
                <w:sz w:val="16"/>
              </w:rPr>
              <w:t>1,183,747</w:t>
            </w:r>
          </w:p>
        </w:tc>
        <w:tc>
          <w:tcPr>
            <w:tcW w:type="dxa" w:w="1134"/>
            <w:vAlign w:val="top"/>
            <w:tcMar>
              <w:top w:w="90" w:type="dxa"/>
              <w:start w:w="100" w:type="dxa"/>
              <w:bottom w:w="90" w:type="dxa"/>
              <w:end w:w="100" w:type="dxa"/>
            </w:tcMar>
          </w:tcPr>
          <w:p>
            <w:pPr>
              <w:spacing w:after="0"/>
            </w:pPr>
            <w:r>
              <w:rPr>
                <w:sz w:val="16"/>
              </w:rPr>
              <w:t>970</w:t>
            </w:r>
          </w:p>
        </w:tc>
        <w:tc>
          <w:tcPr>
            <w:tcW w:type="dxa" w:w="3118"/>
            <w:vAlign w:val="top"/>
            <w:tcMar>
              <w:top w:w="90" w:type="dxa"/>
              <w:start w:w="100" w:type="dxa"/>
              <w:bottom w:w="90" w:type="dxa"/>
              <w:end w:w="100" w:type="dxa"/>
            </w:tcMar>
          </w:tcPr>
          <w:p>
            <w:pPr>
              <w:spacing w:after="0"/>
            </w:pPr>
            <w:r>
              <w:rPr>
                <w:sz w:val="16"/>
              </w:rPr>
              <w:t>Id, 968 numeric features, Response</w:t>
            </w:r>
          </w:p>
        </w:tc>
        <w:tc>
          <w:tcPr>
            <w:tcW w:type="dxa" w:w="1304"/>
            <w:vAlign w:val="top"/>
            <w:tcMar>
              <w:top w:w="90" w:type="dxa"/>
              <w:start w:w="100" w:type="dxa"/>
              <w:bottom w:w="90" w:type="dxa"/>
              <w:end w:w="100" w:type="dxa"/>
            </w:tcMar>
          </w:tcPr>
          <w:p>
            <w:pPr>
              <w:spacing w:after="0"/>
            </w:pPr>
            <w:r>
              <w:rPr>
                <w:sz w:val="16"/>
              </w:rPr>
              <w:t>2,040.77 MB</w:t>
            </w:r>
          </w:p>
        </w:tc>
      </w:tr>
      <w:tr>
        <w:trPr>
          <w:cantSplit/>
        </w:trPr>
        <w:tc>
          <w:tcPr>
            <w:tcW w:type="dxa" w:w="2154"/>
            <w:vAlign w:val="top"/>
            <w:tcMar>
              <w:top w:w="90" w:type="dxa"/>
              <w:start w:w="100" w:type="dxa"/>
              <w:bottom w:w="90" w:type="dxa"/>
              <w:end w:w="100" w:type="dxa"/>
            </w:tcMar>
          </w:tcPr>
          <w:p>
            <w:pPr>
              <w:spacing w:after="0"/>
            </w:pPr>
            <w:r>
              <w:rPr>
                <w:sz w:val="16"/>
              </w:rPr>
              <w:t>train_categorical.csv</w:t>
            </w:r>
          </w:p>
        </w:tc>
        <w:tc>
          <w:tcPr>
            <w:tcW w:type="dxa" w:w="1247"/>
            <w:vAlign w:val="top"/>
            <w:tcMar>
              <w:top w:w="90" w:type="dxa"/>
              <w:start w:w="100" w:type="dxa"/>
              <w:bottom w:w="90" w:type="dxa"/>
              <w:end w:w="100" w:type="dxa"/>
            </w:tcMar>
          </w:tcPr>
          <w:p>
            <w:pPr>
              <w:spacing w:after="0"/>
            </w:pPr>
            <w:r>
              <w:rPr>
                <w:sz w:val="16"/>
              </w:rPr>
              <w:t>1,183,747</w:t>
            </w:r>
          </w:p>
        </w:tc>
        <w:tc>
          <w:tcPr>
            <w:tcW w:type="dxa" w:w="1134"/>
            <w:vAlign w:val="top"/>
            <w:tcMar>
              <w:top w:w="90" w:type="dxa"/>
              <w:start w:w="100" w:type="dxa"/>
              <w:bottom w:w="90" w:type="dxa"/>
              <w:end w:w="100" w:type="dxa"/>
            </w:tcMar>
          </w:tcPr>
          <w:p>
            <w:pPr>
              <w:spacing w:after="0"/>
            </w:pPr>
            <w:r>
              <w:rPr>
                <w:sz w:val="16"/>
              </w:rPr>
              <w:t>2,141</w:t>
            </w:r>
          </w:p>
        </w:tc>
        <w:tc>
          <w:tcPr>
            <w:tcW w:type="dxa" w:w="3118"/>
            <w:vAlign w:val="top"/>
            <w:tcMar>
              <w:top w:w="90" w:type="dxa"/>
              <w:start w:w="100" w:type="dxa"/>
              <w:bottom w:w="90" w:type="dxa"/>
              <w:end w:w="100" w:type="dxa"/>
            </w:tcMar>
          </w:tcPr>
          <w:p>
            <w:pPr>
              <w:spacing w:after="0"/>
            </w:pPr>
            <w:r>
              <w:rPr>
                <w:sz w:val="16"/>
              </w:rPr>
              <w:t>Id, 2,140 categorical features</w:t>
            </w:r>
          </w:p>
        </w:tc>
        <w:tc>
          <w:tcPr>
            <w:tcW w:type="dxa" w:w="1304"/>
            <w:vAlign w:val="top"/>
            <w:tcMar>
              <w:top w:w="90" w:type="dxa"/>
              <w:start w:w="100" w:type="dxa"/>
              <w:bottom w:w="90" w:type="dxa"/>
              <w:end w:w="100" w:type="dxa"/>
            </w:tcMar>
          </w:tcPr>
          <w:p>
            <w:pPr>
              <w:spacing w:after="0"/>
            </w:pPr>
            <w:r>
              <w:rPr>
                <w:sz w:val="16"/>
              </w:rPr>
              <w:t>2,554.27 MB</w:t>
            </w:r>
          </w:p>
        </w:tc>
      </w:tr>
      <w:tr>
        <w:trPr>
          <w:cantSplit/>
        </w:trPr>
        <w:tc>
          <w:tcPr>
            <w:tcW w:type="dxa" w:w="2154"/>
            <w:vAlign w:val="top"/>
            <w:tcMar>
              <w:top w:w="90" w:type="dxa"/>
              <w:start w:w="100" w:type="dxa"/>
              <w:bottom w:w="90" w:type="dxa"/>
              <w:end w:w="100" w:type="dxa"/>
            </w:tcMar>
          </w:tcPr>
          <w:p>
            <w:pPr>
              <w:spacing w:after="0"/>
            </w:pPr>
            <w:r>
              <w:rPr>
                <w:sz w:val="16"/>
              </w:rPr>
              <w:t>train_date.csv</w:t>
            </w:r>
          </w:p>
        </w:tc>
        <w:tc>
          <w:tcPr>
            <w:tcW w:type="dxa" w:w="1247"/>
            <w:vAlign w:val="top"/>
            <w:tcMar>
              <w:top w:w="90" w:type="dxa"/>
              <w:start w:w="100" w:type="dxa"/>
              <w:bottom w:w="90" w:type="dxa"/>
              <w:end w:w="100" w:type="dxa"/>
            </w:tcMar>
          </w:tcPr>
          <w:p>
            <w:pPr>
              <w:spacing w:after="0"/>
            </w:pPr>
            <w:r>
              <w:rPr>
                <w:sz w:val="16"/>
              </w:rPr>
              <w:t>1,183,747</w:t>
            </w:r>
          </w:p>
        </w:tc>
        <w:tc>
          <w:tcPr>
            <w:tcW w:type="dxa" w:w="1134"/>
            <w:vAlign w:val="top"/>
            <w:tcMar>
              <w:top w:w="90" w:type="dxa"/>
              <w:start w:w="100" w:type="dxa"/>
              <w:bottom w:w="90" w:type="dxa"/>
              <w:end w:w="100" w:type="dxa"/>
            </w:tcMar>
          </w:tcPr>
          <w:p>
            <w:pPr>
              <w:spacing w:after="0"/>
            </w:pPr>
            <w:r>
              <w:rPr>
                <w:sz w:val="16"/>
              </w:rPr>
              <w:t>1,157</w:t>
            </w:r>
          </w:p>
        </w:tc>
        <w:tc>
          <w:tcPr>
            <w:tcW w:type="dxa" w:w="3118"/>
            <w:vAlign w:val="top"/>
            <w:tcMar>
              <w:top w:w="90" w:type="dxa"/>
              <w:start w:w="100" w:type="dxa"/>
              <w:bottom w:w="90" w:type="dxa"/>
              <w:end w:w="100" w:type="dxa"/>
            </w:tcMar>
          </w:tcPr>
          <w:p>
            <w:pPr>
              <w:spacing w:after="0"/>
            </w:pPr>
            <w:r>
              <w:rPr>
                <w:sz w:val="16"/>
              </w:rPr>
              <w:t>Id, 1,156 date features</w:t>
            </w:r>
          </w:p>
        </w:tc>
        <w:tc>
          <w:tcPr>
            <w:tcW w:type="dxa" w:w="1304"/>
            <w:vAlign w:val="top"/>
            <w:tcMar>
              <w:top w:w="90" w:type="dxa"/>
              <w:start w:w="100" w:type="dxa"/>
              <w:bottom w:w="90" w:type="dxa"/>
              <w:end w:w="100" w:type="dxa"/>
            </w:tcMar>
          </w:tcPr>
          <w:p>
            <w:pPr>
              <w:spacing w:after="0"/>
            </w:pPr>
            <w:r>
              <w:rPr>
                <w:sz w:val="16"/>
              </w:rPr>
              <w:t>2,759.33 MB</w:t>
            </w:r>
          </w:p>
        </w:tc>
      </w:tr>
      <w:tr>
        <w:trPr>
          <w:cantSplit/>
        </w:trPr>
        <w:tc>
          <w:tcPr>
            <w:tcW w:type="dxa" w:w="2154"/>
            <w:vAlign w:val="top"/>
            <w:tcMar>
              <w:top w:w="90" w:type="dxa"/>
              <w:start w:w="100" w:type="dxa"/>
              <w:bottom w:w="90" w:type="dxa"/>
              <w:end w:w="100" w:type="dxa"/>
            </w:tcMar>
          </w:tcPr>
          <w:p>
            <w:pPr>
              <w:spacing w:after="0"/>
            </w:pPr>
            <w:r>
              <w:rPr>
                <w:sz w:val="16"/>
              </w:rPr>
              <w:t>test_numeric.csv</w:t>
            </w:r>
          </w:p>
        </w:tc>
        <w:tc>
          <w:tcPr>
            <w:tcW w:type="dxa" w:w="1247"/>
            <w:vAlign w:val="top"/>
            <w:tcMar>
              <w:top w:w="90" w:type="dxa"/>
              <w:start w:w="100" w:type="dxa"/>
              <w:bottom w:w="90" w:type="dxa"/>
              <w:end w:w="100" w:type="dxa"/>
            </w:tcMar>
          </w:tcPr>
          <w:p>
            <w:pPr>
              <w:spacing w:after="0"/>
            </w:pPr>
            <w:r>
              <w:rPr>
                <w:sz w:val="16"/>
              </w:rPr>
              <w:t>1,183,748</w:t>
            </w:r>
          </w:p>
        </w:tc>
        <w:tc>
          <w:tcPr>
            <w:tcW w:type="dxa" w:w="1134"/>
            <w:vAlign w:val="top"/>
            <w:tcMar>
              <w:top w:w="90" w:type="dxa"/>
              <w:start w:w="100" w:type="dxa"/>
              <w:bottom w:w="90" w:type="dxa"/>
              <w:end w:w="100" w:type="dxa"/>
            </w:tcMar>
          </w:tcPr>
          <w:p>
            <w:pPr>
              <w:spacing w:after="0"/>
            </w:pPr>
            <w:r>
              <w:rPr>
                <w:sz w:val="16"/>
              </w:rPr>
              <w:t>969</w:t>
            </w:r>
          </w:p>
        </w:tc>
        <w:tc>
          <w:tcPr>
            <w:tcW w:type="dxa" w:w="3118"/>
            <w:vAlign w:val="top"/>
            <w:tcMar>
              <w:top w:w="90" w:type="dxa"/>
              <w:start w:w="100" w:type="dxa"/>
              <w:bottom w:w="90" w:type="dxa"/>
              <w:end w:w="100" w:type="dxa"/>
            </w:tcMar>
          </w:tcPr>
          <w:p>
            <w:pPr>
              <w:spacing w:after="0"/>
            </w:pPr>
            <w:r>
              <w:rPr>
                <w:sz w:val="16"/>
              </w:rPr>
              <w:t>Id, 968 numeric features</w:t>
            </w:r>
          </w:p>
        </w:tc>
        <w:tc>
          <w:tcPr>
            <w:tcW w:type="dxa" w:w="1304"/>
            <w:vAlign w:val="top"/>
            <w:tcMar>
              <w:top w:w="90" w:type="dxa"/>
              <w:start w:w="100" w:type="dxa"/>
              <w:bottom w:w="90" w:type="dxa"/>
              <w:end w:w="100" w:type="dxa"/>
            </w:tcMar>
          </w:tcPr>
          <w:p>
            <w:pPr>
              <w:spacing w:after="0"/>
            </w:pPr>
            <w:r>
              <w:rPr>
                <w:sz w:val="16"/>
              </w:rPr>
              <w:t>2,038.27 MB</w:t>
            </w:r>
          </w:p>
        </w:tc>
      </w:tr>
      <w:tr>
        <w:trPr>
          <w:cantSplit/>
        </w:trPr>
        <w:tc>
          <w:tcPr>
            <w:tcW w:type="dxa" w:w="2154"/>
            <w:vAlign w:val="top"/>
            <w:tcMar>
              <w:top w:w="90" w:type="dxa"/>
              <w:start w:w="100" w:type="dxa"/>
              <w:bottom w:w="90" w:type="dxa"/>
              <w:end w:w="100" w:type="dxa"/>
            </w:tcMar>
          </w:tcPr>
          <w:p>
            <w:pPr>
              <w:spacing w:after="0"/>
            </w:pPr>
            <w:r>
              <w:rPr>
                <w:sz w:val="16"/>
              </w:rPr>
              <w:t>test_categorical.csv</w:t>
            </w:r>
          </w:p>
        </w:tc>
        <w:tc>
          <w:tcPr>
            <w:tcW w:type="dxa" w:w="1247"/>
            <w:vAlign w:val="top"/>
            <w:tcMar>
              <w:top w:w="90" w:type="dxa"/>
              <w:start w:w="100" w:type="dxa"/>
              <w:bottom w:w="90" w:type="dxa"/>
              <w:end w:w="100" w:type="dxa"/>
            </w:tcMar>
          </w:tcPr>
          <w:p>
            <w:pPr>
              <w:spacing w:after="0"/>
            </w:pPr>
            <w:r>
              <w:rPr>
                <w:sz w:val="16"/>
              </w:rPr>
              <w:t>1,183,748</w:t>
            </w:r>
          </w:p>
        </w:tc>
        <w:tc>
          <w:tcPr>
            <w:tcW w:type="dxa" w:w="1134"/>
            <w:vAlign w:val="top"/>
            <w:tcMar>
              <w:top w:w="90" w:type="dxa"/>
              <w:start w:w="100" w:type="dxa"/>
              <w:bottom w:w="90" w:type="dxa"/>
              <w:end w:w="100" w:type="dxa"/>
            </w:tcMar>
          </w:tcPr>
          <w:p>
            <w:pPr>
              <w:spacing w:after="0"/>
            </w:pPr>
            <w:r>
              <w:rPr>
                <w:sz w:val="16"/>
              </w:rPr>
              <w:t>2,141</w:t>
            </w:r>
          </w:p>
        </w:tc>
        <w:tc>
          <w:tcPr>
            <w:tcW w:type="dxa" w:w="3118"/>
            <w:vAlign w:val="top"/>
            <w:tcMar>
              <w:top w:w="90" w:type="dxa"/>
              <w:start w:w="100" w:type="dxa"/>
              <w:bottom w:w="90" w:type="dxa"/>
              <w:end w:w="100" w:type="dxa"/>
            </w:tcMar>
          </w:tcPr>
          <w:p>
            <w:pPr>
              <w:spacing w:after="0"/>
            </w:pPr>
            <w:r>
              <w:rPr>
                <w:sz w:val="16"/>
              </w:rPr>
              <w:t>Id, 2,140 categorical features</w:t>
            </w:r>
          </w:p>
        </w:tc>
        <w:tc>
          <w:tcPr>
            <w:tcW w:type="dxa" w:w="1304"/>
            <w:vAlign w:val="top"/>
            <w:tcMar>
              <w:top w:w="90" w:type="dxa"/>
              <w:start w:w="100" w:type="dxa"/>
              <w:bottom w:w="90" w:type="dxa"/>
              <w:end w:w="100" w:type="dxa"/>
            </w:tcMar>
          </w:tcPr>
          <w:p>
            <w:pPr>
              <w:spacing w:after="0"/>
            </w:pPr>
            <w:r>
              <w:rPr>
                <w:sz w:val="16"/>
              </w:rPr>
              <w:t>2,554.20 MB</w:t>
            </w:r>
          </w:p>
        </w:tc>
      </w:tr>
      <w:tr>
        <w:trPr>
          <w:cantSplit/>
        </w:trPr>
        <w:tc>
          <w:tcPr>
            <w:tcW w:type="dxa" w:w="2154"/>
            <w:vAlign w:val="top"/>
            <w:tcMar>
              <w:top w:w="90" w:type="dxa"/>
              <w:start w:w="100" w:type="dxa"/>
              <w:bottom w:w="90" w:type="dxa"/>
              <w:end w:w="100" w:type="dxa"/>
            </w:tcMar>
          </w:tcPr>
          <w:p>
            <w:pPr>
              <w:spacing w:after="0"/>
            </w:pPr>
            <w:r>
              <w:rPr>
                <w:sz w:val="16"/>
              </w:rPr>
              <w:t>test_date.csv</w:t>
            </w:r>
          </w:p>
        </w:tc>
        <w:tc>
          <w:tcPr>
            <w:tcW w:type="dxa" w:w="1247"/>
            <w:vAlign w:val="top"/>
            <w:tcMar>
              <w:top w:w="90" w:type="dxa"/>
              <w:start w:w="100" w:type="dxa"/>
              <w:bottom w:w="90" w:type="dxa"/>
              <w:end w:w="100" w:type="dxa"/>
            </w:tcMar>
          </w:tcPr>
          <w:p>
            <w:pPr>
              <w:spacing w:after="0"/>
            </w:pPr>
            <w:r>
              <w:rPr>
                <w:sz w:val="16"/>
              </w:rPr>
              <w:t>1,183,748</w:t>
            </w:r>
          </w:p>
        </w:tc>
        <w:tc>
          <w:tcPr>
            <w:tcW w:type="dxa" w:w="1134"/>
            <w:vAlign w:val="top"/>
            <w:tcMar>
              <w:top w:w="90" w:type="dxa"/>
              <w:start w:w="100" w:type="dxa"/>
              <w:bottom w:w="90" w:type="dxa"/>
              <w:end w:w="100" w:type="dxa"/>
            </w:tcMar>
          </w:tcPr>
          <w:p>
            <w:pPr>
              <w:spacing w:after="0"/>
            </w:pPr>
            <w:r>
              <w:rPr>
                <w:sz w:val="16"/>
              </w:rPr>
              <w:t>1,157</w:t>
            </w:r>
          </w:p>
        </w:tc>
        <w:tc>
          <w:tcPr>
            <w:tcW w:type="dxa" w:w="3118"/>
            <w:vAlign w:val="top"/>
            <w:tcMar>
              <w:top w:w="90" w:type="dxa"/>
              <w:start w:w="100" w:type="dxa"/>
              <w:bottom w:w="90" w:type="dxa"/>
              <w:end w:w="100" w:type="dxa"/>
            </w:tcMar>
          </w:tcPr>
          <w:p>
            <w:pPr>
              <w:spacing w:after="0"/>
            </w:pPr>
            <w:r>
              <w:rPr>
                <w:sz w:val="16"/>
              </w:rPr>
              <w:t>Id, 1,156 date features</w:t>
            </w:r>
          </w:p>
        </w:tc>
        <w:tc>
          <w:tcPr>
            <w:tcW w:type="dxa" w:w="1304"/>
            <w:vAlign w:val="top"/>
            <w:tcMar>
              <w:top w:w="90" w:type="dxa"/>
              <w:start w:w="100" w:type="dxa"/>
              <w:bottom w:w="90" w:type="dxa"/>
              <w:end w:w="100" w:type="dxa"/>
            </w:tcMar>
          </w:tcPr>
          <w:p>
            <w:pPr>
              <w:spacing w:after="0"/>
            </w:pPr>
            <w:r>
              <w:rPr>
                <w:sz w:val="16"/>
              </w:rPr>
              <w:t>2,759.20 MB</w:t>
            </w:r>
          </w:p>
        </w:tc>
      </w:tr>
      <w:tr>
        <w:trPr>
          <w:cantSplit/>
        </w:trPr>
        <w:tc>
          <w:tcPr>
            <w:tcW w:type="dxa" w:w="2154"/>
            <w:vAlign w:val="top"/>
            <w:tcMar>
              <w:top w:w="90" w:type="dxa"/>
              <w:start w:w="100" w:type="dxa"/>
              <w:bottom w:w="90" w:type="dxa"/>
              <w:end w:w="100" w:type="dxa"/>
            </w:tcMar>
          </w:tcPr>
          <w:p>
            <w:pPr>
              <w:spacing w:after="0"/>
            </w:pPr>
            <w:r>
              <w:rPr>
                <w:sz w:val="16"/>
              </w:rPr>
              <w:t>sample_submission.csv</w:t>
            </w:r>
          </w:p>
        </w:tc>
        <w:tc>
          <w:tcPr>
            <w:tcW w:type="dxa" w:w="1247"/>
            <w:vAlign w:val="top"/>
            <w:tcMar>
              <w:top w:w="90" w:type="dxa"/>
              <w:start w:w="100" w:type="dxa"/>
              <w:bottom w:w="90" w:type="dxa"/>
              <w:end w:w="100" w:type="dxa"/>
            </w:tcMar>
          </w:tcPr>
          <w:p>
            <w:pPr>
              <w:spacing w:after="0"/>
            </w:pPr>
            <w:r>
              <w:rPr>
                <w:sz w:val="16"/>
              </w:rPr>
              <w:t>1,183,748</w:t>
            </w:r>
          </w:p>
        </w:tc>
        <w:tc>
          <w:tcPr>
            <w:tcW w:type="dxa" w:w="1134"/>
            <w:vAlign w:val="top"/>
            <w:tcMar>
              <w:top w:w="90" w:type="dxa"/>
              <w:start w:w="100" w:type="dxa"/>
              <w:bottom w:w="90" w:type="dxa"/>
              <w:end w:w="100" w:type="dxa"/>
            </w:tcMar>
          </w:tcPr>
          <w:p>
            <w:pPr>
              <w:spacing w:after="0"/>
            </w:pPr>
            <w:r>
              <w:rPr>
                <w:sz w:val="16"/>
              </w:rPr>
              <w:t>2</w:t>
            </w:r>
          </w:p>
        </w:tc>
        <w:tc>
          <w:tcPr>
            <w:tcW w:type="dxa" w:w="3118"/>
            <w:vAlign w:val="top"/>
            <w:tcMar>
              <w:top w:w="90" w:type="dxa"/>
              <w:start w:w="100" w:type="dxa"/>
              <w:bottom w:w="90" w:type="dxa"/>
              <w:end w:w="100" w:type="dxa"/>
            </w:tcMar>
          </w:tcPr>
          <w:p>
            <w:pPr>
              <w:spacing w:after="0"/>
            </w:pPr>
            <w:r>
              <w:rPr>
                <w:sz w:val="16"/>
              </w:rPr>
              <w:t>Id and placeholder Response</w:t>
            </w:r>
          </w:p>
        </w:tc>
        <w:tc>
          <w:tcPr>
            <w:tcW w:type="dxa" w:w="1304"/>
            <w:vAlign w:val="top"/>
            <w:tcMar>
              <w:top w:w="90" w:type="dxa"/>
              <w:start w:w="100" w:type="dxa"/>
              <w:bottom w:w="90" w:type="dxa"/>
              <w:end w:w="100" w:type="dxa"/>
            </w:tcMar>
          </w:tcPr>
          <w:p>
            <w:pPr>
              <w:spacing w:after="0"/>
            </w:pPr>
            <w:r>
              <w:rPr>
                <w:sz w:val="16"/>
              </w:rPr>
              <w:t>Format reference</w:t>
            </w:r>
          </w:p>
        </w:tc>
      </w:tr>
    </w:tbl>
    <w:p/>
    <w:tbl>
      <w:tblPr>
        <w:tblW w:type="auto" w:w="0"/>
        <w:jc w:val="center"/>
        <w:tblLook w:firstColumn="1" w:firstRow="1" w:lastColumn="0" w:lastRow="0" w:noHBand="0" w:noVBand="1" w:val="04A0"/>
      </w:tblPr>
      <w:tblGrid>
        <w:gridCol w:w="9525"/>
      </w:tblGrid>
      <w:tr>
        <w:trPr>
          <w:cantSplit/>
        </w:trPr>
        <w:tc>
          <w:tcPr>
            <w:tcW w:type="dxa" w:w="9525"/>
            <w:shd w:fill="FFF2CC"/>
            <w:tcMar>
              <w:top w:w="180" w:type="dxa"/>
              <w:start w:w="220" w:type="dxa"/>
              <w:bottom w:w="180" w:type="dxa"/>
              <w:end w:w="220" w:type="dxa"/>
            </w:tcMar>
          </w:tcPr>
          <w:p>
            <w:r>
              <w:rPr>
                <w:b/>
                <w:color w:val="1F4E79"/>
                <w:sz w:val="21"/>
              </w:rPr>
              <w:t>Why train_numeric has two more columns than numeric features</w:t>
              <w:br/>
            </w:r>
            <w:r>
              <w:rPr>
                <w:sz w:val="21"/>
              </w:rPr>
              <w:t>The 970 columns are: Id + 968 numerical feature columns + Response. In test_numeric.csv, Response is absent, so there are 969 columns.</w:t>
            </w:r>
          </w:p>
        </w:tc>
      </w:tr>
    </w:tbl>
    <w:p>
      <w:pPr>
        <w:spacing w:after="0"/>
      </w:pPr>
    </w:p>
    <w:p>
      <w:pPr>
        <w:pStyle w:val="Heading1"/>
        <w:keepNext/>
      </w:pPr>
      <w:r>
        <w:t>8.3 Raw feature count</w:t>
      </w:r>
    </w:p>
    <w:p>
      <w:r>
        <w:t>Across the three feature types, the project parsed 4,264 raw feature columns: 968 numerical, 2,140 categorical, and 1,156 date features. The naming convention reveals four encoded production lines and 52 encoded stations [6].</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rPr>
          <w:tblHeader/>
          <w:cantSplit/>
        </w:trPr>
        <w:tc>
          <w:tcPr>
            <w:tcW w:type="dxa" w:w="1134"/>
            <w:shd w:fill="1F4E79"/>
            <w:vAlign w:val="center"/>
          </w:tcPr>
          <w:p>
            <w:r>
              <w:rPr>
                <w:b/>
                <w:color w:val="FFFFFF"/>
                <w:sz w:val="19"/>
              </w:rPr>
              <w:t>Line</w:t>
            </w:r>
          </w:p>
        </w:tc>
        <w:tc>
          <w:tcPr>
            <w:tcW w:type="dxa" w:w="1247"/>
            <w:shd w:fill="1F4E79"/>
            <w:vAlign w:val="center"/>
          </w:tcPr>
          <w:p>
            <w:r>
              <w:rPr>
                <w:b/>
                <w:color w:val="FFFFFF"/>
                <w:sz w:val="19"/>
              </w:rPr>
              <w:t>Stations</w:t>
            </w:r>
          </w:p>
        </w:tc>
        <w:tc>
          <w:tcPr>
            <w:tcW w:type="dxa" w:w="1361"/>
            <w:shd w:fill="1F4E79"/>
            <w:vAlign w:val="center"/>
          </w:tcPr>
          <w:p>
            <w:r>
              <w:rPr>
                <w:b/>
                <w:color w:val="FFFFFF"/>
                <w:sz w:val="19"/>
              </w:rPr>
              <w:t>Numerical</w:t>
            </w:r>
          </w:p>
        </w:tc>
        <w:tc>
          <w:tcPr>
            <w:tcW w:type="dxa" w:w="1587"/>
            <w:shd w:fill="1F4E79"/>
            <w:vAlign w:val="center"/>
          </w:tcPr>
          <w:p>
            <w:r>
              <w:rPr>
                <w:b/>
                <w:color w:val="FFFFFF"/>
                <w:sz w:val="19"/>
              </w:rPr>
              <w:t>Categorical</w:t>
            </w:r>
          </w:p>
        </w:tc>
        <w:tc>
          <w:tcPr>
            <w:tcW w:type="dxa" w:w="1247"/>
            <w:shd w:fill="1F4E79"/>
            <w:vAlign w:val="center"/>
          </w:tcPr>
          <w:p>
            <w:r>
              <w:rPr>
                <w:b/>
                <w:color w:val="FFFFFF"/>
                <w:sz w:val="19"/>
              </w:rPr>
              <w:t>Date</w:t>
            </w:r>
          </w:p>
        </w:tc>
        <w:tc>
          <w:tcPr>
            <w:tcW w:type="dxa" w:w="1587"/>
            <w:shd w:fill="1F4E79"/>
            <w:vAlign w:val="center"/>
          </w:tcPr>
          <w:p>
            <w:r>
              <w:rPr>
                <w:b/>
                <w:color w:val="FFFFFF"/>
                <w:sz w:val="19"/>
              </w:rPr>
              <w:t>Total features</w:t>
            </w:r>
          </w:p>
        </w:tc>
      </w:tr>
      <w:tr>
        <w:trPr>
          <w:cantSplit/>
        </w:trPr>
        <w:tc>
          <w:tcPr>
            <w:tcW w:type="dxa" w:w="1134"/>
            <w:vAlign w:val="top"/>
            <w:tcMar>
              <w:top w:w="90" w:type="dxa"/>
              <w:start w:w="100" w:type="dxa"/>
              <w:bottom w:w="90" w:type="dxa"/>
              <w:end w:w="100" w:type="dxa"/>
            </w:tcMar>
          </w:tcPr>
          <w:p>
            <w:pPr>
              <w:spacing w:after="0"/>
            </w:pPr>
            <w:r>
              <w:rPr>
                <w:sz w:val="18"/>
              </w:rPr>
              <w:t>L0</w:t>
            </w:r>
          </w:p>
        </w:tc>
        <w:tc>
          <w:tcPr>
            <w:tcW w:type="dxa" w:w="1247"/>
            <w:vAlign w:val="top"/>
            <w:tcMar>
              <w:top w:w="90" w:type="dxa"/>
              <w:start w:w="100" w:type="dxa"/>
              <w:bottom w:w="90" w:type="dxa"/>
              <w:end w:w="100" w:type="dxa"/>
            </w:tcMar>
          </w:tcPr>
          <w:p>
            <w:pPr>
              <w:spacing w:after="0"/>
            </w:pPr>
            <w:r>
              <w:rPr>
                <w:sz w:val="18"/>
              </w:rPr>
              <w:t>24</w:t>
            </w:r>
          </w:p>
        </w:tc>
        <w:tc>
          <w:tcPr>
            <w:tcW w:type="dxa" w:w="1361"/>
            <w:vAlign w:val="top"/>
            <w:tcMar>
              <w:top w:w="90" w:type="dxa"/>
              <w:start w:w="100" w:type="dxa"/>
              <w:bottom w:w="90" w:type="dxa"/>
              <w:end w:w="100" w:type="dxa"/>
            </w:tcMar>
          </w:tcPr>
          <w:p>
            <w:pPr>
              <w:spacing w:after="0"/>
            </w:pPr>
            <w:r>
              <w:rPr>
                <w:sz w:val="18"/>
              </w:rPr>
              <w:t>168</w:t>
            </w:r>
          </w:p>
        </w:tc>
        <w:tc>
          <w:tcPr>
            <w:tcW w:type="dxa" w:w="1587"/>
            <w:vAlign w:val="top"/>
            <w:tcMar>
              <w:top w:w="90" w:type="dxa"/>
              <w:start w:w="100" w:type="dxa"/>
              <w:bottom w:w="90" w:type="dxa"/>
              <w:end w:w="100" w:type="dxa"/>
            </w:tcMar>
          </w:tcPr>
          <w:p>
            <w:pPr>
              <w:spacing w:after="0"/>
            </w:pPr>
            <w:r>
              <w:rPr>
                <w:sz w:val="18"/>
              </w:rPr>
              <w:t>323</w:t>
            </w:r>
          </w:p>
        </w:tc>
        <w:tc>
          <w:tcPr>
            <w:tcW w:type="dxa" w:w="1247"/>
            <w:vAlign w:val="top"/>
            <w:tcMar>
              <w:top w:w="90" w:type="dxa"/>
              <w:start w:w="100" w:type="dxa"/>
              <w:bottom w:w="90" w:type="dxa"/>
              <w:end w:w="100" w:type="dxa"/>
            </w:tcMar>
          </w:tcPr>
          <w:p>
            <w:pPr>
              <w:spacing w:after="0"/>
            </w:pPr>
            <w:r>
              <w:rPr>
                <w:sz w:val="18"/>
              </w:rPr>
              <w:t>184</w:t>
            </w:r>
          </w:p>
        </w:tc>
        <w:tc>
          <w:tcPr>
            <w:tcW w:type="dxa" w:w="1587"/>
            <w:vAlign w:val="top"/>
            <w:tcMar>
              <w:top w:w="90" w:type="dxa"/>
              <w:start w:w="100" w:type="dxa"/>
              <w:bottom w:w="90" w:type="dxa"/>
              <w:end w:w="100" w:type="dxa"/>
            </w:tcMar>
          </w:tcPr>
          <w:p>
            <w:pPr>
              <w:spacing w:after="0"/>
            </w:pPr>
            <w:r>
              <w:rPr>
                <w:sz w:val="18"/>
              </w:rPr>
              <w:t>675</w:t>
            </w:r>
          </w:p>
        </w:tc>
      </w:tr>
      <w:tr>
        <w:trPr>
          <w:cantSplit/>
        </w:trPr>
        <w:tc>
          <w:tcPr>
            <w:tcW w:type="dxa" w:w="1134"/>
            <w:vAlign w:val="top"/>
            <w:tcMar>
              <w:top w:w="90" w:type="dxa"/>
              <w:start w:w="100" w:type="dxa"/>
              <w:bottom w:w="90" w:type="dxa"/>
              <w:end w:w="100" w:type="dxa"/>
            </w:tcMar>
          </w:tcPr>
          <w:p>
            <w:pPr>
              <w:spacing w:after="0"/>
            </w:pPr>
            <w:r>
              <w:rPr>
                <w:sz w:val="18"/>
              </w:rPr>
              <w:t>L1</w:t>
            </w:r>
          </w:p>
        </w:tc>
        <w:tc>
          <w:tcPr>
            <w:tcW w:type="dxa" w:w="1247"/>
            <w:vAlign w:val="top"/>
            <w:tcMar>
              <w:top w:w="90" w:type="dxa"/>
              <w:start w:w="100" w:type="dxa"/>
              <w:bottom w:w="90" w:type="dxa"/>
              <w:end w:w="100" w:type="dxa"/>
            </w:tcMar>
          </w:tcPr>
          <w:p>
            <w:pPr>
              <w:spacing w:after="0"/>
            </w:pPr>
            <w:r>
              <w:rPr>
                <w:sz w:val="18"/>
              </w:rPr>
              <w:t>2</w:t>
            </w:r>
          </w:p>
        </w:tc>
        <w:tc>
          <w:tcPr>
            <w:tcW w:type="dxa" w:w="1361"/>
            <w:vAlign w:val="top"/>
            <w:tcMar>
              <w:top w:w="90" w:type="dxa"/>
              <w:start w:w="100" w:type="dxa"/>
              <w:bottom w:w="90" w:type="dxa"/>
              <w:end w:w="100" w:type="dxa"/>
            </w:tcMar>
          </w:tcPr>
          <w:p>
            <w:pPr>
              <w:spacing w:after="0"/>
            </w:pPr>
            <w:r>
              <w:rPr>
                <w:sz w:val="18"/>
              </w:rPr>
              <w:t>513</w:t>
            </w:r>
          </w:p>
        </w:tc>
        <w:tc>
          <w:tcPr>
            <w:tcW w:type="dxa" w:w="1587"/>
            <w:vAlign w:val="top"/>
            <w:tcMar>
              <w:top w:w="90" w:type="dxa"/>
              <w:start w:w="100" w:type="dxa"/>
              <w:bottom w:w="90" w:type="dxa"/>
              <w:end w:w="100" w:type="dxa"/>
            </w:tcMar>
          </w:tcPr>
          <w:p>
            <w:pPr>
              <w:spacing w:after="0"/>
            </w:pPr>
            <w:r>
              <w:rPr>
                <w:sz w:val="18"/>
              </w:rPr>
              <w:t>1,227</w:t>
            </w:r>
          </w:p>
        </w:tc>
        <w:tc>
          <w:tcPr>
            <w:tcW w:type="dxa" w:w="1247"/>
            <w:vAlign w:val="top"/>
            <w:tcMar>
              <w:top w:w="90" w:type="dxa"/>
              <w:start w:w="100" w:type="dxa"/>
              <w:bottom w:w="90" w:type="dxa"/>
              <w:end w:w="100" w:type="dxa"/>
            </w:tcMar>
          </w:tcPr>
          <w:p>
            <w:pPr>
              <w:spacing w:after="0"/>
            </w:pPr>
            <w:r>
              <w:rPr>
                <w:sz w:val="18"/>
              </w:rPr>
              <w:t>621</w:t>
            </w:r>
          </w:p>
        </w:tc>
        <w:tc>
          <w:tcPr>
            <w:tcW w:type="dxa" w:w="1587"/>
            <w:vAlign w:val="top"/>
            <w:tcMar>
              <w:top w:w="90" w:type="dxa"/>
              <w:start w:w="100" w:type="dxa"/>
              <w:bottom w:w="90" w:type="dxa"/>
              <w:end w:w="100" w:type="dxa"/>
            </w:tcMar>
          </w:tcPr>
          <w:p>
            <w:pPr>
              <w:spacing w:after="0"/>
            </w:pPr>
            <w:r>
              <w:rPr>
                <w:sz w:val="18"/>
              </w:rPr>
              <w:t>2,361</w:t>
            </w:r>
          </w:p>
        </w:tc>
      </w:tr>
      <w:tr>
        <w:trPr>
          <w:cantSplit/>
        </w:trPr>
        <w:tc>
          <w:tcPr>
            <w:tcW w:type="dxa" w:w="1134"/>
            <w:vAlign w:val="top"/>
            <w:tcMar>
              <w:top w:w="90" w:type="dxa"/>
              <w:start w:w="100" w:type="dxa"/>
              <w:bottom w:w="90" w:type="dxa"/>
              <w:end w:w="100" w:type="dxa"/>
            </w:tcMar>
          </w:tcPr>
          <w:p>
            <w:pPr>
              <w:spacing w:after="0"/>
            </w:pPr>
            <w:r>
              <w:rPr>
                <w:sz w:val="18"/>
              </w:rPr>
              <w:t>L2</w:t>
            </w:r>
          </w:p>
        </w:tc>
        <w:tc>
          <w:tcPr>
            <w:tcW w:type="dxa" w:w="1247"/>
            <w:vAlign w:val="top"/>
            <w:tcMar>
              <w:top w:w="90" w:type="dxa"/>
              <w:start w:w="100" w:type="dxa"/>
              <w:bottom w:w="90" w:type="dxa"/>
              <w:end w:w="100" w:type="dxa"/>
            </w:tcMar>
          </w:tcPr>
          <w:p>
            <w:pPr>
              <w:spacing w:after="0"/>
            </w:pPr>
            <w:r>
              <w:rPr>
                <w:sz w:val="18"/>
              </w:rPr>
              <w:t>3</w:t>
            </w:r>
          </w:p>
        </w:tc>
        <w:tc>
          <w:tcPr>
            <w:tcW w:type="dxa" w:w="1361"/>
            <w:vAlign w:val="top"/>
            <w:tcMar>
              <w:top w:w="90" w:type="dxa"/>
              <w:start w:w="100" w:type="dxa"/>
              <w:bottom w:w="90" w:type="dxa"/>
              <w:end w:w="100" w:type="dxa"/>
            </w:tcMar>
          </w:tcPr>
          <w:p>
            <w:pPr>
              <w:spacing w:after="0"/>
            </w:pPr>
            <w:r>
              <w:rPr>
                <w:sz w:val="18"/>
              </w:rPr>
              <w:t>42</w:t>
            </w:r>
          </w:p>
        </w:tc>
        <w:tc>
          <w:tcPr>
            <w:tcW w:type="dxa" w:w="1587"/>
            <w:vAlign w:val="top"/>
            <w:tcMar>
              <w:top w:w="90" w:type="dxa"/>
              <w:start w:w="100" w:type="dxa"/>
              <w:bottom w:w="90" w:type="dxa"/>
              <w:end w:w="100" w:type="dxa"/>
            </w:tcMar>
          </w:tcPr>
          <w:p>
            <w:pPr>
              <w:spacing w:after="0"/>
            </w:pPr>
            <w:r>
              <w:rPr>
                <w:sz w:val="18"/>
              </w:rPr>
              <w:t>159</w:t>
            </w:r>
          </w:p>
        </w:tc>
        <w:tc>
          <w:tcPr>
            <w:tcW w:type="dxa" w:w="1247"/>
            <w:vAlign w:val="top"/>
            <w:tcMar>
              <w:top w:w="90" w:type="dxa"/>
              <w:start w:w="100" w:type="dxa"/>
              <w:bottom w:w="90" w:type="dxa"/>
              <w:end w:w="100" w:type="dxa"/>
            </w:tcMar>
          </w:tcPr>
          <w:p>
            <w:pPr>
              <w:spacing w:after="0"/>
            </w:pPr>
            <w:r>
              <w:rPr>
                <w:sz w:val="18"/>
              </w:rPr>
              <w:t>78</w:t>
            </w:r>
          </w:p>
        </w:tc>
        <w:tc>
          <w:tcPr>
            <w:tcW w:type="dxa" w:w="1587"/>
            <w:vAlign w:val="top"/>
            <w:tcMar>
              <w:top w:w="90" w:type="dxa"/>
              <w:start w:w="100" w:type="dxa"/>
              <w:bottom w:w="90" w:type="dxa"/>
              <w:end w:w="100" w:type="dxa"/>
            </w:tcMar>
          </w:tcPr>
          <w:p>
            <w:pPr>
              <w:spacing w:after="0"/>
            </w:pPr>
            <w:r>
              <w:rPr>
                <w:sz w:val="18"/>
              </w:rPr>
              <w:t>279</w:t>
            </w:r>
          </w:p>
        </w:tc>
      </w:tr>
      <w:tr>
        <w:trPr>
          <w:cantSplit/>
        </w:trPr>
        <w:tc>
          <w:tcPr>
            <w:tcW w:type="dxa" w:w="1134"/>
            <w:vAlign w:val="top"/>
            <w:tcMar>
              <w:top w:w="90" w:type="dxa"/>
              <w:start w:w="100" w:type="dxa"/>
              <w:bottom w:w="90" w:type="dxa"/>
              <w:end w:w="100" w:type="dxa"/>
            </w:tcMar>
          </w:tcPr>
          <w:p>
            <w:pPr>
              <w:spacing w:after="0"/>
            </w:pPr>
            <w:r>
              <w:rPr>
                <w:sz w:val="18"/>
              </w:rPr>
              <w:t>L3</w:t>
            </w:r>
          </w:p>
        </w:tc>
        <w:tc>
          <w:tcPr>
            <w:tcW w:type="dxa" w:w="1247"/>
            <w:vAlign w:val="top"/>
            <w:tcMar>
              <w:top w:w="90" w:type="dxa"/>
              <w:start w:w="100" w:type="dxa"/>
              <w:bottom w:w="90" w:type="dxa"/>
              <w:end w:w="100" w:type="dxa"/>
            </w:tcMar>
          </w:tcPr>
          <w:p>
            <w:pPr>
              <w:spacing w:after="0"/>
            </w:pPr>
            <w:r>
              <w:rPr>
                <w:sz w:val="18"/>
              </w:rPr>
              <w:t>23</w:t>
            </w:r>
          </w:p>
        </w:tc>
        <w:tc>
          <w:tcPr>
            <w:tcW w:type="dxa" w:w="1361"/>
            <w:vAlign w:val="top"/>
            <w:tcMar>
              <w:top w:w="90" w:type="dxa"/>
              <w:start w:w="100" w:type="dxa"/>
              <w:bottom w:w="90" w:type="dxa"/>
              <w:end w:w="100" w:type="dxa"/>
            </w:tcMar>
          </w:tcPr>
          <w:p>
            <w:pPr>
              <w:spacing w:after="0"/>
            </w:pPr>
            <w:r>
              <w:rPr>
                <w:sz w:val="18"/>
              </w:rPr>
              <w:t>245</w:t>
            </w:r>
          </w:p>
        </w:tc>
        <w:tc>
          <w:tcPr>
            <w:tcW w:type="dxa" w:w="1587"/>
            <w:vAlign w:val="top"/>
            <w:tcMar>
              <w:top w:w="90" w:type="dxa"/>
              <w:start w:w="100" w:type="dxa"/>
              <w:bottom w:w="90" w:type="dxa"/>
              <w:end w:w="100" w:type="dxa"/>
            </w:tcMar>
          </w:tcPr>
          <w:p>
            <w:pPr>
              <w:spacing w:after="0"/>
            </w:pPr>
            <w:r>
              <w:rPr>
                <w:sz w:val="18"/>
              </w:rPr>
              <w:t>431</w:t>
            </w:r>
          </w:p>
        </w:tc>
        <w:tc>
          <w:tcPr>
            <w:tcW w:type="dxa" w:w="1247"/>
            <w:vAlign w:val="top"/>
            <w:tcMar>
              <w:top w:w="90" w:type="dxa"/>
              <w:start w:w="100" w:type="dxa"/>
              <w:bottom w:w="90" w:type="dxa"/>
              <w:end w:w="100" w:type="dxa"/>
            </w:tcMar>
          </w:tcPr>
          <w:p>
            <w:pPr>
              <w:spacing w:after="0"/>
            </w:pPr>
            <w:r>
              <w:rPr>
                <w:sz w:val="18"/>
              </w:rPr>
              <w:t>273</w:t>
            </w:r>
          </w:p>
        </w:tc>
        <w:tc>
          <w:tcPr>
            <w:tcW w:type="dxa" w:w="1587"/>
            <w:vAlign w:val="top"/>
            <w:tcMar>
              <w:top w:w="90" w:type="dxa"/>
              <w:start w:w="100" w:type="dxa"/>
              <w:bottom w:w="90" w:type="dxa"/>
              <w:end w:w="100" w:type="dxa"/>
            </w:tcMar>
          </w:tcPr>
          <w:p>
            <w:pPr>
              <w:spacing w:after="0"/>
            </w:pPr>
            <w:r>
              <w:rPr>
                <w:sz w:val="18"/>
              </w:rPr>
              <w:t>949</w:t>
            </w:r>
          </w:p>
        </w:tc>
      </w:tr>
    </w:tbl>
    <w:p/>
    <w:p>
      <w:r>
        <w:t>Feature count should not be confused with physical importance. Line 1 has only two encoded stations but a very large number of feature columns. This may reflect many tests or measurement channels at those stations, but the anonymized data does not tell us the real operations.</w:t>
      </w:r>
    </w:p>
    <w:p>
      <w:pPr>
        <w:pStyle w:val="Heading1"/>
        <w:keepNext/>
      </w:pPr>
      <w:r>
        <w:t>8.4 Sparsity is a defining characteristic</w:t>
      </w:r>
    </w:p>
    <w:p>
      <w:r>
        <w:t>Most cells are missing. In the training files, approximately 80.92% of numerical cells, 97.28% of categorical cells, and 82.17% of date cells are missing. This is not a conventional tidy table where every product has every measurement. Different rows appear to contain different subsets of stations and features.</w:t>
      </w:r>
    </w:p>
    <w:p>
      <w:pPr>
        <w:jc w:val="center"/>
      </w:pPr>
      <w:r>
        <w:drawing>
          <wp:inline xmlns:a="http://schemas.openxmlformats.org/drawingml/2006/main" xmlns:pic="http://schemas.openxmlformats.org/drawingml/2006/picture">
            <wp:extent cx="6126480" cy="3335528"/>
            <wp:docPr id="4" name="Picture 4"/>
            <wp:cNvGraphicFramePr>
              <a:graphicFrameLocks noChangeAspect="1"/>
            </wp:cNvGraphicFramePr>
            <a:graphic>
              <a:graphicData uri="http://schemas.openxmlformats.org/drawingml/2006/picture">
                <pic:pic>
                  <pic:nvPicPr>
                    <pic:cNvPr id="0" name="figure_8_2_sparsity.png"/>
                    <pic:cNvPicPr/>
                  </pic:nvPicPr>
                  <pic:blipFill>
                    <a:blip r:embed="rId14"/>
                    <a:stretch>
                      <a:fillRect/>
                    </a:stretch>
                  </pic:blipFill>
                  <pic:spPr>
                    <a:xfrm>
                      <a:off x="0" y="0"/>
                      <a:ext cx="6126480" cy="3335528"/>
                    </a:xfrm>
                    <a:prstGeom prst="rect"/>
                  </pic:spPr>
                </pic:pic>
              </a:graphicData>
            </a:graphic>
          </wp:inline>
        </w:drawing>
      </w:r>
    </w:p>
    <w:p>
      <w:pPr>
        <w:pStyle w:val="Caption"/>
        <w:jc w:val="center"/>
      </w:pPr>
      <w:r>
        <w:t>Figure 8.2 - A conceptual sparse matrix. Blue cells are observed; light cells are missing.</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4535"/>
            <w:shd w:fill="1F4E79"/>
            <w:vAlign w:val="center"/>
          </w:tcPr>
          <w:p>
            <w:r>
              <w:rPr>
                <w:b/>
                <w:color w:val="FFFFFF"/>
                <w:sz w:val="19"/>
              </w:rPr>
              <w:t>Training file</w:t>
            </w:r>
          </w:p>
        </w:tc>
        <w:tc>
          <w:tcPr>
            <w:tcW w:type="dxa" w:w="4139"/>
            <w:shd w:fill="1F4E79"/>
            <w:vAlign w:val="center"/>
          </w:tcPr>
          <w:p>
            <w:r>
              <w:rPr>
                <w:b/>
                <w:color w:val="FFFFFF"/>
                <w:sz w:val="19"/>
              </w:rPr>
              <w:t>Missing-value percentage</w:t>
            </w:r>
          </w:p>
        </w:tc>
      </w:tr>
      <w:tr>
        <w:trPr>
          <w:cantSplit/>
        </w:trPr>
        <w:tc>
          <w:tcPr>
            <w:tcW w:type="dxa" w:w="4535"/>
            <w:vAlign w:val="top"/>
            <w:tcMar>
              <w:top w:w="90" w:type="dxa"/>
              <w:start w:w="100" w:type="dxa"/>
              <w:bottom w:w="90" w:type="dxa"/>
              <w:end w:w="100" w:type="dxa"/>
            </w:tcMar>
          </w:tcPr>
          <w:p>
            <w:pPr>
              <w:spacing w:after="0"/>
            </w:pPr>
            <w:r>
              <w:rPr>
                <w:sz w:val="18"/>
              </w:rPr>
              <w:t>Numerical</w:t>
            </w:r>
          </w:p>
        </w:tc>
        <w:tc>
          <w:tcPr>
            <w:tcW w:type="dxa" w:w="4139"/>
            <w:vAlign w:val="top"/>
            <w:tcMar>
              <w:top w:w="90" w:type="dxa"/>
              <w:start w:w="100" w:type="dxa"/>
              <w:bottom w:w="90" w:type="dxa"/>
              <w:end w:w="100" w:type="dxa"/>
            </w:tcMar>
          </w:tcPr>
          <w:p>
            <w:pPr>
              <w:spacing w:after="0"/>
            </w:pPr>
            <w:r>
              <w:rPr>
                <w:sz w:val="18"/>
              </w:rPr>
              <w:t>80.9177%</w:t>
            </w:r>
          </w:p>
        </w:tc>
      </w:tr>
      <w:tr>
        <w:trPr>
          <w:cantSplit/>
        </w:trPr>
        <w:tc>
          <w:tcPr>
            <w:tcW w:type="dxa" w:w="4535"/>
            <w:vAlign w:val="top"/>
            <w:tcMar>
              <w:top w:w="90" w:type="dxa"/>
              <w:start w:w="100" w:type="dxa"/>
              <w:bottom w:w="90" w:type="dxa"/>
              <w:end w:w="100" w:type="dxa"/>
            </w:tcMar>
          </w:tcPr>
          <w:p>
            <w:pPr>
              <w:spacing w:after="0"/>
            </w:pPr>
            <w:r>
              <w:rPr>
                <w:sz w:val="18"/>
              </w:rPr>
              <w:t>Categorical</w:t>
            </w:r>
          </w:p>
        </w:tc>
        <w:tc>
          <w:tcPr>
            <w:tcW w:type="dxa" w:w="4139"/>
            <w:vAlign w:val="top"/>
            <w:tcMar>
              <w:top w:w="90" w:type="dxa"/>
              <w:start w:w="100" w:type="dxa"/>
              <w:bottom w:w="90" w:type="dxa"/>
              <w:end w:w="100" w:type="dxa"/>
            </w:tcMar>
          </w:tcPr>
          <w:p>
            <w:pPr>
              <w:spacing w:after="0"/>
            </w:pPr>
            <w:r>
              <w:rPr>
                <w:sz w:val="18"/>
              </w:rPr>
              <w:t>97.2840%</w:t>
            </w:r>
          </w:p>
        </w:tc>
      </w:tr>
      <w:tr>
        <w:trPr>
          <w:cantSplit/>
        </w:trPr>
        <w:tc>
          <w:tcPr>
            <w:tcW w:type="dxa" w:w="4535"/>
            <w:vAlign w:val="top"/>
            <w:tcMar>
              <w:top w:w="90" w:type="dxa"/>
              <w:start w:w="100" w:type="dxa"/>
              <w:bottom w:w="90" w:type="dxa"/>
              <w:end w:w="100" w:type="dxa"/>
            </w:tcMar>
          </w:tcPr>
          <w:p>
            <w:pPr>
              <w:spacing w:after="0"/>
            </w:pPr>
            <w:r>
              <w:rPr>
                <w:sz w:val="18"/>
              </w:rPr>
              <w:t>Date</w:t>
            </w:r>
          </w:p>
        </w:tc>
        <w:tc>
          <w:tcPr>
            <w:tcW w:type="dxa" w:w="4139"/>
            <w:vAlign w:val="top"/>
            <w:tcMar>
              <w:top w:w="90" w:type="dxa"/>
              <w:start w:w="100" w:type="dxa"/>
              <w:bottom w:w="90" w:type="dxa"/>
              <w:end w:w="100" w:type="dxa"/>
            </w:tcMar>
          </w:tcPr>
          <w:p>
            <w:pPr>
              <w:spacing w:after="0"/>
            </w:pPr>
            <w:r>
              <w:rPr>
                <w:sz w:val="18"/>
              </w:rPr>
              <w:t>82.1725%</w:t>
            </w:r>
          </w:p>
        </w:tc>
      </w:tr>
    </w:tbl>
    <w:p/>
    <w:tbl>
      <w:tblPr>
        <w:tblW w:type="auto" w:w="0"/>
        <w:jc w:val="center"/>
        <w:tblLook w:firstColumn="1" w:firstRow="1" w:lastColumn="0" w:lastRow="0" w:noHBand="0" w:noVBand="1" w:val="04A0"/>
      </w:tblPr>
      <w:tblGrid>
        <w:gridCol w:w="9525"/>
      </w:tblGrid>
      <w:tr>
        <w:trPr>
          <w:cantSplit/>
        </w:trPr>
        <w:tc>
          <w:tcPr>
            <w:tcW w:type="dxa" w:w="9525"/>
            <w:shd w:fill="FCE4D6"/>
            <w:tcMar>
              <w:top w:w="180" w:type="dxa"/>
              <w:start w:w="220" w:type="dxa"/>
              <w:bottom w:w="180" w:type="dxa"/>
              <w:end w:w="220" w:type="dxa"/>
            </w:tcMar>
          </w:tcPr>
          <w:p>
            <w:r>
              <w:rPr>
                <w:b/>
                <w:color w:val="1F4E79"/>
                <w:sz w:val="21"/>
              </w:rPr>
              <w:t>Missingness can be information</w:t>
              <w:br/>
            </w:r>
            <w:r>
              <w:rPr>
                <w:sz w:val="21"/>
              </w:rPr>
              <w:t>A missing value may mean a measurement was not taken, a product did not visit the station, a test was not applicable, a value was not recorded, or the feature is absent for that product family. The true mechanism is not documented, so missingness indicators are useful predictive and routing signals, but their physical meaning remains a hypothesis.</w:t>
            </w:r>
          </w:p>
        </w:tc>
      </w:tr>
    </w:tbl>
    <w:p>
      <w:pPr>
        <w:spacing w:after="0"/>
      </w:pPr>
    </w:p>
    <w:p>
      <w:pPr>
        <w:pStyle w:val="Heading1"/>
        <w:keepNext/>
      </w:pPr>
      <w:r>
        <w:t>8.5 Joining files safely</w:t>
      </w:r>
    </w:p>
    <w:p>
      <w:r>
        <w:t>The Id column is the key that connects feature families. Even when files appear to have aligned row order, robust code should validate uniqueness and join by Id rather than relying silently on position. The same principle applies when reading chunks: preserve Id, confirm row counts, and check that no duplicate or missing keys are introduced.</w:t>
      </w:r>
    </w:p>
    <w:p>
      <w:r>
        <w:rPr>
          <w:b/>
          <w:color w:val="1F4E79"/>
        </w:rPr>
        <w:t>Safe one-to-one join example</w:t>
      </w:r>
    </w:p>
    <w:tbl>
      <w:tblPr>
        <w:tblW w:type="auto" w:w="0"/>
        <w:jc w:val="center"/>
        <w:tblLook w:firstColumn="1" w:firstRow="1" w:lastColumn="0" w:lastRow="0" w:noHBand="0" w:noVBand="1" w:val="04A0"/>
      </w:tblPr>
      <w:tblGrid>
        <w:gridCol w:w="9525"/>
      </w:tblGrid>
      <w:tr>
        <w:trPr>
          <w:cantSplit/>
        </w:trPr>
        <w:tc>
          <w:tcPr>
            <w:tcW w:type="dxa" w:w="9525"/>
            <w:shd w:fill="F2F2F2"/>
            <w:tcMar>
              <w:top w:w="160" w:type="dxa"/>
              <w:start w:w="180" w:type="dxa"/>
              <w:bottom w:w="160" w:type="dxa"/>
              <w:end w:w="180" w:type="dxa"/>
            </w:tcMar>
          </w:tcPr>
          <w:p>
            <w:pPr>
              <w:spacing w:after="0"/>
            </w:pPr>
            <w:r>
              <w:rPr>
                <w:rFonts w:ascii="Consolas" w:hAnsi="Consolas" w:eastAsia="Consolas"/>
                <w:sz w:val="17"/>
              </w:rPr>
              <w:t>import pandas as pd</w:t>
            </w:r>
            <w:r>
              <w:br/>
            </w:r>
            <w:r>
              <w:rPr>
                <w:rFonts w:ascii="Consolas" w:hAnsi="Consolas" w:eastAsia="Consolas"/>
                <w:sz w:val="17"/>
              </w:rPr>
            </w:r>
            <w:r>
              <w:br/>
            </w:r>
            <w:r>
              <w:rPr>
                <w:rFonts w:ascii="Consolas" w:hAnsi="Consolas" w:eastAsia="Consolas"/>
                <w:sz w:val="17"/>
              </w:rPr>
              <w:t>numeric = pd.read_csv("train_numeric.csv", usecols=["Id", "Response", "L3_S36_F3939"])</w:t>
            </w:r>
            <w:r>
              <w:br/>
            </w:r>
            <w:r>
              <w:rPr>
                <w:rFonts w:ascii="Consolas" w:hAnsi="Consolas" w:eastAsia="Consolas"/>
                <w:sz w:val="17"/>
              </w:rPr>
              <w:t>dates = pd.read_csv("train_date.csv", usecols=["Id", "L3_S36_D3940"])</w:t>
            </w:r>
            <w:r>
              <w:br/>
            </w:r>
            <w:r>
              <w:rPr>
                <w:rFonts w:ascii="Consolas" w:hAnsi="Consolas" w:eastAsia="Consolas"/>
                <w:sz w:val="17"/>
              </w:rPr>
            </w:r>
            <w:r>
              <w:br/>
            </w:r>
            <w:r>
              <w:rPr>
                <w:rFonts w:ascii="Consolas" w:hAnsi="Consolas" w:eastAsia="Consolas"/>
                <w:sz w:val="17"/>
              </w:rPr>
              <w:t>assert numeric["Id"].is_unique</w:t>
            </w:r>
            <w:r>
              <w:br/>
            </w:r>
            <w:r>
              <w:rPr>
                <w:rFonts w:ascii="Consolas" w:hAnsi="Consolas" w:eastAsia="Consolas"/>
                <w:sz w:val="17"/>
              </w:rPr>
              <w:t>assert dates["Id"].is_unique</w:t>
            </w:r>
            <w:r>
              <w:br/>
            </w:r>
            <w:r>
              <w:rPr>
                <w:rFonts w:ascii="Consolas" w:hAnsi="Consolas" w:eastAsia="Consolas"/>
                <w:sz w:val="17"/>
              </w:rPr>
            </w:r>
            <w:r>
              <w:br/>
            </w:r>
            <w:r>
              <w:rPr>
                <w:rFonts w:ascii="Consolas" w:hAnsi="Consolas" w:eastAsia="Consolas"/>
                <w:sz w:val="17"/>
              </w:rPr>
              <w:t>joined = numeric.merge(dates, on="Id", how="left", validate="one_to_one")</w:t>
            </w:r>
            <w:r>
              <w:br/>
            </w:r>
            <w:r>
              <w:rPr>
                <w:rFonts w:ascii="Consolas" w:hAnsi="Consolas" w:eastAsia="Consolas"/>
                <w:sz w:val="17"/>
              </w:rPr>
              <w:t>assert len(joined) == len(numeric)</w:t>
            </w:r>
          </w:p>
        </w:tc>
      </w:tr>
    </w:tbl>
    <w:p/>
    <w:p>
      <w:pPr>
        <w:pStyle w:val="Heading1"/>
        <w:keepNext/>
      </w:pPr>
      <w:r>
        <w:t>8.6 Memory-aware processing</w:t>
      </w:r>
    </w:p>
    <w:p>
      <w:r>
        <w:t>Loading every CSV and every column into memory can exceed the capacity of an ordinary laptop. The correct strategy depends on the task. Metadata extraction may require only column headers. Target analysis may need only Id and Response. Station analysis may load a selected group of columns. Model training may use sampled rows, selected features, efficient formats, or chunked aggregation.</w:t>
      </w:r>
    </w:p>
    <w:p>
      <w:pPr>
        <w:ind w:left="369" w:hanging="255"/>
      </w:pPr>
      <w:r>
        <w:t>1.  Read headers first and parse line/station/feature metadata without loading all rows.</w:t>
      </w:r>
    </w:p>
    <w:p>
      <w:pPr>
        <w:ind w:left="369" w:hanging="255"/>
      </w:pPr>
      <w:r>
        <w:t>2.  Use usecols to load only the columns needed for a specific analysis.</w:t>
      </w:r>
    </w:p>
    <w:p>
      <w:pPr>
        <w:ind w:left="369" w:hanging="255"/>
      </w:pPr>
      <w:r>
        <w:t>3.  Specify data types where practical to reduce memory use.</w:t>
      </w:r>
    </w:p>
    <w:p>
      <w:pPr>
        <w:ind w:left="369" w:hanging="255"/>
      </w:pPr>
      <w:r>
        <w:t>4.  Read CSVs in chunks when computing counts, missingness, or simple aggregates.</w:t>
      </w:r>
    </w:p>
    <w:p>
      <w:pPr>
        <w:ind w:left="369" w:hanging="255"/>
      </w:pPr>
      <w:r>
        <w:t>5.  Convert reusable processed tables to Parquet for faster, typed, columnar access.</w:t>
      </w:r>
    </w:p>
    <w:p>
      <w:pPr>
        <w:ind w:left="369" w:hanging="255"/>
      </w:pPr>
      <w:r>
        <w:t>6.  Separate raw, processed, feature, report, and model artifacts so the data lineage remains understandable.</w:t>
      </w:r>
    </w:p>
    <w:p>
      <w:r>
        <w:rPr>
          <w:b/>
          <w:color w:val="1F4E79"/>
        </w:rPr>
        <w:t>Chunked reading pattern</w:t>
      </w:r>
    </w:p>
    <w:tbl>
      <w:tblPr>
        <w:tblW w:type="auto" w:w="0"/>
        <w:jc w:val="center"/>
        <w:tblLook w:firstColumn="1" w:firstRow="1" w:lastColumn="0" w:lastRow="0" w:noHBand="0" w:noVBand="1" w:val="04A0"/>
      </w:tblPr>
      <w:tblGrid>
        <w:gridCol w:w="9525"/>
      </w:tblGrid>
      <w:tr>
        <w:trPr>
          <w:cantSplit/>
        </w:trPr>
        <w:tc>
          <w:tcPr>
            <w:tcW w:type="dxa" w:w="9525"/>
            <w:shd w:fill="F2F2F2"/>
            <w:tcMar>
              <w:top w:w="160" w:type="dxa"/>
              <w:start w:w="180" w:type="dxa"/>
              <w:bottom w:w="160" w:type="dxa"/>
              <w:end w:w="180" w:type="dxa"/>
            </w:tcMar>
          </w:tcPr>
          <w:p>
            <w:pPr>
              <w:spacing w:after="0"/>
            </w:pPr>
            <w:r>
              <w:rPr>
                <w:rFonts w:ascii="Consolas" w:hAnsi="Consolas" w:eastAsia="Consolas"/>
                <w:sz w:val="17"/>
              </w:rPr>
              <w:t>for chunk in pd.read_csv(</w:t>
            </w:r>
            <w:r>
              <w:br/>
            </w:r>
            <w:r>
              <w:rPr>
                <w:rFonts w:ascii="Consolas" w:hAnsi="Consolas" w:eastAsia="Consolas"/>
                <w:sz w:val="17"/>
              </w:rPr>
              <w:t xml:space="preserve">    "train_numeric.csv",</w:t>
            </w:r>
            <w:r>
              <w:br/>
            </w:r>
            <w:r>
              <w:rPr>
                <w:rFonts w:ascii="Consolas" w:hAnsi="Consolas" w:eastAsia="Consolas"/>
                <w:sz w:val="17"/>
              </w:rPr>
              <w:t xml:space="preserve">    usecols=["Id", "Response", "L3_S36_F3939"],</w:t>
            </w:r>
            <w:r>
              <w:br/>
            </w:r>
            <w:r>
              <w:rPr>
                <w:rFonts w:ascii="Consolas" w:hAnsi="Consolas" w:eastAsia="Consolas"/>
                <w:sz w:val="17"/>
              </w:rPr>
              <w:t xml:space="preserve">    chunksize=100_000,</w:t>
            </w:r>
            <w:r>
              <w:br/>
            </w:r>
            <w:r>
              <w:rPr>
                <w:rFonts w:ascii="Consolas" w:hAnsi="Consolas" w:eastAsia="Consolas"/>
                <w:sz w:val="17"/>
              </w:rPr>
              <w:t>):</w:t>
            </w:r>
            <w:r>
              <w:br/>
            </w:r>
            <w:r>
              <w:rPr>
                <w:rFonts w:ascii="Consolas" w:hAnsi="Consolas" w:eastAsia="Consolas"/>
                <w:sz w:val="17"/>
              </w:rPr>
              <w:t xml:space="preserve">    # perform chunk-level checks or aggregation</w:t>
            </w:r>
            <w:r>
              <w:br/>
            </w:r>
            <w:r>
              <w:rPr>
                <w:rFonts w:ascii="Consolas" w:hAnsi="Consolas" w:eastAsia="Consolas"/>
                <w:sz w:val="17"/>
              </w:rPr>
              <w:t xml:space="preserve">    print(len(chunk), chunk["Response"].sum())</w:t>
            </w:r>
          </w:p>
        </w:tc>
      </w:tr>
    </w:tbl>
    <w:p/>
    <w:p>
      <w:pPr>
        <w:pStyle w:val="Heading1"/>
        <w:keepNext/>
      </w:pPr>
      <w:r>
        <w:t>8.7 Repository and data-license boundary</w:t>
      </w:r>
    </w:p>
    <w:p>
      <w:r>
        <w:t>The raw competition data is not committed to the GitHub repository. Large raw assets are ignored, while the repository stores code, reports, metadata, selected processed artifacts, models, and documentation. Anyone reproducing the project should obtain the data directly through Kaggle after accepting the competition terms. A public repository should not redistribute the Bosch CSV files without permission.</w:t>
      </w:r>
    </w:p>
    <w:tbl>
      <w:tblPr>
        <w:tblW w:type="auto" w:w="0"/>
        <w:jc w:val="center"/>
        <w:tblLook w:firstColumn="1" w:firstRow="1" w:lastColumn="0" w:lastRow="0" w:noHBand="0" w:noVBand="1" w:val="04A0"/>
      </w:tblPr>
      <w:tblGrid>
        <w:gridCol w:w="9525"/>
      </w:tblGrid>
      <w:tr>
        <w:trPr>
          <w:cantSplit/>
        </w:trPr>
        <w:tc>
          <w:tcPr>
            <w:tcW w:type="dxa" w:w="9525"/>
            <w:shd w:fill="FCE4D6"/>
            <w:tcMar>
              <w:top w:w="180" w:type="dxa"/>
              <w:start w:w="220" w:type="dxa"/>
              <w:bottom w:w="180" w:type="dxa"/>
              <w:end w:w="220" w:type="dxa"/>
            </w:tcMar>
          </w:tcPr>
          <w:p>
            <w:r>
              <w:rPr>
                <w:b/>
                <w:color w:val="1F4E79"/>
                <w:sz w:val="21"/>
              </w:rPr>
              <w:t>Common beginner mistakes</w:t>
              <w:br/>
            </w:r>
            <w:r>
              <w:rPr>
                <w:sz w:val="21"/>
              </w:rPr>
              <w:t>• Treating sample_submission.csv as another training dataset.</w:t>
              <w:br/>
              <w:t>• Concatenating files horizontally without verifying Id alignment.</w:t>
              <w:br/>
              <w:t>• Loading all 4,264 features when only headers or selected columns are needed.</w:t>
              <w:br/>
              <w:t>• Dropping all columns with high missingness before testing whether missingness encodes routing.</w:t>
              <w:br/>
              <w:t>• Uploading Kaggle raw data to GitHub and violating competition data terms.</w:t>
            </w:r>
          </w:p>
        </w:tc>
      </w:tr>
    </w:tbl>
    <w:p>
      <w:pPr>
        <w:spacing w:after="0"/>
      </w:pPr>
    </w:p>
    <w:p>
      <w:pPr>
        <w:pStyle w:val="Heading2"/>
        <w:keepNext/>
      </w:pPr>
      <w:r>
        <w:t>Review questions</w:t>
      </w:r>
    </w:p>
    <w:p>
      <w:pPr>
        <w:ind w:left="369" w:hanging="255"/>
      </w:pPr>
      <w:r>
        <w:t>1.  Why are the feature families stored in separate files?</w:t>
      </w:r>
    </w:p>
    <w:p>
      <w:pPr>
        <w:ind w:left="369" w:hanging="255"/>
      </w:pPr>
      <w:r>
        <w:t>2.  How many raw model feature columns are present in total?</w:t>
      </w:r>
    </w:p>
    <w:p>
      <w:pPr>
        <w:ind w:left="369" w:hanging="255"/>
      </w:pPr>
      <w:r>
        <w:t>3.  Why must Id be preserved during every transformation?</w:t>
      </w:r>
    </w:p>
    <w:p>
      <w:pPr>
        <w:ind w:left="369" w:hanging="255"/>
      </w:pPr>
      <w:r>
        <w:t>4.  What are three possible meanings of a missing value?</w:t>
      </w:r>
    </w:p>
    <w:p>
      <w:pPr>
        <w:ind w:left="369" w:hanging="255"/>
      </w:pPr>
      <w:r>
        <w:t>5.  Why is Parquet useful after initial CSV processing?</w:t>
      </w:r>
    </w:p>
    <w:p>
      <w:pPr>
        <w:pStyle w:val="Heading2"/>
        <w:keepNext/>
      </w:pPr>
      <w:r>
        <w:t>Practice exercise</w:t>
      </w:r>
    </w:p>
    <w:p>
      <w:r>
        <w:t>Design a loading plan for a laptop with 16 GB RAM. Your task is to calculate the failure rate for products with any observed value at station L3_S32. List the minimum files and columns you would load, the checks you would perform, and whether you would use chunks.</w:t>
      </w:r>
    </w:p>
    <w:tbl>
      <w:tblPr>
        <w:tblW w:type="auto" w:w="0"/>
        <w:jc w:val="center"/>
        <w:tblLook w:firstColumn="1" w:firstRow="1" w:lastColumn="0" w:lastRow="0" w:noHBand="0" w:noVBand="1" w:val="04A0"/>
      </w:tblPr>
      <w:tblGrid>
        <w:gridCol w:w="9525"/>
      </w:tblGrid>
      <w:tr>
        <w:trPr>
          <w:cantSplit/>
        </w:trPr>
        <w:tc>
          <w:tcPr>
            <w:tcW w:type="dxa" w:w="9525"/>
            <w:shd w:fill="E2F0D9"/>
            <w:tcMar>
              <w:top w:w="180" w:type="dxa"/>
              <w:start w:w="220" w:type="dxa"/>
              <w:bottom w:w="180" w:type="dxa"/>
              <w:end w:w="220" w:type="dxa"/>
            </w:tcMar>
          </w:tcPr>
          <w:p>
            <w:r>
              <w:rPr>
                <w:b/>
                <w:color w:val="1F4E79"/>
                <w:sz w:val="21"/>
              </w:rPr>
              <w:t>Chapter summary</w:t>
              <w:br/>
            </w:r>
            <w:r>
              <w:rPr>
                <w:sz w:val="21"/>
              </w:rPr>
              <w:t>• The dataset consists of six large train/test feature files plus a sample submission.</w:t>
              <w:br/>
              <w:t>• All feature families are connected by Id.</w:t>
              <w:br/>
              <w:t>• There are 4,264 raw feature columns across four encoded lines and 52 stations.</w:t>
              <w:br/>
              <w:t>• The dataset is extremely sparse, and missingness may carry routing information.</w:t>
              <w:br/>
              <w:t>• Memory-aware, key-safe, and reproducible processing is essential.</w:t>
            </w:r>
          </w:p>
        </w:tc>
      </w:tr>
    </w:tbl>
    <w:p>
      <w:pPr>
        <w:spacing w:after="0"/>
      </w:pPr>
    </w:p>
    <w:p>
      <w:r>
        <w:br w:type="page"/>
      </w:r>
    </w:p>
    <w:p>
      <w:pPr>
        <w:pStyle w:val="Title"/>
      </w:pPr>
      <w:r>
        <w:t>Chapter 9: Numerical Features</w:t>
      </w:r>
    </w:p>
    <w:tbl>
      <w:tblPr>
        <w:tblW w:type="auto" w:w="0"/>
        <w:jc w:val="center"/>
        <w:tblLook w:firstColumn="1" w:firstRow="1" w:lastColumn="0" w:lastRow="0" w:noHBand="0" w:noVBand="1" w:val="04A0"/>
      </w:tblPr>
      <w:tblGrid>
        <w:gridCol w:w="9525"/>
      </w:tblGrid>
      <w:tr>
        <w:trPr>
          <w:cantSplit/>
        </w:trPr>
        <w:tc>
          <w:tcPr>
            <w:tcW w:type="dxa" w:w="9525"/>
            <w:shd w:fill="E4DFEC"/>
            <w:tcMar>
              <w:top w:w="180" w:type="dxa"/>
              <w:start w:w="220" w:type="dxa"/>
              <w:bottom w:w="180" w:type="dxa"/>
              <w:end w:w="220" w:type="dxa"/>
            </w:tcMar>
          </w:tcPr>
          <w:p>
            <w:r>
              <w:rPr>
                <w:b/>
                <w:color w:val="1F4E79"/>
                <w:sz w:val="21"/>
              </w:rPr>
              <w:t>Learning objectives</w:t>
              <w:br/>
            </w:r>
            <w:r>
              <w:rPr>
                <w:sz w:val="21"/>
              </w:rPr>
              <w:t>By the end of this chapter, the reader should be able to:</w:t>
              <w:br/>
              <w:t>• read and parse a numerical feature name</w:t>
              <w:br/>
              <w:t>• describe the scale and sparsity of the numerical table</w:t>
              <w:br/>
              <w:t>• distinguish numerical value meaning from anonymous feature identity</w:t>
              <w:br/>
              <w:t>• choose preprocessing strategies that preserve missingness information</w:t>
              <w:br/>
              <w:t>• identify common leakage, scaling, and interpretation risks</w:t>
            </w:r>
          </w:p>
        </w:tc>
      </w:tr>
    </w:tbl>
    <w:p>
      <w:pPr>
        <w:spacing w:after="0"/>
      </w:pPr>
    </w:p>
    <w:p>
      <w:pPr>
        <w:pStyle w:val="Heading1"/>
        <w:keepNext/>
      </w:pPr>
      <w:r>
        <w:t>9.1 What is a numerical feature?</w:t>
      </w:r>
    </w:p>
    <w:p>
      <w:r>
        <w:t>A numerical feature contains a numeric measurement or test result associated with a part at an encoded line and station. Examples may include decimals, positive values, negative values, or repeated values. The dataset does not reveal the physical quantity or unit. Therefore, a numerical column could represent many possible engineering concepts, but none should be named without evidence.</w:t>
      </w:r>
    </w:p>
    <w:p>
      <w:pPr>
        <w:jc w:val="center"/>
      </w:pPr>
      <w:r>
        <w:drawing>
          <wp:inline xmlns:a="http://schemas.openxmlformats.org/drawingml/2006/main" xmlns:pic="http://schemas.openxmlformats.org/drawingml/2006/picture">
            <wp:extent cx="6126480" cy="3335528"/>
            <wp:docPr id="5" name="Picture 5"/>
            <wp:cNvGraphicFramePr>
              <a:graphicFrameLocks noChangeAspect="1"/>
            </wp:cNvGraphicFramePr>
            <a:graphic>
              <a:graphicData uri="http://schemas.openxmlformats.org/drawingml/2006/picture">
                <pic:pic>
                  <pic:nvPicPr>
                    <pic:cNvPr id="0" name="figure_9_1_numeric_anatomy.png"/>
                    <pic:cNvPicPr/>
                  </pic:nvPicPr>
                  <pic:blipFill>
                    <a:blip r:embed="rId15"/>
                    <a:stretch>
                      <a:fillRect/>
                    </a:stretch>
                  </pic:blipFill>
                  <pic:spPr>
                    <a:xfrm>
                      <a:off x="0" y="0"/>
                      <a:ext cx="6126480" cy="3335528"/>
                    </a:xfrm>
                    <a:prstGeom prst="rect"/>
                  </pic:spPr>
                </pic:pic>
              </a:graphicData>
            </a:graphic>
          </wp:inline>
        </w:drawing>
      </w:r>
    </w:p>
    <w:p>
      <w:pPr>
        <w:pStyle w:val="Caption"/>
        <w:jc w:val="center"/>
      </w:pPr>
      <w:r>
        <w:t>Figure 9.1 - The name reveals structure but not the physical sensor or unit.</w:t>
      </w:r>
    </w:p>
    <w:tbl>
      <w:tblPr>
        <w:tblW w:type="auto" w:w="0"/>
        <w:jc w:val="center"/>
        <w:tblLook w:firstColumn="1" w:firstRow="1" w:lastColumn="0" w:lastRow="0" w:noHBand="0" w:noVBand="1" w:val="04A0"/>
      </w:tblPr>
      <w:tblGrid>
        <w:gridCol w:w="9525"/>
      </w:tblGrid>
      <w:tr>
        <w:trPr>
          <w:cantSplit/>
        </w:trPr>
        <w:tc>
          <w:tcPr>
            <w:tcW w:type="dxa" w:w="9525"/>
            <w:shd w:fill="E4DFEC"/>
            <w:tcMar>
              <w:top w:w="180" w:type="dxa"/>
              <w:start w:w="220" w:type="dxa"/>
              <w:bottom w:w="180" w:type="dxa"/>
              <w:end w:w="220" w:type="dxa"/>
            </w:tcMar>
          </w:tcPr>
          <w:p>
            <w:r>
              <w:rPr>
                <w:b/>
                <w:color w:val="1F4E79"/>
                <w:sz w:val="21"/>
              </w:rPr>
              <w:t>Correct interpretation</w:t>
              <w:br/>
            </w:r>
            <w:r>
              <w:rPr>
                <w:sz w:val="21"/>
              </w:rPr>
              <w:t>L3_S36_F3939 is an anonymous numerical feature measured or recorded at Line 3, Station 36. It is not automatically temperature, pressure, torque, vibration, or dimensional error.</w:t>
            </w:r>
          </w:p>
        </w:tc>
      </w:tr>
    </w:tbl>
    <w:p>
      <w:pPr>
        <w:spacing w:after="0"/>
      </w:pPr>
    </w:p>
    <w:p>
      <w:pPr>
        <w:pStyle w:val="Heading1"/>
        <w:keepNext/>
      </w:pPr>
      <w:r>
        <w:t>9.2 Numerical file scale</w:t>
      </w:r>
    </w:p>
    <w:p>
      <w:r>
        <w:t>train_numeric.csv contains Id, 968 numerical feature columns, and Response. The test numerical file contains the same 968 features and Id but no target. The training numerical table has about 80.92% missing cells, so only a minority of possible part-feature combinations are observed [5].</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3969"/>
            <w:shd w:fill="1F4E79"/>
            <w:vAlign w:val="center"/>
          </w:tcPr>
          <w:p>
            <w:r>
              <w:rPr>
                <w:b/>
                <w:color w:val="FFFFFF"/>
                <w:sz w:val="19"/>
              </w:rPr>
              <w:t>Item</w:t>
            </w:r>
          </w:p>
        </w:tc>
        <w:tc>
          <w:tcPr>
            <w:tcW w:type="dxa" w:w="4706"/>
            <w:shd w:fill="1F4E79"/>
            <w:vAlign w:val="center"/>
          </w:tcPr>
          <w:p>
            <w:r>
              <w:rPr>
                <w:b/>
                <w:color w:val="FFFFFF"/>
                <w:sz w:val="19"/>
              </w:rPr>
              <w:t>Training numerical table</w:t>
            </w:r>
          </w:p>
        </w:tc>
      </w:tr>
      <w:tr>
        <w:trPr>
          <w:cantSplit/>
        </w:trPr>
        <w:tc>
          <w:tcPr>
            <w:tcW w:type="dxa" w:w="3969"/>
            <w:vAlign w:val="top"/>
            <w:tcMar>
              <w:top w:w="90" w:type="dxa"/>
              <w:start w:w="100" w:type="dxa"/>
              <w:bottom w:w="90" w:type="dxa"/>
              <w:end w:w="100" w:type="dxa"/>
            </w:tcMar>
          </w:tcPr>
          <w:p>
            <w:pPr>
              <w:spacing w:after="0"/>
            </w:pPr>
            <w:r>
              <w:rPr>
                <w:sz w:val="18"/>
              </w:rPr>
              <w:t>Rows</w:t>
            </w:r>
          </w:p>
        </w:tc>
        <w:tc>
          <w:tcPr>
            <w:tcW w:type="dxa" w:w="4706"/>
            <w:vAlign w:val="top"/>
            <w:tcMar>
              <w:top w:w="90" w:type="dxa"/>
              <w:start w:w="100" w:type="dxa"/>
              <w:bottom w:w="90" w:type="dxa"/>
              <w:end w:w="100" w:type="dxa"/>
            </w:tcMar>
          </w:tcPr>
          <w:p>
            <w:pPr>
              <w:spacing w:after="0"/>
            </w:pPr>
            <w:r>
              <w:rPr>
                <w:sz w:val="18"/>
              </w:rPr>
              <w:t>1,183,747</w:t>
            </w:r>
          </w:p>
        </w:tc>
      </w:tr>
      <w:tr>
        <w:trPr>
          <w:cantSplit/>
        </w:trPr>
        <w:tc>
          <w:tcPr>
            <w:tcW w:type="dxa" w:w="3969"/>
            <w:vAlign w:val="top"/>
            <w:tcMar>
              <w:top w:w="90" w:type="dxa"/>
              <w:start w:w="100" w:type="dxa"/>
              <w:bottom w:w="90" w:type="dxa"/>
              <w:end w:w="100" w:type="dxa"/>
            </w:tcMar>
          </w:tcPr>
          <w:p>
            <w:pPr>
              <w:spacing w:after="0"/>
            </w:pPr>
            <w:r>
              <w:rPr>
                <w:sz w:val="18"/>
              </w:rPr>
              <w:t>Feature columns</w:t>
            </w:r>
          </w:p>
        </w:tc>
        <w:tc>
          <w:tcPr>
            <w:tcW w:type="dxa" w:w="4706"/>
            <w:vAlign w:val="top"/>
            <w:tcMar>
              <w:top w:w="90" w:type="dxa"/>
              <w:start w:w="100" w:type="dxa"/>
              <w:bottom w:w="90" w:type="dxa"/>
              <w:end w:w="100" w:type="dxa"/>
            </w:tcMar>
          </w:tcPr>
          <w:p>
            <w:pPr>
              <w:spacing w:after="0"/>
            </w:pPr>
            <w:r>
              <w:rPr>
                <w:sz w:val="18"/>
              </w:rPr>
              <w:t>968</w:t>
            </w:r>
          </w:p>
        </w:tc>
      </w:tr>
      <w:tr>
        <w:trPr>
          <w:cantSplit/>
        </w:trPr>
        <w:tc>
          <w:tcPr>
            <w:tcW w:type="dxa" w:w="3969"/>
            <w:vAlign w:val="top"/>
            <w:tcMar>
              <w:top w:w="90" w:type="dxa"/>
              <w:start w:w="100" w:type="dxa"/>
              <w:bottom w:w="90" w:type="dxa"/>
              <w:end w:w="100" w:type="dxa"/>
            </w:tcMar>
          </w:tcPr>
          <w:p>
            <w:pPr>
              <w:spacing w:after="0"/>
            </w:pPr>
            <w:r>
              <w:rPr>
                <w:sz w:val="18"/>
              </w:rPr>
              <w:t>Additional columns</w:t>
            </w:r>
          </w:p>
        </w:tc>
        <w:tc>
          <w:tcPr>
            <w:tcW w:type="dxa" w:w="4706"/>
            <w:vAlign w:val="top"/>
            <w:tcMar>
              <w:top w:w="90" w:type="dxa"/>
              <w:start w:w="100" w:type="dxa"/>
              <w:bottom w:w="90" w:type="dxa"/>
              <w:end w:w="100" w:type="dxa"/>
            </w:tcMar>
          </w:tcPr>
          <w:p>
            <w:pPr>
              <w:spacing w:after="0"/>
            </w:pPr>
            <w:r>
              <w:rPr>
                <w:sz w:val="18"/>
              </w:rPr>
              <w:t>Id and Response</w:t>
            </w:r>
          </w:p>
        </w:tc>
      </w:tr>
      <w:tr>
        <w:trPr>
          <w:cantSplit/>
        </w:trPr>
        <w:tc>
          <w:tcPr>
            <w:tcW w:type="dxa" w:w="3969"/>
            <w:vAlign w:val="top"/>
            <w:tcMar>
              <w:top w:w="90" w:type="dxa"/>
              <w:start w:w="100" w:type="dxa"/>
              <w:bottom w:w="90" w:type="dxa"/>
              <w:end w:w="100" w:type="dxa"/>
            </w:tcMar>
          </w:tcPr>
          <w:p>
            <w:pPr>
              <w:spacing w:after="0"/>
            </w:pPr>
            <w:r>
              <w:rPr>
                <w:sz w:val="18"/>
              </w:rPr>
              <w:t>Total columns</w:t>
            </w:r>
          </w:p>
        </w:tc>
        <w:tc>
          <w:tcPr>
            <w:tcW w:type="dxa" w:w="4706"/>
            <w:vAlign w:val="top"/>
            <w:tcMar>
              <w:top w:w="90" w:type="dxa"/>
              <w:start w:w="100" w:type="dxa"/>
              <w:bottom w:w="90" w:type="dxa"/>
              <w:end w:w="100" w:type="dxa"/>
            </w:tcMar>
          </w:tcPr>
          <w:p>
            <w:pPr>
              <w:spacing w:after="0"/>
            </w:pPr>
            <w:r>
              <w:rPr>
                <w:sz w:val="18"/>
              </w:rPr>
              <w:t>970</w:t>
            </w:r>
          </w:p>
        </w:tc>
      </w:tr>
      <w:tr>
        <w:trPr>
          <w:cantSplit/>
        </w:trPr>
        <w:tc>
          <w:tcPr>
            <w:tcW w:type="dxa" w:w="3969"/>
            <w:vAlign w:val="top"/>
            <w:tcMar>
              <w:top w:w="90" w:type="dxa"/>
              <w:start w:w="100" w:type="dxa"/>
              <w:bottom w:w="90" w:type="dxa"/>
              <w:end w:w="100" w:type="dxa"/>
            </w:tcMar>
          </w:tcPr>
          <w:p>
            <w:pPr>
              <w:spacing w:after="0"/>
            </w:pPr>
            <w:r>
              <w:rPr>
                <w:sz w:val="18"/>
              </w:rPr>
              <w:t>Approximate file size</w:t>
            </w:r>
          </w:p>
        </w:tc>
        <w:tc>
          <w:tcPr>
            <w:tcW w:type="dxa" w:w="4706"/>
            <w:vAlign w:val="top"/>
            <w:tcMar>
              <w:top w:w="90" w:type="dxa"/>
              <w:start w:w="100" w:type="dxa"/>
              <w:bottom w:w="90" w:type="dxa"/>
              <w:end w:w="100" w:type="dxa"/>
            </w:tcMar>
          </w:tcPr>
          <w:p>
            <w:pPr>
              <w:spacing w:after="0"/>
            </w:pPr>
            <w:r>
              <w:rPr>
                <w:sz w:val="18"/>
              </w:rPr>
              <w:t>2,040.77 MB</w:t>
            </w:r>
          </w:p>
        </w:tc>
      </w:tr>
      <w:tr>
        <w:trPr>
          <w:cantSplit/>
        </w:trPr>
        <w:tc>
          <w:tcPr>
            <w:tcW w:type="dxa" w:w="3969"/>
            <w:vAlign w:val="top"/>
            <w:tcMar>
              <w:top w:w="90" w:type="dxa"/>
              <w:start w:w="100" w:type="dxa"/>
              <w:bottom w:w="90" w:type="dxa"/>
              <w:end w:w="100" w:type="dxa"/>
            </w:tcMar>
          </w:tcPr>
          <w:p>
            <w:pPr>
              <w:spacing w:after="0"/>
            </w:pPr>
            <w:r>
              <w:rPr>
                <w:sz w:val="18"/>
              </w:rPr>
              <w:t>Missing cells</w:t>
            </w:r>
          </w:p>
        </w:tc>
        <w:tc>
          <w:tcPr>
            <w:tcW w:type="dxa" w:w="4706"/>
            <w:vAlign w:val="top"/>
            <w:tcMar>
              <w:top w:w="90" w:type="dxa"/>
              <w:start w:w="100" w:type="dxa"/>
              <w:bottom w:w="90" w:type="dxa"/>
              <w:end w:w="100" w:type="dxa"/>
            </w:tcMar>
          </w:tcPr>
          <w:p>
            <w:pPr>
              <w:spacing w:after="0"/>
            </w:pPr>
            <w:r>
              <w:rPr>
                <w:sz w:val="18"/>
              </w:rPr>
              <w:t>80.9177%</w:t>
            </w:r>
          </w:p>
        </w:tc>
      </w:tr>
    </w:tbl>
    <w:p/>
    <w:p>
      <w:pPr>
        <w:pStyle w:val="Heading1"/>
        <w:keepNext/>
      </w:pPr>
      <w:r>
        <w:t>9.3 Why numerical values can be negative or normalized</w:t>
      </w:r>
    </w:p>
    <w:p>
      <w:r>
        <w:t>The values in an anonymized competition dataset may already have been transformed, standardized, centered, scaled, or encoded relative to an undisclosed reference. A negative value does not prove that the underlying physical quantity is negative. For example, it might represent a centered deviation from a nominal setting. Because the preprocessing history is not fully described, the safe approach is to analyze distributions rather than reverse-engineer units.</w:t>
      </w:r>
    </w:p>
    <w:p>
      <w:pPr>
        <w:pStyle w:val="Heading1"/>
        <w:keepNext/>
      </w:pPr>
      <w:r>
        <w:t>9.4 Numerical missingness</w:t>
      </w:r>
    </w:p>
    <w:p>
      <w:r>
        <w:t>Missing numerical measurements are not automatically errors. If a product does not visit a station, a corresponding feature may be absent. If a test is applied only to a product family, many rows may be blank. Some columns are nearly entirely missing, while certain stations such as L3_S37 and L3_S29 have much higher completeness in the project metadata [6].</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3402"/>
            <w:shd w:fill="1F4E79"/>
            <w:vAlign w:val="center"/>
          </w:tcPr>
          <w:p>
            <w:r>
              <w:rPr>
                <w:b/>
                <w:color w:val="FFFFFF"/>
                <w:sz w:val="19"/>
              </w:rPr>
              <w:t>Possible reason for NaN</w:t>
            </w:r>
          </w:p>
        </w:tc>
        <w:tc>
          <w:tcPr>
            <w:tcW w:type="dxa" w:w="5272"/>
            <w:shd w:fill="1F4E79"/>
            <w:vAlign w:val="center"/>
          </w:tcPr>
          <w:p>
            <w:r>
              <w:rPr>
                <w:b/>
                <w:color w:val="FFFFFF"/>
                <w:sz w:val="19"/>
              </w:rPr>
              <w:t>What the analyst can say</w:t>
            </w:r>
          </w:p>
        </w:tc>
      </w:tr>
      <w:tr>
        <w:trPr>
          <w:cantSplit/>
        </w:trPr>
        <w:tc>
          <w:tcPr>
            <w:tcW w:type="dxa" w:w="3402"/>
            <w:vAlign w:val="top"/>
            <w:tcMar>
              <w:top w:w="90" w:type="dxa"/>
              <w:start w:w="100" w:type="dxa"/>
              <w:bottom w:w="90" w:type="dxa"/>
              <w:end w:w="100" w:type="dxa"/>
            </w:tcMar>
          </w:tcPr>
          <w:p>
            <w:pPr>
              <w:spacing w:after="0"/>
            </w:pPr>
            <w:r>
              <w:rPr>
                <w:sz w:val="18"/>
              </w:rPr>
              <w:t>Station not visited</w:t>
            </w:r>
          </w:p>
        </w:tc>
        <w:tc>
          <w:tcPr>
            <w:tcW w:type="dxa" w:w="5272"/>
            <w:vAlign w:val="top"/>
            <w:tcMar>
              <w:top w:w="90" w:type="dxa"/>
              <w:start w:w="100" w:type="dxa"/>
              <w:bottom w:w="90" w:type="dxa"/>
              <w:end w:w="100" w:type="dxa"/>
            </w:tcMar>
          </w:tcPr>
          <w:p>
            <w:pPr>
              <w:spacing w:after="0"/>
            </w:pPr>
            <w:r>
              <w:rPr>
                <w:sz w:val="18"/>
              </w:rPr>
              <w:t>Missingness may act as a route indicator.</w:t>
            </w:r>
          </w:p>
        </w:tc>
      </w:tr>
      <w:tr>
        <w:trPr>
          <w:cantSplit/>
        </w:trPr>
        <w:tc>
          <w:tcPr>
            <w:tcW w:type="dxa" w:w="3402"/>
            <w:vAlign w:val="top"/>
            <w:tcMar>
              <w:top w:w="90" w:type="dxa"/>
              <w:start w:w="100" w:type="dxa"/>
              <w:bottom w:w="90" w:type="dxa"/>
              <w:end w:w="100" w:type="dxa"/>
            </w:tcMar>
          </w:tcPr>
          <w:p>
            <w:pPr>
              <w:spacing w:after="0"/>
            </w:pPr>
            <w:r>
              <w:rPr>
                <w:sz w:val="18"/>
              </w:rPr>
              <w:t>Test not applicable</w:t>
            </w:r>
          </w:p>
        </w:tc>
        <w:tc>
          <w:tcPr>
            <w:tcW w:type="dxa" w:w="5272"/>
            <w:vAlign w:val="top"/>
            <w:tcMar>
              <w:top w:w="90" w:type="dxa"/>
              <w:start w:w="100" w:type="dxa"/>
              <w:bottom w:w="90" w:type="dxa"/>
              <w:end w:w="100" w:type="dxa"/>
            </w:tcMar>
          </w:tcPr>
          <w:p>
            <w:pPr>
              <w:spacing w:after="0"/>
            </w:pPr>
            <w:r>
              <w:rPr>
                <w:sz w:val="18"/>
              </w:rPr>
              <w:t>Feature availability may depend on product family.</w:t>
            </w:r>
          </w:p>
        </w:tc>
      </w:tr>
      <w:tr>
        <w:trPr>
          <w:cantSplit/>
        </w:trPr>
        <w:tc>
          <w:tcPr>
            <w:tcW w:type="dxa" w:w="3402"/>
            <w:vAlign w:val="top"/>
            <w:tcMar>
              <w:top w:w="90" w:type="dxa"/>
              <w:start w:w="100" w:type="dxa"/>
              <w:bottom w:w="90" w:type="dxa"/>
              <w:end w:w="100" w:type="dxa"/>
            </w:tcMar>
          </w:tcPr>
          <w:p>
            <w:pPr>
              <w:spacing w:after="0"/>
            </w:pPr>
            <w:r>
              <w:rPr>
                <w:sz w:val="18"/>
              </w:rPr>
              <w:t>Sensor or logging gap</w:t>
            </w:r>
          </w:p>
        </w:tc>
        <w:tc>
          <w:tcPr>
            <w:tcW w:type="dxa" w:w="5272"/>
            <w:vAlign w:val="top"/>
            <w:tcMar>
              <w:top w:w="90" w:type="dxa"/>
              <w:start w:w="100" w:type="dxa"/>
              <w:bottom w:w="90" w:type="dxa"/>
              <w:end w:w="100" w:type="dxa"/>
            </w:tcMar>
          </w:tcPr>
          <w:p>
            <w:pPr>
              <w:spacing w:after="0"/>
            </w:pPr>
            <w:r>
              <w:rPr>
                <w:sz w:val="18"/>
              </w:rPr>
              <w:t>Data-quality issue is possible but not proven.</w:t>
            </w:r>
          </w:p>
        </w:tc>
      </w:tr>
      <w:tr>
        <w:trPr>
          <w:cantSplit/>
        </w:trPr>
        <w:tc>
          <w:tcPr>
            <w:tcW w:type="dxa" w:w="3402"/>
            <w:vAlign w:val="top"/>
            <w:tcMar>
              <w:top w:w="90" w:type="dxa"/>
              <w:start w:w="100" w:type="dxa"/>
              <w:bottom w:w="90" w:type="dxa"/>
              <w:end w:w="100" w:type="dxa"/>
            </w:tcMar>
          </w:tcPr>
          <w:p>
            <w:pPr>
              <w:spacing w:after="0"/>
            </w:pPr>
            <w:r>
              <w:rPr>
                <w:sz w:val="18"/>
              </w:rPr>
              <w:t>Feature absent in split</w:t>
            </w:r>
          </w:p>
        </w:tc>
        <w:tc>
          <w:tcPr>
            <w:tcW w:type="dxa" w:w="5272"/>
            <w:vAlign w:val="top"/>
            <w:tcMar>
              <w:top w:w="90" w:type="dxa"/>
              <w:start w:w="100" w:type="dxa"/>
              <w:bottom w:w="90" w:type="dxa"/>
              <w:end w:w="100" w:type="dxa"/>
            </w:tcMar>
          </w:tcPr>
          <w:p>
            <w:pPr>
              <w:spacing w:after="0"/>
            </w:pPr>
            <w:r>
              <w:rPr>
                <w:sz w:val="18"/>
              </w:rPr>
              <w:t>Schema or split-specific availability must be checked.</w:t>
            </w:r>
          </w:p>
        </w:tc>
      </w:tr>
      <w:tr>
        <w:trPr>
          <w:cantSplit/>
        </w:trPr>
        <w:tc>
          <w:tcPr>
            <w:tcW w:type="dxa" w:w="3402"/>
            <w:vAlign w:val="top"/>
            <w:tcMar>
              <w:top w:w="90" w:type="dxa"/>
              <w:start w:w="100" w:type="dxa"/>
              <w:bottom w:w="90" w:type="dxa"/>
              <w:end w:w="100" w:type="dxa"/>
            </w:tcMar>
          </w:tcPr>
          <w:p>
            <w:pPr>
              <w:spacing w:after="0"/>
            </w:pPr>
            <w:r>
              <w:rPr>
                <w:sz w:val="18"/>
              </w:rPr>
              <w:t>Value intentionally withheld/anonymized</w:t>
            </w:r>
          </w:p>
        </w:tc>
        <w:tc>
          <w:tcPr>
            <w:tcW w:type="dxa" w:w="5272"/>
            <w:vAlign w:val="top"/>
            <w:tcMar>
              <w:top w:w="90" w:type="dxa"/>
              <w:start w:w="100" w:type="dxa"/>
              <w:bottom w:w="90" w:type="dxa"/>
              <w:end w:w="100" w:type="dxa"/>
            </w:tcMar>
          </w:tcPr>
          <w:p>
            <w:pPr>
              <w:spacing w:after="0"/>
            </w:pPr>
            <w:r>
              <w:rPr>
                <w:sz w:val="18"/>
              </w:rPr>
              <w:t>Physical meaning cannot be recovered from NaN alone.</w:t>
            </w:r>
          </w:p>
        </w:tc>
      </w:tr>
    </w:tbl>
    <w:p/>
    <w:p>
      <w:pPr>
        <w:pStyle w:val="Heading1"/>
        <w:keepNext/>
      </w:pPr>
      <w:r>
        <w:t>9.5 Imputation choices</w:t>
      </w:r>
    </w:p>
    <w:p>
      <w:r>
        <w:t>Imputation replaces missing values with a defined value so that a model can process the table. The method must match the algorithm and the meaning of missingness. Tree-based models often handle NaN directly or can learn missing-value directions. Linear models generally require explicit imputation.</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2381"/>
            <w:shd w:fill="1F4E79"/>
            <w:vAlign w:val="center"/>
          </w:tcPr>
          <w:p>
            <w:r>
              <w:rPr>
                <w:b/>
                <w:color w:val="FFFFFF"/>
                <w:sz w:val="19"/>
              </w:rPr>
              <w:t>Method</w:t>
            </w:r>
          </w:p>
        </w:tc>
        <w:tc>
          <w:tcPr>
            <w:tcW w:type="dxa" w:w="3288"/>
            <w:shd w:fill="1F4E79"/>
            <w:vAlign w:val="center"/>
          </w:tcPr>
          <w:p>
            <w:r>
              <w:rPr>
                <w:b/>
                <w:color w:val="FFFFFF"/>
                <w:sz w:val="19"/>
              </w:rPr>
              <w:t>Benefit</w:t>
            </w:r>
          </w:p>
        </w:tc>
        <w:tc>
          <w:tcPr>
            <w:tcW w:type="dxa" w:w="3061"/>
            <w:shd w:fill="1F4E79"/>
            <w:vAlign w:val="center"/>
          </w:tcPr>
          <w:p>
            <w:r>
              <w:rPr>
                <w:b/>
                <w:color w:val="FFFFFF"/>
                <w:sz w:val="19"/>
              </w:rPr>
              <w:t>Risk</w:t>
            </w:r>
          </w:p>
        </w:tc>
      </w:tr>
      <w:tr>
        <w:trPr>
          <w:cantSplit/>
        </w:trPr>
        <w:tc>
          <w:tcPr>
            <w:tcW w:type="dxa" w:w="2381"/>
            <w:vAlign w:val="top"/>
            <w:tcMar>
              <w:top w:w="90" w:type="dxa"/>
              <w:start w:w="100" w:type="dxa"/>
              <w:bottom w:w="90" w:type="dxa"/>
              <w:end w:w="100" w:type="dxa"/>
            </w:tcMar>
          </w:tcPr>
          <w:p>
            <w:pPr>
              <w:spacing w:after="0"/>
            </w:pPr>
            <w:r>
              <w:rPr>
                <w:sz w:val="18"/>
              </w:rPr>
              <w:t>Median imputation</w:t>
            </w:r>
          </w:p>
        </w:tc>
        <w:tc>
          <w:tcPr>
            <w:tcW w:type="dxa" w:w="3288"/>
            <w:vAlign w:val="top"/>
            <w:tcMar>
              <w:top w:w="90" w:type="dxa"/>
              <w:start w:w="100" w:type="dxa"/>
              <w:bottom w:w="90" w:type="dxa"/>
              <w:end w:w="100" w:type="dxa"/>
            </w:tcMar>
          </w:tcPr>
          <w:p>
            <w:pPr>
              <w:spacing w:after="0"/>
            </w:pPr>
            <w:r>
              <w:rPr>
                <w:sz w:val="18"/>
              </w:rPr>
              <w:t>Robust and simple</w:t>
            </w:r>
          </w:p>
        </w:tc>
        <w:tc>
          <w:tcPr>
            <w:tcW w:type="dxa" w:w="3061"/>
            <w:vAlign w:val="top"/>
            <w:tcMar>
              <w:top w:w="90" w:type="dxa"/>
              <w:start w:w="100" w:type="dxa"/>
              <w:bottom w:w="90" w:type="dxa"/>
              <w:end w:w="100" w:type="dxa"/>
            </w:tcMar>
          </w:tcPr>
          <w:p>
            <w:pPr>
              <w:spacing w:after="0"/>
            </w:pPr>
            <w:r>
              <w:rPr>
                <w:sz w:val="18"/>
              </w:rPr>
              <w:t>Can hide route information if used without a missing indicator</w:t>
            </w:r>
          </w:p>
        </w:tc>
      </w:tr>
      <w:tr>
        <w:trPr>
          <w:cantSplit/>
        </w:trPr>
        <w:tc>
          <w:tcPr>
            <w:tcW w:type="dxa" w:w="2381"/>
            <w:vAlign w:val="top"/>
            <w:tcMar>
              <w:top w:w="90" w:type="dxa"/>
              <w:start w:w="100" w:type="dxa"/>
              <w:bottom w:w="90" w:type="dxa"/>
              <w:end w:w="100" w:type="dxa"/>
            </w:tcMar>
          </w:tcPr>
          <w:p>
            <w:pPr>
              <w:spacing w:after="0"/>
            </w:pPr>
            <w:r>
              <w:rPr>
                <w:sz w:val="18"/>
              </w:rPr>
              <w:t>Constant sentinel</w:t>
            </w:r>
          </w:p>
        </w:tc>
        <w:tc>
          <w:tcPr>
            <w:tcW w:type="dxa" w:w="3288"/>
            <w:vAlign w:val="top"/>
            <w:tcMar>
              <w:top w:w="90" w:type="dxa"/>
              <w:start w:w="100" w:type="dxa"/>
              <w:bottom w:w="90" w:type="dxa"/>
              <w:end w:w="100" w:type="dxa"/>
            </w:tcMar>
          </w:tcPr>
          <w:p>
            <w:pPr>
              <w:spacing w:after="0"/>
            </w:pPr>
            <w:r>
              <w:rPr>
                <w:sz w:val="18"/>
              </w:rPr>
              <w:t>Makes missingness explicit</w:t>
            </w:r>
          </w:p>
        </w:tc>
        <w:tc>
          <w:tcPr>
            <w:tcW w:type="dxa" w:w="3061"/>
            <w:vAlign w:val="top"/>
            <w:tcMar>
              <w:top w:w="90" w:type="dxa"/>
              <w:start w:w="100" w:type="dxa"/>
              <w:bottom w:w="90" w:type="dxa"/>
              <w:end w:w="100" w:type="dxa"/>
            </w:tcMar>
          </w:tcPr>
          <w:p>
            <w:pPr>
              <w:spacing w:after="0"/>
            </w:pPr>
            <w:r>
              <w:rPr>
                <w:sz w:val="18"/>
              </w:rPr>
              <w:t>Sentinel may be confused with a legitimate value if poorly chosen</w:t>
            </w:r>
          </w:p>
        </w:tc>
      </w:tr>
      <w:tr>
        <w:trPr>
          <w:cantSplit/>
        </w:trPr>
        <w:tc>
          <w:tcPr>
            <w:tcW w:type="dxa" w:w="2381"/>
            <w:vAlign w:val="top"/>
            <w:tcMar>
              <w:top w:w="90" w:type="dxa"/>
              <w:start w:w="100" w:type="dxa"/>
              <w:bottom w:w="90" w:type="dxa"/>
              <w:end w:w="100" w:type="dxa"/>
            </w:tcMar>
          </w:tcPr>
          <w:p>
            <w:pPr>
              <w:spacing w:after="0"/>
            </w:pPr>
            <w:r>
              <w:rPr>
                <w:sz w:val="18"/>
              </w:rPr>
              <w:t>Native NaN handling</w:t>
            </w:r>
          </w:p>
        </w:tc>
        <w:tc>
          <w:tcPr>
            <w:tcW w:type="dxa" w:w="3288"/>
            <w:vAlign w:val="top"/>
            <w:tcMar>
              <w:top w:w="90" w:type="dxa"/>
              <w:start w:w="100" w:type="dxa"/>
              <w:bottom w:w="90" w:type="dxa"/>
              <w:end w:w="100" w:type="dxa"/>
            </w:tcMar>
          </w:tcPr>
          <w:p>
            <w:pPr>
              <w:spacing w:after="0"/>
            </w:pPr>
            <w:r>
              <w:rPr>
                <w:sz w:val="18"/>
              </w:rPr>
              <w:t>Lets a tree model learn missing branches</w:t>
            </w:r>
          </w:p>
        </w:tc>
        <w:tc>
          <w:tcPr>
            <w:tcW w:type="dxa" w:w="3061"/>
            <w:vAlign w:val="top"/>
            <w:tcMar>
              <w:top w:w="90" w:type="dxa"/>
              <w:start w:w="100" w:type="dxa"/>
              <w:bottom w:w="90" w:type="dxa"/>
              <w:end w:w="100" w:type="dxa"/>
            </w:tcMar>
          </w:tcPr>
          <w:p>
            <w:pPr>
              <w:spacing w:after="0"/>
            </w:pPr>
            <w:r>
              <w:rPr>
                <w:sz w:val="18"/>
              </w:rPr>
              <w:t>Behavior depends on implementation and validation</w:t>
            </w:r>
          </w:p>
        </w:tc>
      </w:tr>
      <w:tr>
        <w:trPr>
          <w:cantSplit/>
        </w:trPr>
        <w:tc>
          <w:tcPr>
            <w:tcW w:type="dxa" w:w="2381"/>
            <w:vAlign w:val="top"/>
            <w:tcMar>
              <w:top w:w="90" w:type="dxa"/>
              <w:start w:w="100" w:type="dxa"/>
              <w:bottom w:w="90" w:type="dxa"/>
              <w:end w:w="100" w:type="dxa"/>
            </w:tcMar>
          </w:tcPr>
          <w:p>
            <w:pPr>
              <w:spacing w:after="0"/>
            </w:pPr>
            <w:r>
              <w:rPr>
                <w:sz w:val="18"/>
              </w:rPr>
              <w:t>Station-level aggregation</w:t>
            </w:r>
          </w:p>
        </w:tc>
        <w:tc>
          <w:tcPr>
            <w:tcW w:type="dxa" w:w="3288"/>
            <w:vAlign w:val="top"/>
            <w:tcMar>
              <w:top w:w="90" w:type="dxa"/>
              <w:start w:w="100" w:type="dxa"/>
              <w:bottom w:w="90" w:type="dxa"/>
              <w:end w:w="100" w:type="dxa"/>
            </w:tcMar>
          </w:tcPr>
          <w:p>
            <w:pPr>
              <w:spacing w:after="0"/>
            </w:pPr>
            <w:r>
              <w:rPr>
                <w:sz w:val="18"/>
              </w:rPr>
              <w:t>Reduces dimensionality</w:t>
            </w:r>
          </w:p>
        </w:tc>
        <w:tc>
          <w:tcPr>
            <w:tcW w:type="dxa" w:w="3061"/>
            <w:vAlign w:val="top"/>
            <w:tcMar>
              <w:top w:w="90" w:type="dxa"/>
              <w:start w:w="100" w:type="dxa"/>
              <w:bottom w:w="90" w:type="dxa"/>
              <w:end w:w="100" w:type="dxa"/>
            </w:tcMar>
          </w:tcPr>
          <w:p>
            <w:pPr>
              <w:spacing w:after="0"/>
            </w:pPr>
            <w:r>
              <w:rPr>
                <w:sz w:val="18"/>
              </w:rPr>
              <w:t>May discard useful feature-level variation</w:t>
            </w:r>
          </w:p>
        </w:tc>
      </w:tr>
      <w:tr>
        <w:trPr>
          <w:cantSplit/>
        </w:trPr>
        <w:tc>
          <w:tcPr>
            <w:tcW w:type="dxa" w:w="2381"/>
            <w:vAlign w:val="top"/>
            <w:tcMar>
              <w:top w:w="90" w:type="dxa"/>
              <w:start w:w="100" w:type="dxa"/>
              <w:bottom w:w="90" w:type="dxa"/>
              <w:end w:w="100" w:type="dxa"/>
            </w:tcMar>
          </w:tcPr>
          <w:p>
            <w:pPr>
              <w:spacing w:after="0"/>
            </w:pPr>
            <w:r>
              <w:rPr>
                <w:sz w:val="18"/>
              </w:rPr>
              <w:t>Missing indicator + imputation</w:t>
            </w:r>
          </w:p>
        </w:tc>
        <w:tc>
          <w:tcPr>
            <w:tcW w:type="dxa" w:w="3288"/>
            <w:vAlign w:val="top"/>
            <w:tcMar>
              <w:top w:w="90" w:type="dxa"/>
              <w:start w:w="100" w:type="dxa"/>
              <w:bottom w:w="90" w:type="dxa"/>
              <w:end w:w="100" w:type="dxa"/>
            </w:tcMar>
          </w:tcPr>
          <w:p>
            <w:pPr>
              <w:spacing w:after="0"/>
            </w:pPr>
            <w:r>
              <w:rPr>
                <w:sz w:val="18"/>
              </w:rPr>
              <w:t>Separates value and presence effects</w:t>
            </w:r>
          </w:p>
        </w:tc>
        <w:tc>
          <w:tcPr>
            <w:tcW w:type="dxa" w:w="3061"/>
            <w:vAlign w:val="top"/>
            <w:tcMar>
              <w:top w:w="90" w:type="dxa"/>
              <w:start w:w="100" w:type="dxa"/>
              <w:bottom w:w="90" w:type="dxa"/>
              <w:end w:w="100" w:type="dxa"/>
            </w:tcMar>
          </w:tcPr>
          <w:p>
            <w:pPr>
              <w:spacing w:after="0"/>
            </w:pPr>
            <w:r>
              <w:rPr>
                <w:sz w:val="18"/>
              </w:rPr>
              <w:t>Adds many columns and can increase memory use</w:t>
            </w:r>
          </w:p>
        </w:tc>
      </w:tr>
    </w:tbl>
    <w:p/>
    <w:tbl>
      <w:tblPr>
        <w:tblW w:type="auto" w:w="0"/>
        <w:jc w:val="center"/>
        <w:tblLook w:firstColumn="1" w:firstRow="1" w:lastColumn="0" w:lastRow="0" w:noHBand="0" w:noVBand="1" w:val="04A0"/>
      </w:tblPr>
      <w:tblGrid>
        <w:gridCol w:w="9525"/>
      </w:tblGrid>
      <w:tr>
        <w:trPr>
          <w:cantSplit/>
        </w:trPr>
        <w:tc>
          <w:tcPr>
            <w:tcW w:type="dxa" w:w="9525"/>
            <w:shd w:fill="FCE4D6"/>
            <w:tcMar>
              <w:top w:w="180" w:type="dxa"/>
              <w:start w:w="220" w:type="dxa"/>
              <w:bottom w:w="180" w:type="dxa"/>
              <w:end w:w="220" w:type="dxa"/>
            </w:tcMar>
          </w:tcPr>
          <w:p>
            <w:r>
              <w:rPr>
                <w:b/>
                <w:color w:val="1F4E79"/>
                <w:sz w:val="21"/>
              </w:rPr>
              <w:t>Why filling with zero can be dangerous</w:t>
              <w:br/>
            </w:r>
            <w:r>
              <w:rPr>
                <w:sz w:val="21"/>
              </w:rPr>
              <w:t>Zero may be a valid numerical result. Replacing every NaN with zero can make “not measured” indistinguishable from “measured as zero.” Use a missing indicator or a model that handles NaN, and validate the choice.</w:t>
            </w:r>
          </w:p>
        </w:tc>
      </w:tr>
    </w:tbl>
    <w:p>
      <w:pPr>
        <w:spacing w:after="0"/>
      </w:pPr>
    </w:p>
    <w:p>
      <w:pPr>
        <w:pStyle w:val="Heading1"/>
        <w:keepNext/>
      </w:pPr>
      <w:r>
        <w:t>9.6 Scaling and transformation</w:t>
      </w:r>
    </w:p>
    <w:p>
      <w:r>
        <w:t>Gradient-boosted trees generally do not require standardization, while logistic regression, distance-based methods, and neural networks may benefit from scaling. Scaling parameters must be fitted on training data only. If imputation is used, the imputer must also be fitted only on the training portion of each validation fold.</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2835"/>
            <w:shd w:fill="1F4E79"/>
            <w:vAlign w:val="center"/>
          </w:tcPr>
          <w:p>
            <w:r>
              <w:rPr>
                <w:b/>
                <w:color w:val="FFFFFF"/>
                <w:sz w:val="19"/>
              </w:rPr>
              <w:t>Model family</w:t>
            </w:r>
          </w:p>
        </w:tc>
        <w:tc>
          <w:tcPr>
            <w:tcW w:type="dxa" w:w="5783"/>
            <w:shd w:fill="1F4E79"/>
            <w:vAlign w:val="center"/>
          </w:tcPr>
          <w:p>
            <w:r>
              <w:rPr>
                <w:b/>
                <w:color w:val="FFFFFF"/>
                <w:sz w:val="19"/>
              </w:rPr>
              <w:t>Typical numerical preprocessing</w:t>
            </w:r>
          </w:p>
        </w:tc>
      </w:tr>
      <w:tr>
        <w:trPr>
          <w:cantSplit/>
        </w:trPr>
        <w:tc>
          <w:tcPr>
            <w:tcW w:type="dxa" w:w="2835"/>
            <w:vAlign w:val="top"/>
            <w:tcMar>
              <w:top w:w="90" w:type="dxa"/>
              <w:start w:w="100" w:type="dxa"/>
              <w:bottom w:w="90" w:type="dxa"/>
              <w:end w:w="100" w:type="dxa"/>
            </w:tcMar>
          </w:tcPr>
          <w:p>
            <w:pPr>
              <w:spacing w:after="0"/>
            </w:pPr>
            <w:r>
              <w:rPr>
                <w:sz w:val="18"/>
              </w:rPr>
              <w:t>Logistic regression</w:t>
            </w:r>
          </w:p>
        </w:tc>
        <w:tc>
          <w:tcPr>
            <w:tcW w:type="dxa" w:w="5783"/>
            <w:vAlign w:val="top"/>
            <w:tcMar>
              <w:top w:w="90" w:type="dxa"/>
              <w:start w:w="100" w:type="dxa"/>
              <w:bottom w:w="90" w:type="dxa"/>
              <w:end w:w="100" w:type="dxa"/>
            </w:tcMar>
          </w:tcPr>
          <w:p>
            <w:pPr>
              <w:spacing w:after="0"/>
            </w:pPr>
            <w:r>
              <w:rPr>
                <w:sz w:val="18"/>
              </w:rPr>
              <w:t>Impute, add indicators, scale, regularize</w:t>
            </w:r>
          </w:p>
        </w:tc>
      </w:tr>
      <w:tr>
        <w:trPr>
          <w:cantSplit/>
        </w:trPr>
        <w:tc>
          <w:tcPr>
            <w:tcW w:type="dxa" w:w="2835"/>
            <w:vAlign w:val="top"/>
            <w:tcMar>
              <w:top w:w="90" w:type="dxa"/>
              <w:start w:w="100" w:type="dxa"/>
              <w:bottom w:w="90" w:type="dxa"/>
              <w:end w:w="100" w:type="dxa"/>
            </w:tcMar>
          </w:tcPr>
          <w:p>
            <w:pPr>
              <w:spacing w:after="0"/>
            </w:pPr>
            <w:r>
              <w:rPr>
                <w:sz w:val="18"/>
              </w:rPr>
              <w:t>Random forest</w:t>
            </w:r>
          </w:p>
        </w:tc>
        <w:tc>
          <w:tcPr>
            <w:tcW w:type="dxa" w:w="5783"/>
            <w:vAlign w:val="top"/>
            <w:tcMar>
              <w:top w:w="90" w:type="dxa"/>
              <w:start w:w="100" w:type="dxa"/>
              <w:bottom w:w="90" w:type="dxa"/>
              <w:end w:w="100" w:type="dxa"/>
            </w:tcMar>
          </w:tcPr>
          <w:p>
            <w:pPr>
              <w:spacing w:after="0"/>
            </w:pPr>
            <w:r>
              <w:rPr>
                <w:sz w:val="18"/>
              </w:rPr>
              <w:t>Impute or use compatible missing handling; scaling usually unnecessary</w:t>
            </w:r>
          </w:p>
        </w:tc>
      </w:tr>
      <w:tr>
        <w:trPr>
          <w:cantSplit/>
        </w:trPr>
        <w:tc>
          <w:tcPr>
            <w:tcW w:type="dxa" w:w="2835"/>
            <w:vAlign w:val="top"/>
            <w:tcMar>
              <w:top w:w="90" w:type="dxa"/>
              <w:start w:w="100" w:type="dxa"/>
              <w:bottom w:w="90" w:type="dxa"/>
              <w:end w:w="100" w:type="dxa"/>
            </w:tcMar>
          </w:tcPr>
          <w:p>
            <w:pPr>
              <w:spacing w:after="0"/>
            </w:pPr>
            <w:r>
              <w:rPr>
                <w:sz w:val="18"/>
              </w:rPr>
              <w:t>LightGBM/XGBoost</w:t>
            </w:r>
          </w:p>
        </w:tc>
        <w:tc>
          <w:tcPr>
            <w:tcW w:type="dxa" w:w="5783"/>
            <w:vAlign w:val="top"/>
            <w:tcMar>
              <w:top w:w="90" w:type="dxa"/>
              <w:start w:w="100" w:type="dxa"/>
              <w:bottom w:w="90" w:type="dxa"/>
              <w:end w:w="100" w:type="dxa"/>
            </w:tcMar>
          </w:tcPr>
          <w:p>
            <w:pPr>
              <w:spacing w:after="0"/>
            </w:pPr>
            <w:r>
              <w:rPr>
                <w:sz w:val="18"/>
              </w:rPr>
              <w:t>Native or explicit missing handling; scaling usually unnecessary</w:t>
            </w:r>
          </w:p>
        </w:tc>
      </w:tr>
      <w:tr>
        <w:trPr>
          <w:cantSplit/>
        </w:trPr>
        <w:tc>
          <w:tcPr>
            <w:tcW w:type="dxa" w:w="2835"/>
            <w:vAlign w:val="top"/>
            <w:tcMar>
              <w:top w:w="90" w:type="dxa"/>
              <w:start w:w="100" w:type="dxa"/>
              <w:bottom w:w="90" w:type="dxa"/>
              <w:end w:w="100" w:type="dxa"/>
            </w:tcMar>
          </w:tcPr>
          <w:p>
            <w:pPr>
              <w:spacing w:after="0"/>
            </w:pPr>
            <w:r>
              <w:rPr>
                <w:sz w:val="18"/>
              </w:rPr>
              <w:t>k-nearest neighbours</w:t>
            </w:r>
          </w:p>
        </w:tc>
        <w:tc>
          <w:tcPr>
            <w:tcW w:type="dxa" w:w="5783"/>
            <w:vAlign w:val="top"/>
            <w:tcMar>
              <w:top w:w="90" w:type="dxa"/>
              <w:start w:w="100" w:type="dxa"/>
              <w:bottom w:w="90" w:type="dxa"/>
              <w:end w:w="100" w:type="dxa"/>
            </w:tcMar>
          </w:tcPr>
          <w:p>
            <w:pPr>
              <w:spacing w:after="0"/>
            </w:pPr>
            <w:r>
              <w:rPr>
                <w:sz w:val="18"/>
              </w:rPr>
              <w:t>Impute and scale; usually difficult at this dataset scale</w:t>
            </w:r>
          </w:p>
        </w:tc>
      </w:tr>
      <w:tr>
        <w:trPr>
          <w:cantSplit/>
        </w:trPr>
        <w:tc>
          <w:tcPr>
            <w:tcW w:type="dxa" w:w="2835"/>
            <w:vAlign w:val="top"/>
            <w:tcMar>
              <w:top w:w="90" w:type="dxa"/>
              <w:start w:w="100" w:type="dxa"/>
              <w:bottom w:w="90" w:type="dxa"/>
              <w:end w:w="100" w:type="dxa"/>
            </w:tcMar>
          </w:tcPr>
          <w:p>
            <w:pPr>
              <w:spacing w:after="0"/>
            </w:pPr>
            <w:r>
              <w:rPr>
                <w:sz w:val="18"/>
              </w:rPr>
              <w:t>Neural network</w:t>
            </w:r>
          </w:p>
        </w:tc>
        <w:tc>
          <w:tcPr>
            <w:tcW w:type="dxa" w:w="5783"/>
            <w:vAlign w:val="top"/>
            <w:tcMar>
              <w:top w:w="90" w:type="dxa"/>
              <w:start w:w="100" w:type="dxa"/>
              <w:bottom w:w="90" w:type="dxa"/>
              <w:end w:w="100" w:type="dxa"/>
            </w:tcMar>
          </w:tcPr>
          <w:p>
            <w:pPr>
              <w:spacing w:after="0"/>
            </w:pPr>
            <w:r>
              <w:rPr>
                <w:sz w:val="18"/>
              </w:rPr>
              <w:t>Impute, add masks/indicators, normalize, monitor sparse input design</w:t>
            </w:r>
          </w:p>
        </w:tc>
      </w:tr>
    </w:tbl>
    <w:p/>
    <w:p>
      <w:pPr>
        <w:pStyle w:val="Heading1"/>
        <w:keepNext/>
      </w:pPr>
      <w:r>
        <w:t>9.7 Feature selection and dimensionality</w:t>
      </w:r>
    </w:p>
    <w:p>
      <w:r>
        <w:t>With 968 numerical features and more than one million rows, feature selection can reduce memory, speed training, and simplify interpretation. However, selecting features using the full dataset before validation can leak information. Selection should be performed within the training process or on a training-only development split.</w:t>
      </w:r>
    </w:p>
    <w:p>
      <w:pPr>
        <w:ind w:left="369" w:hanging="255"/>
      </w:pPr>
      <w:r>
        <w:t>1.  Remove columns that are completely missing in the relevant training and serving schema.</w:t>
      </w:r>
    </w:p>
    <w:p>
      <w:pPr>
        <w:ind w:left="369" w:hanging="255"/>
      </w:pPr>
      <w:r>
        <w:t>2.  Check train/test availability and distribution differences.</w:t>
      </w:r>
    </w:p>
    <w:p>
      <w:pPr>
        <w:ind w:left="369" w:hanging="255"/>
      </w:pPr>
      <w:r>
        <w:t>3.  Use univariate statistics, missingness, variance, or model importance as candidate filters.</w:t>
      </w:r>
    </w:p>
    <w:p>
      <w:pPr>
        <w:ind w:left="369" w:hanging="255"/>
      </w:pPr>
      <w:r>
        <w:t>4.  Preserve station and line metadata so selected features remain traceable.</w:t>
      </w:r>
    </w:p>
    <w:p>
      <w:pPr>
        <w:ind w:left="369" w:hanging="255"/>
      </w:pPr>
      <w:r>
        <w:t>5.  Evaluate whether a smaller feature set maintains MCC, precision, recall, and PR-AUC.</w:t>
      </w:r>
    </w:p>
    <w:p>
      <w:pPr>
        <w:pStyle w:val="Heading1"/>
        <w:keepNext/>
      </w:pPr>
      <w:r>
        <w:t>9.8 Correlation is not physical meaning</w:t>
      </w:r>
    </w:p>
    <w:p>
      <w:r>
        <w:t>A numerical feature may correlate with Response or receive high SHAP importance. This means the model uses its values or missingness to distinguish risk. It does not identify the measurement as a physical cause. The feature may proxy for product family, route, production period, station condition, or another hidden variable.</w:t>
      </w:r>
    </w:p>
    <w:tbl>
      <w:tblPr>
        <w:tblW w:type="auto" w:w="0"/>
        <w:jc w:val="center"/>
        <w:tblLook w:firstColumn="1" w:firstRow="1" w:lastColumn="0" w:lastRow="0" w:noHBand="0" w:noVBand="1" w:val="04A0"/>
      </w:tblPr>
      <w:tblGrid>
        <w:gridCol w:w="9525"/>
      </w:tblGrid>
      <w:tr>
        <w:trPr>
          <w:cantSplit/>
        </w:trPr>
        <w:tc>
          <w:tcPr>
            <w:tcW w:type="dxa" w:w="9525"/>
            <w:shd w:fill="FFF2CC"/>
            <w:tcMar>
              <w:top w:w="180" w:type="dxa"/>
              <w:start w:w="220" w:type="dxa"/>
              <w:bottom w:w="180" w:type="dxa"/>
              <w:end w:w="220" w:type="dxa"/>
            </w:tcMar>
          </w:tcPr>
          <w:p>
            <w:r>
              <w:rPr>
                <w:b/>
                <w:color w:val="1F4E79"/>
                <w:sz w:val="21"/>
              </w:rPr>
              <w:t>Reader-facing wording example</w:t>
              <w:br/>
            </w:r>
            <w:r>
              <w:rPr>
                <w:sz w:val="21"/>
              </w:rPr>
              <w:t>Safe: “L1_S24_F1846 is a strong predictive numerical signal in the validation data.”</w:t>
              <w:br/>
              <w:t>Unsafe: “L1_S24_F1846 proves that excess pressure at Station 24 causes the defect.”</w:t>
            </w:r>
          </w:p>
        </w:tc>
      </w:tr>
    </w:tbl>
    <w:p>
      <w:pPr>
        <w:spacing w:after="0"/>
      </w:pPr>
    </w:p>
    <w:p>
      <w:pPr>
        <w:pStyle w:val="Heading1"/>
        <w:keepNext/>
      </w:pPr>
      <w:r>
        <w:t>9.9 Parsing numerical metadata</w:t>
      </w:r>
    </w:p>
    <w:p>
      <w:r>
        <w:rPr>
          <w:b/>
          <w:color w:val="1F4E79"/>
        </w:rPr>
        <w:t>Feature-name parser</w:t>
      </w:r>
    </w:p>
    <w:tbl>
      <w:tblPr>
        <w:tblW w:type="auto" w:w="0"/>
        <w:jc w:val="center"/>
        <w:tblLook w:firstColumn="1" w:firstRow="1" w:lastColumn="0" w:lastRow="0" w:noHBand="0" w:noVBand="1" w:val="04A0"/>
      </w:tblPr>
      <w:tblGrid>
        <w:gridCol w:w="9525"/>
      </w:tblGrid>
      <w:tr>
        <w:trPr>
          <w:cantSplit/>
        </w:trPr>
        <w:tc>
          <w:tcPr>
            <w:tcW w:type="dxa" w:w="9525"/>
            <w:shd w:fill="F2F2F2"/>
            <w:tcMar>
              <w:top w:w="160" w:type="dxa"/>
              <w:start w:w="180" w:type="dxa"/>
              <w:bottom w:w="160" w:type="dxa"/>
              <w:end w:w="180" w:type="dxa"/>
            </w:tcMar>
          </w:tcPr>
          <w:p>
            <w:pPr>
              <w:spacing w:after="0"/>
            </w:pPr>
            <w:r>
              <w:rPr>
                <w:rFonts w:ascii="Consolas" w:hAnsi="Consolas" w:eastAsia="Consolas"/>
                <w:sz w:val="17"/>
              </w:rPr>
              <w:t>import re</w:t>
            </w:r>
            <w:r>
              <w:br/>
            </w:r>
            <w:r>
              <w:rPr>
                <w:rFonts w:ascii="Consolas" w:hAnsi="Consolas" w:eastAsia="Consolas"/>
                <w:sz w:val="17"/>
              </w:rPr>
            </w:r>
            <w:r>
              <w:br/>
            </w:r>
            <w:r>
              <w:rPr>
                <w:rFonts w:ascii="Consolas" w:hAnsi="Consolas" w:eastAsia="Consolas"/>
                <w:sz w:val="17"/>
              </w:rPr>
              <w:t>pattern = re.compile(r"^L(?P&lt;line&gt;\d+)_S(?P&lt;station&gt;\d+)_F(?P&lt;feature&gt;\d+)$")</w:t>
            </w:r>
            <w:r>
              <w:br/>
            </w:r>
            <w:r>
              <w:rPr>
                <w:rFonts w:ascii="Consolas" w:hAnsi="Consolas" w:eastAsia="Consolas"/>
                <w:sz w:val="17"/>
              </w:rPr>
            </w:r>
            <w:r>
              <w:br/>
            </w:r>
            <w:r>
              <w:rPr>
                <w:rFonts w:ascii="Consolas" w:hAnsi="Consolas" w:eastAsia="Consolas"/>
                <w:sz w:val="17"/>
              </w:rPr>
              <w:t>name = "L3_S36_F3939"</w:t>
            </w:r>
            <w:r>
              <w:br/>
            </w:r>
            <w:r>
              <w:rPr>
                <w:rFonts w:ascii="Consolas" w:hAnsi="Consolas" w:eastAsia="Consolas"/>
                <w:sz w:val="17"/>
              </w:rPr>
              <w:t>match = pattern.match(name)</w:t>
            </w:r>
            <w:r>
              <w:br/>
            </w:r>
            <w:r>
              <w:rPr>
                <w:rFonts w:ascii="Consolas" w:hAnsi="Consolas" w:eastAsia="Consolas"/>
                <w:sz w:val="17"/>
              </w:rPr>
              <w:t>metadata = {key: int(value) for key, value in match.groupdict().items()}</w:t>
            </w:r>
            <w:r>
              <w:br/>
            </w:r>
            <w:r>
              <w:rPr>
                <w:rFonts w:ascii="Consolas" w:hAnsi="Consolas" w:eastAsia="Consolas"/>
                <w:sz w:val="17"/>
              </w:rPr>
              <w:t># {'line': 3, 'station': 36, 'feature': 3939}</w:t>
            </w:r>
          </w:p>
        </w:tc>
      </w:tr>
    </w:tbl>
    <w:p/>
    <w:tbl>
      <w:tblPr>
        <w:tblW w:type="auto" w:w="0"/>
        <w:jc w:val="center"/>
        <w:tblLook w:firstColumn="1" w:firstRow="1" w:lastColumn="0" w:lastRow="0" w:noHBand="0" w:noVBand="1" w:val="04A0"/>
      </w:tblPr>
      <w:tblGrid>
        <w:gridCol w:w="9525"/>
      </w:tblGrid>
      <w:tr>
        <w:trPr>
          <w:cantSplit/>
        </w:trPr>
        <w:tc>
          <w:tcPr>
            <w:tcW w:type="dxa" w:w="9525"/>
            <w:shd w:fill="FCE4D6"/>
            <w:tcMar>
              <w:top w:w="180" w:type="dxa"/>
              <w:start w:w="220" w:type="dxa"/>
              <w:bottom w:w="180" w:type="dxa"/>
              <w:end w:w="220" w:type="dxa"/>
            </w:tcMar>
          </w:tcPr>
          <w:p>
            <w:r>
              <w:rPr>
                <w:b/>
                <w:color w:val="1F4E79"/>
                <w:sz w:val="21"/>
              </w:rPr>
              <w:t>Common beginner mistakes</w:t>
              <w:br/>
            </w:r>
            <w:r>
              <w:rPr>
                <w:sz w:val="21"/>
              </w:rPr>
              <w:t>• Assigning a real sensor name or unit to an anonymized feature.</w:t>
              <w:br/>
              <w:t>• Replacing every NaN with zero without preserving missingness.</w:t>
              <w:br/>
              <w:t>• Scaling or imputing before the train/validation split.</w:t>
              <w:br/>
              <w:t>• Removing nearly all sparse features without testing route information.</w:t>
              <w:br/>
              <w:t>• Using feature importance as proof of causation.</w:t>
            </w:r>
          </w:p>
        </w:tc>
      </w:tr>
    </w:tbl>
    <w:p>
      <w:pPr>
        <w:spacing w:after="0"/>
      </w:pPr>
    </w:p>
    <w:p>
      <w:pPr>
        <w:pStyle w:val="Heading2"/>
        <w:keepNext/>
      </w:pPr>
      <w:r>
        <w:t>Review questions</w:t>
      </w:r>
    </w:p>
    <w:p>
      <w:pPr>
        <w:ind w:left="369" w:hanging="255"/>
      </w:pPr>
      <w:r>
        <w:t>1.  What information is encoded in L3_S36_F3939?</w:t>
      </w:r>
    </w:p>
    <w:p>
      <w:pPr>
        <w:ind w:left="369" w:hanging="255"/>
      </w:pPr>
      <w:r>
        <w:t>2.  Why might a numerical value be negative?</w:t>
      </w:r>
    </w:p>
    <w:p>
      <w:pPr>
        <w:ind w:left="369" w:hanging="255"/>
      </w:pPr>
      <w:r>
        <w:t>3.  Why is zero imputation risky?</w:t>
      </w:r>
    </w:p>
    <w:p>
      <w:pPr>
        <w:ind w:left="369" w:hanging="255"/>
      </w:pPr>
      <w:r>
        <w:t>4.  Which model families usually require feature scaling?</w:t>
      </w:r>
    </w:p>
    <w:p>
      <w:pPr>
        <w:ind w:left="369" w:hanging="255"/>
      </w:pPr>
      <w:r>
        <w:t>5.  What is the difference between a predictive numerical signal and a physical root cause?</w:t>
      </w:r>
    </w:p>
    <w:p>
      <w:pPr>
        <w:pStyle w:val="Heading2"/>
        <w:keepNext/>
      </w:pPr>
      <w:r>
        <w:t>Practice exercise</w:t>
      </w:r>
    </w:p>
    <w:p>
      <w:r>
        <w:t>Select one numerical feature from the project reports. Write a five-step analysis plan covering missingness, distribution, train/test consistency, association with Response, and safe interpretation. Do not assign a physical sensor name.</w:t>
      </w:r>
    </w:p>
    <w:tbl>
      <w:tblPr>
        <w:tblW w:type="auto" w:w="0"/>
        <w:jc w:val="center"/>
        <w:tblLook w:firstColumn="1" w:firstRow="1" w:lastColumn="0" w:lastRow="0" w:noHBand="0" w:noVBand="1" w:val="04A0"/>
      </w:tblPr>
      <w:tblGrid>
        <w:gridCol w:w="9525"/>
      </w:tblGrid>
      <w:tr>
        <w:trPr>
          <w:cantSplit/>
        </w:trPr>
        <w:tc>
          <w:tcPr>
            <w:tcW w:type="dxa" w:w="9525"/>
            <w:shd w:fill="E2F0D9"/>
            <w:tcMar>
              <w:top w:w="180" w:type="dxa"/>
              <w:start w:w="220" w:type="dxa"/>
              <w:bottom w:w="180" w:type="dxa"/>
              <w:end w:w="220" w:type="dxa"/>
            </w:tcMar>
          </w:tcPr>
          <w:p>
            <w:r>
              <w:rPr>
                <w:b/>
                <w:color w:val="1F4E79"/>
                <w:sz w:val="21"/>
              </w:rPr>
              <w:t>Chapter summary</w:t>
              <w:br/>
            </w:r>
            <w:r>
              <w:rPr>
                <w:sz w:val="21"/>
              </w:rPr>
              <w:t>• Numerical feature names encode line, station, and anonymous feature number.</w:t>
              <w:br/>
              <w:t>• The numerical table contains 968 features and is about 81% missing.</w:t>
              <w:br/>
              <w:t>• Missingness may be predictive and should not be erased blindly.</w:t>
              <w:br/>
              <w:t>• Preprocessing depends on the model and must be fitted within training folds.</w:t>
              <w:br/>
              <w:t>• Statistical importance does not reveal the undisclosed engineering meaning.</w:t>
            </w:r>
          </w:p>
        </w:tc>
      </w:tr>
    </w:tbl>
    <w:p>
      <w:pPr>
        <w:spacing w:after="0"/>
      </w:pPr>
    </w:p>
    <w:p>
      <w:r>
        <w:br w:type="page"/>
      </w:r>
    </w:p>
    <w:p>
      <w:pPr>
        <w:pStyle w:val="Title"/>
      </w:pPr>
      <w:r>
        <w:t>Chapter 10: Categorical Features</w:t>
      </w:r>
    </w:p>
    <w:tbl>
      <w:tblPr>
        <w:tblW w:type="auto" w:w="0"/>
        <w:jc w:val="center"/>
        <w:tblLook w:firstColumn="1" w:firstRow="1" w:lastColumn="0" w:lastRow="0" w:noHBand="0" w:noVBand="1" w:val="04A0"/>
      </w:tblPr>
      <w:tblGrid>
        <w:gridCol w:w="9525"/>
      </w:tblGrid>
      <w:tr>
        <w:trPr>
          <w:cantSplit/>
        </w:trPr>
        <w:tc>
          <w:tcPr>
            <w:tcW w:type="dxa" w:w="9525"/>
            <w:shd w:fill="E4DFEC"/>
            <w:tcMar>
              <w:top w:w="180" w:type="dxa"/>
              <w:start w:w="220" w:type="dxa"/>
              <w:bottom w:w="180" w:type="dxa"/>
              <w:end w:w="220" w:type="dxa"/>
            </w:tcMar>
          </w:tcPr>
          <w:p>
            <w:r>
              <w:rPr>
                <w:b/>
                <w:color w:val="1F4E79"/>
                <w:sz w:val="21"/>
              </w:rPr>
              <w:t>Learning objectives</w:t>
              <w:br/>
            </w:r>
            <w:r>
              <w:rPr>
                <w:sz w:val="21"/>
              </w:rPr>
              <w:t>By the end of this chapter, the reader should be able to:</w:t>
              <w:br/>
              <w:t>• explain how categorical features differ from numerical features</w:t>
              <w:br/>
              <w:t>• describe the extreme sparsity and high dimensionality of the categorical table</w:t>
              <w:br/>
              <w:t>• compare one-hot, frequency, target, hashing, and native categorical methods</w:t>
              <w:br/>
              <w:t>• handle missing and unseen categories safely</w:t>
              <w:br/>
              <w:t>• interpret categorical levels without inventing engineering semantics</w:t>
            </w:r>
          </w:p>
        </w:tc>
      </w:tr>
    </w:tbl>
    <w:p>
      <w:pPr>
        <w:spacing w:after="0"/>
      </w:pPr>
    </w:p>
    <w:p>
      <w:pPr>
        <w:pStyle w:val="Heading1"/>
        <w:keepNext/>
      </w:pPr>
      <w:r>
        <w:t>10.1 What is a categorical feature?</w:t>
      </w:r>
    </w:p>
    <w:p>
      <w:r>
        <w:t>A categorical feature records a state, code, class, test result, configuration, or other discrete value rather than a continuous measurement. In the Bosch data, categorical columns use the same Lx_Sy_Fz structural naming pattern as numerical columns, while observed values commonly appear as anonymous tokens such as T1, T2, or T3. Neither the column meaning nor the token meaning is disclosed.</w:t>
      </w:r>
    </w:p>
    <w:tbl>
      <w:tblPr>
        <w:tblW w:type="auto" w:w="0"/>
        <w:jc w:val="center"/>
        <w:tblLook w:firstColumn="1" w:firstRow="1" w:lastColumn="0" w:lastRow="0" w:noHBand="0" w:noVBand="1" w:val="04A0"/>
      </w:tblPr>
      <w:tblGrid>
        <w:gridCol w:w="9525"/>
      </w:tblGrid>
      <w:tr>
        <w:trPr>
          <w:cantSplit/>
        </w:trPr>
        <w:tc>
          <w:tcPr>
            <w:tcW w:type="dxa" w:w="9525"/>
            <w:shd w:fill="E4DFEC"/>
            <w:tcMar>
              <w:top w:w="180" w:type="dxa"/>
              <w:start w:w="220" w:type="dxa"/>
              <w:bottom w:w="180" w:type="dxa"/>
              <w:end w:w="220" w:type="dxa"/>
            </w:tcMar>
          </w:tcPr>
          <w:p>
            <w:r>
              <w:rPr>
                <w:b/>
                <w:color w:val="1F4E79"/>
                <w:sz w:val="21"/>
              </w:rPr>
              <w:t>Example</w:t>
              <w:br/>
            </w:r>
            <w:r>
              <w:rPr>
                <w:sz w:val="21"/>
              </w:rPr>
              <w:t>L1_S24_F1525 = T3 means that anonymous categorical feature 1525 at Line 1, Station 24 has category token T3 for that part. It does not tell us whether T3 is a machine mode, test code, product type, material class, or operator choice.</w:t>
            </w:r>
          </w:p>
        </w:tc>
      </w:tr>
    </w:tbl>
    <w:p>
      <w:pPr>
        <w:spacing w:after="0"/>
      </w:pPr>
    </w:p>
    <w:p>
      <w:pPr>
        <w:pStyle w:val="Heading1"/>
        <w:keepNext/>
      </w:pPr>
      <w:r>
        <w:t>10.2 Scale and sparsity</w:t>
      </w:r>
    </w:p>
    <w:p>
      <w:r>
        <w:t>train_categorical.csv contains Id and 2,140 categorical feature columns. Approximately 97.284% of its possible cells are missing, making it the sparsest of the three feature families [5]. Some feature groups are completely missing in one split or nearly empty. This requires schema checks before training and careful treatment of rare categories.</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3969"/>
            <w:shd w:fill="1F4E79"/>
            <w:vAlign w:val="center"/>
          </w:tcPr>
          <w:p>
            <w:r>
              <w:rPr>
                <w:b/>
                <w:color w:val="FFFFFF"/>
                <w:sz w:val="19"/>
              </w:rPr>
              <w:t>Item</w:t>
            </w:r>
          </w:p>
        </w:tc>
        <w:tc>
          <w:tcPr>
            <w:tcW w:type="dxa" w:w="4706"/>
            <w:shd w:fill="1F4E79"/>
            <w:vAlign w:val="center"/>
          </w:tcPr>
          <w:p>
            <w:r>
              <w:rPr>
                <w:b/>
                <w:color w:val="FFFFFF"/>
                <w:sz w:val="19"/>
              </w:rPr>
              <w:t>Training categorical table</w:t>
            </w:r>
          </w:p>
        </w:tc>
      </w:tr>
      <w:tr>
        <w:trPr>
          <w:cantSplit/>
        </w:trPr>
        <w:tc>
          <w:tcPr>
            <w:tcW w:type="dxa" w:w="3969"/>
            <w:vAlign w:val="top"/>
            <w:tcMar>
              <w:top w:w="90" w:type="dxa"/>
              <w:start w:w="100" w:type="dxa"/>
              <w:bottom w:w="90" w:type="dxa"/>
              <w:end w:w="100" w:type="dxa"/>
            </w:tcMar>
          </w:tcPr>
          <w:p>
            <w:pPr>
              <w:spacing w:after="0"/>
            </w:pPr>
            <w:r>
              <w:rPr>
                <w:sz w:val="18"/>
              </w:rPr>
              <w:t>Rows</w:t>
            </w:r>
          </w:p>
        </w:tc>
        <w:tc>
          <w:tcPr>
            <w:tcW w:type="dxa" w:w="4706"/>
            <w:vAlign w:val="top"/>
            <w:tcMar>
              <w:top w:w="90" w:type="dxa"/>
              <w:start w:w="100" w:type="dxa"/>
              <w:bottom w:w="90" w:type="dxa"/>
              <w:end w:w="100" w:type="dxa"/>
            </w:tcMar>
          </w:tcPr>
          <w:p>
            <w:pPr>
              <w:spacing w:after="0"/>
            </w:pPr>
            <w:r>
              <w:rPr>
                <w:sz w:val="18"/>
              </w:rPr>
              <w:t>1,183,747</w:t>
            </w:r>
          </w:p>
        </w:tc>
      </w:tr>
      <w:tr>
        <w:trPr>
          <w:cantSplit/>
        </w:trPr>
        <w:tc>
          <w:tcPr>
            <w:tcW w:type="dxa" w:w="3969"/>
            <w:vAlign w:val="top"/>
            <w:tcMar>
              <w:top w:w="90" w:type="dxa"/>
              <w:start w:w="100" w:type="dxa"/>
              <w:bottom w:w="90" w:type="dxa"/>
              <w:end w:w="100" w:type="dxa"/>
            </w:tcMar>
          </w:tcPr>
          <w:p>
            <w:pPr>
              <w:spacing w:after="0"/>
            </w:pPr>
            <w:r>
              <w:rPr>
                <w:sz w:val="18"/>
              </w:rPr>
              <w:t>Feature columns</w:t>
            </w:r>
          </w:p>
        </w:tc>
        <w:tc>
          <w:tcPr>
            <w:tcW w:type="dxa" w:w="4706"/>
            <w:vAlign w:val="top"/>
            <w:tcMar>
              <w:top w:w="90" w:type="dxa"/>
              <w:start w:w="100" w:type="dxa"/>
              <w:bottom w:w="90" w:type="dxa"/>
              <w:end w:w="100" w:type="dxa"/>
            </w:tcMar>
          </w:tcPr>
          <w:p>
            <w:pPr>
              <w:spacing w:after="0"/>
            </w:pPr>
            <w:r>
              <w:rPr>
                <w:sz w:val="18"/>
              </w:rPr>
              <w:t>2,140</w:t>
            </w:r>
          </w:p>
        </w:tc>
      </w:tr>
      <w:tr>
        <w:trPr>
          <w:cantSplit/>
        </w:trPr>
        <w:tc>
          <w:tcPr>
            <w:tcW w:type="dxa" w:w="3969"/>
            <w:vAlign w:val="top"/>
            <w:tcMar>
              <w:top w:w="90" w:type="dxa"/>
              <w:start w:w="100" w:type="dxa"/>
              <w:bottom w:w="90" w:type="dxa"/>
              <w:end w:w="100" w:type="dxa"/>
            </w:tcMar>
          </w:tcPr>
          <w:p>
            <w:pPr>
              <w:spacing w:after="0"/>
            </w:pPr>
            <w:r>
              <w:rPr>
                <w:sz w:val="18"/>
              </w:rPr>
              <w:t>Total columns</w:t>
            </w:r>
          </w:p>
        </w:tc>
        <w:tc>
          <w:tcPr>
            <w:tcW w:type="dxa" w:w="4706"/>
            <w:vAlign w:val="top"/>
            <w:tcMar>
              <w:top w:w="90" w:type="dxa"/>
              <w:start w:w="100" w:type="dxa"/>
              <w:bottom w:w="90" w:type="dxa"/>
              <w:end w:w="100" w:type="dxa"/>
            </w:tcMar>
          </w:tcPr>
          <w:p>
            <w:pPr>
              <w:spacing w:after="0"/>
            </w:pPr>
            <w:r>
              <w:rPr>
                <w:sz w:val="18"/>
              </w:rPr>
              <w:t>2,141 including Id</w:t>
            </w:r>
          </w:p>
        </w:tc>
      </w:tr>
      <w:tr>
        <w:trPr>
          <w:cantSplit/>
        </w:trPr>
        <w:tc>
          <w:tcPr>
            <w:tcW w:type="dxa" w:w="3969"/>
            <w:vAlign w:val="top"/>
            <w:tcMar>
              <w:top w:w="90" w:type="dxa"/>
              <w:start w:w="100" w:type="dxa"/>
              <w:bottom w:w="90" w:type="dxa"/>
              <w:end w:w="100" w:type="dxa"/>
            </w:tcMar>
          </w:tcPr>
          <w:p>
            <w:pPr>
              <w:spacing w:after="0"/>
            </w:pPr>
            <w:r>
              <w:rPr>
                <w:sz w:val="18"/>
              </w:rPr>
              <w:t>Approximate file size</w:t>
            </w:r>
          </w:p>
        </w:tc>
        <w:tc>
          <w:tcPr>
            <w:tcW w:type="dxa" w:w="4706"/>
            <w:vAlign w:val="top"/>
            <w:tcMar>
              <w:top w:w="90" w:type="dxa"/>
              <w:start w:w="100" w:type="dxa"/>
              <w:bottom w:w="90" w:type="dxa"/>
              <w:end w:w="100" w:type="dxa"/>
            </w:tcMar>
          </w:tcPr>
          <w:p>
            <w:pPr>
              <w:spacing w:after="0"/>
            </w:pPr>
            <w:r>
              <w:rPr>
                <w:sz w:val="18"/>
              </w:rPr>
              <w:t>2,554.27 MB</w:t>
            </w:r>
          </w:p>
        </w:tc>
      </w:tr>
      <w:tr>
        <w:trPr>
          <w:cantSplit/>
        </w:trPr>
        <w:tc>
          <w:tcPr>
            <w:tcW w:type="dxa" w:w="3969"/>
            <w:vAlign w:val="top"/>
            <w:tcMar>
              <w:top w:w="90" w:type="dxa"/>
              <w:start w:w="100" w:type="dxa"/>
              <w:bottom w:w="90" w:type="dxa"/>
              <w:end w:w="100" w:type="dxa"/>
            </w:tcMar>
          </w:tcPr>
          <w:p>
            <w:pPr>
              <w:spacing w:after="0"/>
            </w:pPr>
            <w:r>
              <w:rPr>
                <w:sz w:val="18"/>
              </w:rPr>
              <w:t>Missing cells</w:t>
            </w:r>
          </w:p>
        </w:tc>
        <w:tc>
          <w:tcPr>
            <w:tcW w:type="dxa" w:w="4706"/>
            <w:vAlign w:val="top"/>
            <w:tcMar>
              <w:top w:w="90" w:type="dxa"/>
              <w:start w:w="100" w:type="dxa"/>
              <w:bottom w:w="90" w:type="dxa"/>
              <w:end w:w="100" w:type="dxa"/>
            </w:tcMar>
          </w:tcPr>
          <w:p>
            <w:pPr>
              <w:spacing w:after="0"/>
            </w:pPr>
            <w:r>
              <w:rPr>
                <w:sz w:val="18"/>
              </w:rPr>
              <w:t>97.2840%</w:t>
            </w:r>
          </w:p>
        </w:tc>
      </w:tr>
    </w:tbl>
    <w:p/>
    <w:p>
      <w:pPr>
        <w:pStyle w:val="Heading1"/>
        <w:keepNext/>
      </w:pPr>
      <w:r>
        <w:t>10.3 Why categorical encoding is required</w:t>
      </w:r>
    </w:p>
    <w:p>
      <w:r>
        <w:t>Most machine-learning algorithms require numeric input. Categorical tokens therefore need to be represented in a form the model can use. The choice affects memory use, leakage risk, treatment of rare categories, and the model ability to learn interactions.</w:t>
      </w:r>
    </w:p>
    <w:p>
      <w:pPr>
        <w:jc w:val="center"/>
      </w:pPr>
      <w:r>
        <w:drawing>
          <wp:inline xmlns:a="http://schemas.openxmlformats.org/drawingml/2006/main" xmlns:pic="http://schemas.openxmlformats.org/drawingml/2006/picture">
            <wp:extent cx="6126480" cy="3335528"/>
            <wp:docPr id="6" name="Picture 6"/>
            <wp:cNvGraphicFramePr>
              <a:graphicFrameLocks noChangeAspect="1"/>
            </wp:cNvGraphicFramePr>
            <a:graphic>
              <a:graphicData uri="http://schemas.openxmlformats.org/drawingml/2006/picture">
                <pic:pic>
                  <pic:nvPicPr>
                    <pic:cNvPr id="0" name="figure_10_1_categorical_choices.png"/>
                    <pic:cNvPicPr/>
                  </pic:nvPicPr>
                  <pic:blipFill>
                    <a:blip r:embed="rId16"/>
                    <a:stretch>
                      <a:fillRect/>
                    </a:stretch>
                  </pic:blipFill>
                  <pic:spPr>
                    <a:xfrm>
                      <a:off x="0" y="0"/>
                      <a:ext cx="6126480" cy="3335528"/>
                    </a:xfrm>
                    <a:prstGeom prst="rect"/>
                  </pic:spPr>
                </pic:pic>
              </a:graphicData>
            </a:graphic>
          </wp:inline>
        </w:drawing>
      </w:r>
    </w:p>
    <w:p>
      <w:pPr>
        <w:pStyle w:val="Caption"/>
        <w:jc w:val="center"/>
      </w:pPr>
      <w:r>
        <w:t>Figure 10.1 - Common encoding choices for anonymous categorical values.</w:t>
      </w:r>
    </w:p>
    <w:tbl>
      <w:tblPr>
        <w:tblStyle w:val="TableGrid"/>
        <w:tblW w:type="auto" w:w="0"/>
        <w:jc w:val="center"/>
        <w:tblLook w:firstColumn="1" w:firstRow="1" w:lastColumn="0" w:lastRow="0" w:noHBand="0" w:noVBand="1" w:val="04A0"/>
      </w:tblPr>
      <w:tblGrid>
        <w:gridCol w:w="2381"/>
        <w:gridCol w:w="2381"/>
        <w:gridCol w:w="2381"/>
        <w:gridCol w:w="2381"/>
      </w:tblGrid>
      <w:tr>
        <w:trPr>
          <w:tblHeader/>
          <w:cantSplit/>
        </w:trPr>
        <w:tc>
          <w:tcPr>
            <w:tcW w:type="dxa" w:w="1814"/>
            <w:shd w:fill="1F4E79"/>
            <w:vAlign w:val="center"/>
          </w:tcPr>
          <w:p>
            <w:r>
              <w:rPr>
                <w:b/>
                <w:color w:val="FFFFFF"/>
                <w:sz w:val="19"/>
              </w:rPr>
              <w:t>Method</w:t>
            </w:r>
          </w:p>
        </w:tc>
        <w:tc>
          <w:tcPr>
            <w:tcW w:type="dxa" w:w="2608"/>
            <w:shd w:fill="1F4E79"/>
            <w:vAlign w:val="center"/>
          </w:tcPr>
          <w:p>
            <w:r>
              <w:rPr>
                <w:b/>
                <w:color w:val="FFFFFF"/>
                <w:sz w:val="19"/>
              </w:rPr>
              <w:t>How it works</w:t>
            </w:r>
          </w:p>
        </w:tc>
        <w:tc>
          <w:tcPr>
            <w:tcW w:type="dxa" w:w="2381"/>
            <w:shd w:fill="1F4E79"/>
            <w:vAlign w:val="center"/>
          </w:tcPr>
          <w:p>
            <w:r>
              <w:rPr>
                <w:b/>
                <w:color w:val="FFFFFF"/>
                <w:sz w:val="19"/>
              </w:rPr>
              <w:t>When useful</w:t>
            </w:r>
          </w:p>
        </w:tc>
        <w:tc>
          <w:tcPr>
            <w:tcW w:type="dxa" w:w="2268"/>
            <w:shd w:fill="1F4E79"/>
            <w:vAlign w:val="center"/>
          </w:tcPr>
          <w:p>
            <w:r>
              <w:rPr>
                <w:b/>
                <w:color w:val="FFFFFF"/>
                <w:sz w:val="19"/>
              </w:rPr>
              <w:t>Main caution</w:t>
            </w:r>
          </w:p>
        </w:tc>
      </w:tr>
      <w:tr>
        <w:trPr>
          <w:cantSplit/>
        </w:trPr>
        <w:tc>
          <w:tcPr>
            <w:tcW w:type="dxa" w:w="1814"/>
            <w:vAlign w:val="top"/>
            <w:tcMar>
              <w:top w:w="90" w:type="dxa"/>
              <w:start w:w="100" w:type="dxa"/>
              <w:bottom w:w="90" w:type="dxa"/>
              <w:end w:w="100" w:type="dxa"/>
            </w:tcMar>
          </w:tcPr>
          <w:p>
            <w:pPr>
              <w:spacing w:after="0"/>
            </w:pPr>
            <w:r>
              <w:rPr>
                <w:sz w:val="16"/>
              </w:rPr>
              <w:t>One-hot</w:t>
            </w:r>
          </w:p>
        </w:tc>
        <w:tc>
          <w:tcPr>
            <w:tcW w:type="dxa" w:w="2608"/>
            <w:vAlign w:val="top"/>
            <w:tcMar>
              <w:top w:w="90" w:type="dxa"/>
              <w:start w:w="100" w:type="dxa"/>
              <w:bottom w:w="90" w:type="dxa"/>
              <w:end w:w="100" w:type="dxa"/>
            </w:tcMar>
          </w:tcPr>
          <w:p>
            <w:pPr>
              <w:spacing w:after="0"/>
            </w:pPr>
            <w:r>
              <w:rPr>
                <w:sz w:val="16"/>
              </w:rPr>
              <w:t>Creates one binary column per category</w:t>
            </w:r>
          </w:p>
        </w:tc>
        <w:tc>
          <w:tcPr>
            <w:tcW w:type="dxa" w:w="2381"/>
            <w:vAlign w:val="top"/>
            <w:tcMar>
              <w:top w:w="90" w:type="dxa"/>
              <w:start w:w="100" w:type="dxa"/>
              <w:bottom w:w="90" w:type="dxa"/>
              <w:end w:w="100" w:type="dxa"/>
            </w:tcMar>
          </w:tcPr>
          <w:p>
            <w:pPr>
              <w:spacing w:after="0"/>
            </w:pPr>
            <w:r>
              <w:rPr>
                <w:sz w:val="16"/>
              </w:rPr>
              <w:t>Low/medium cardinality and linear models</w:t>
            </w:r>
          </w:p>
        </w:tc>
        <w:tc>
          <w:tcPr>
            <w:tcW w:type="dxa" w:w="2268"/>
            <w:vAlign w:val="top"/>
            <w:tcMar>
              <w:top w:w="90" w:type="dxa"/>
              <w:start w:w="100" w:type="dxa"/>
              <w:bottom w:w="90" w:type="dxa"/>
              <w:end w:w="100" w:type="dxa"/>
            </w:tcMar>
          </w:tcPr>
          <w:p>
            <w:pPr>
              <w:spacing w:after="0"/>
            </w:pPr>
            <w:r>
              <w:rPr>
                <w:sz w:val="16"/>
              </w:rPr>
              <w:t>Column explosion and rare levels</w:t>
            </w:r>
          </w:p>
        </w:tc>
      </w:tr>
      <w:tr>
        <w:trPr>
          <w:cantSplit/>
        </w:trPr>
        <w:tc>
          <w:tcPr>
            <w:tcW w:type="dxa" w:w="1814"/>
            <w:vAlign w:val="top"/>
            <w:tcMar>
              <w:top w:w="90" w:type="dxa"/>
              <w:start w:w="100" w:type="dxa"/>
              <w:bottom w:w="90" w:type="dxa"/>
              <w:end w:w="100" w:type="dxa"/>
            </w:tcMar>
          </w:tcPr>
          <w:p>
            <w:pPr>
              <w:spacing w:after="0"/>
            </w:pPr>
            <w:r>
              <w:rPr>
                <w:sz w:val="16"/>
              </w:rPr>
              <w:t>Ordinal/label codes</w:t>
            </w:r>
          </w:p>
        </w:tc>
        <w:tc>
          <w:tcPr>
            <w:tcW w:type="dxa" w:w="2608"/>
            <w:vAlign w:val="top"/>
            <w:tcMar>
              <w:top w:w="90" w:type="dxa"/>
              <w:start w:w="100" w:type="dxa"/>
              <w:bottom w:w="90" w:type="dxa"/>
              <w:end w:w="100" w:type="dxa"/>
            </w:tcMar>
          </w:tcPr>
          <w:p>
            <w:pPr>
              <w:spacing w:after="0"/>
            </w:pPr>
            <w:r>
              <w:rPr>
                <w:sz w:val="16"/>
              </w:rPr>
              <w:t>Maps tokens to integers</w:t>
            </w:r>
          </w:p>
        </w:tc>
        <w:tc>
          <w:tcPr>
            <w:tcW w:type="dxa" w:w="2381"/>
            <w:vAlign w:val="top"/>
            <w:tcMar>
              <w:top w:w="90" w:type="dxa"/>
              <w:start w:w="100" w:type="dxa"/>
              <w:bottom w:w="90" w:type="dxa"/>
              <w:end w:w="100" w:type="dxa"/>
            </w:tcMar>
          </w:tcPr>
          <w:p>
            <w:pPr>
              <w:spacing w:after="0"/>
            </w:pPr>
            <w:r>
              <w:rPr>
                <w:sz w:val="16"/>
              </w:rPr>
              <w:t>Tree models when codes are treated categorically</w:t>
            </w:r>
          </w:p>
        </w:tc>
        <w:tc>
          <w:tcPr>
            <w:tcW w:type="dxa" w:w="2268"/>
            <w:vAlign w:val="top"/>
            <w:tcMar>
              <w:top w:w="90" w:type="dxa"/>
              <w:start w:w="100" w:type="dxa"/>
              <w:bottom w:w="90" w:type="dxa"/>
              <w:end w:w="100" w:type="dxa"/>
            </w:tcMar>
          </w:tcPr>
          <w:p>
            <w:pPr>
              <w:spacing w:after="0"/>
            </w:pPr>
            <w:r>
              <w:rPr>
                <w:sz w:val="16"/>
              </w:rPr>
              <w:t>Integers must not imply false order</w:t>
            </w:r>
          </w:p>
        </w:tc>
      </w:tr>
      <w:tr>
        <w:trPr>
          <w:cantSplit/>
        </w:trPr>
        <w:tc>
          <w:tcPr>
            <w:tcW w:type="dxa" w:w="1814"/>
            <w:vAlign w:val="top"/>
            <w:tcMar>
              <w:top w:w="90" w:type="dxa"/>
              <w:start w:w="100" w:type="dxa"/>
              <w:bottom w:w="90" w:type="dxa"/>
              <w:end w:w="100" w:type="dxa"/>
            </w:tcMar>
          </w:tcPr>
          <w:p>
            <w:pPr>
              <w:spacing w:after="0"/>
            </w:pPr>
            <w:r>
              <w:rPr>
                <w:sz w:val="16"/>
              </w:rPr>
              <w:t>Frequency</w:t>
            </w:r>
          </w:p>
        </w:tc>
        <w:tc>
          <w:tcPr>
            <w:tcW w:type="dxa" w:w="2608"/>
            <w:vAlign w:val="top"/>
            <w:tcMar>
              <w:top w:w="90" w:type="dxa"/>
              <w:start w:w="100" w:type="dxa"/>
              <w:bottom w:w="90" w:type="dxa"/>
              <w:end w:w="100" w:type="dxa"/>
            </w:tcMar>
          </w:tcPr>
          <w:p>
            <w:pPr>
              <w:spacing w:after="0"/>
            </w:pPr>
            <w:r>
              <w:rPr>
                <w:sz w:val="16"/>
              </w:rPr>
              <w:t>Uses category count or frequency</w:t>
            </w:r>
          </w:p>
        </w:tc>
        <w:tc>
          <w:tcPr>
            <w:tcW w:type="dxa" w:w="2381"/>
            <w:vAlign w:val="top"/>
            <w:tcMar>
              <w:top w:w="90" w:type="dxa"/>
              <w:start w:w="100" w:type="dxa"/>
              <w:bottom w:w="90" w:type="dxa"/>
              <w:end w:w="100" w:type="dxa"/>
            </w:tcMar>
          </w:tcPr>
          <w:p>
            <w:pPr>
              <w:spacing w:after="0"/>
            </w:pPr>
            <w:r>
              <w:rPr>
                <w:sz w:val="16"/>
              </w:rPr>
              <w:t>Large sparse tables and stable frequencies</w:t>
            </w:r>
          </w:p>
        </w:tc>
        <w:tc>
          <w:tcPr>
            <w:tcW w:type="dxa" w:w="2268"/>
            <w:vAlign w:val="top"/>
            <w:tcMar>
              <w:top w:w="90" w:type="dxa"/>
              <w:start w:w="100" w:type="dxa"/>
              <w:bottom w:w="90" w:type="dxa"/>
              <w:end w:w="100" w:type="dxa"/>
            </w:tcMar>
          </w:tcPr>
          <w:p>
            <w:pPr>
              <w:spacing w:after="0"/>
            </w:pPr>
            <w:r>
              <w:rPr>
                <w:sz w:val="16"/>
              </w:rPr>
              <w:t>Loses category identity and may drift</w:t>
            </w:r>
          </w:p>
        </w:tc>
      </w:tr>
      <w:tr>
        <w:trPr>
          <w:cantSplit/>
        </w:trPr>
        <w:tc>
          <w:tcPr>
            <w:tcW w:type="dxa" w:w="1814"/>
            <w:vAlign w:val="top"/>
            <w:tcMar>
              <w:top w:w="90" w:type="dxa"/>
              <w:start w:w="100" w:type="dxa"/>
              <w:bottom w:w="90" w:type="dxa"/>
              <w:end w:w="100" w:type="dxa"/>
            </w:tcMar>
          </w:tcPr>
          <w:p>
            <w:pPr>
              <w:spacing w:after="0"/>
            </w:pPr>
            <w:r>
              <w:rPr>
                <w:sz w:val="16"/>
              </w:rPr>
              <w:t>Target encoding</w:t>
            </w:r>
          </w:p>
        </w:tc>
        <w:tc>
          <w:tcPr>
            <w:tcW w:type="dxa" w:w="2608"/>
            <w:vAlign w:val="top"/>
            <w:tcMar>
              <w:top w:w="90" w:type="dxa"/>
              <w:start w:w="100" w:type="dxa"/>
              <w:bottom w:w="90" w:type="dxa"/>
              <w:end w:w="100" w:type="dxa"/>
            </w:tcMar>
          </w:tcPr>
          <w:p>
            <w:pPr>
              <w:spacing w:after="0"/>
            </w:pPr>
            <w:r>
              <w:rPr>
                <w:sz w:val="16"/>
              </w:rPr>
              <w:t>Uses target rate for a category</w:t>
            </w:r>
          </w:p>
        </w:tc>
        <w:tc>
          <w:tcPr>
            <w:tcW w:type="dxa" w:w="2381"/>
            <w:vAlign w:val="top"/>
            <w:tcMar>
              <w:top w:w="90" w:type="dxa"/>
              <w:start w:w="100" w:type="dxa"/>
              <w:bottom w:w="90" w:type="dxa"/>
              <w:end w:w="100" w:type="dxa"/>
            </w:tcMar>
          </w:tcPr>
          <w:p>
            <w:pPr>
              <w:spacing w:after="0"/>
            </w:pPr>
            <w:r>
              <w:rPr>
                <w:sz w:val="16"/>
              </w:rPr>
              <w:t>High-cardinality predictive categories</w:t>
            </w:r>
          </w:p>
        </w:tc>
        <w:tc>
          <w:tcPr>
            <w:tcW w:type="dxa" w:w="2268"/>
            <w:vAlign w:val="top"/>
            <w:tcMar>
              <w:top w:w="90" w:type="dxa"/>
              <w:start w:w="100" w:type="dxa"/>
              <w:bottom w:w="90" w:type="dxa"/>
              <w:end w:w="100" w:type="dxa"/>
            </w:tcMar>
          </w:tcPr>
          <w:p>
            <w:pPr>
              <w:spacing w:after="0"/>
            </w:pPr>
            <w:r>
              <w:rPr>
                <w:sz w:val="16"/>
              </w:rPr>
              <w:t>Severe leakage unless fitted out-of-fold</w:t>
            </w:r>
          </w:p>
        </w:tc>
      </w:tr>
      <w:tr>
        <w:trPr>
          <w:cantSplit/>
        </w:trPr>
        <w:tc>
          <w:tcPr>
            <w:tcW w:type="dxa" w:w="1814"/>
            <w:vAlign w:val="top"/>
            <w:tcMar>
              <w:top w:w="90" w:type="dxa"/>
              <w:start w:w="100" w:type="dxa"/>
              <w:bottom w:w="90" w:type="dxa"/>
              <w:end w:w="100" w:type="dxa"/>
            </w:tcMar>
          </w:tcPr>
          <w:p>
            <w:pPr>
              <w:spacing w:after="0"/>
            </w:pPr>
            <w:r>
              <w:rPr>
                <w:sz w:val="16"/>
              </w:rPr>
              <w:t>Hashing</w:t>
            </w:r>
          </w:p>
        </w:tc>
        <w:tc>
          <w:tcPr>
            <w:tcW w:type="dxa" w:w="2608"/>
            <w:vAlign w:val="top"/>
            <w:tcMar>
              <w:top w:w="90" w:type="dxa"/>
              <w:start w:w="100" w:type="dxa"/>
              <w:bottom w:w="90" w:type="dxa"/>
              <w:end w:w="100" w:type="dxa"/>
            </w:tcMar>
          </w:tcPr>
          <w:p>
            <w:pPr>
              <w:spacing w:after="0"/>
            </w:pPr>
            <w:r>
              <w:rPr>
                <w:sz w:val="16"/>
              </w:rPr>
              <w:t>Maps categories into fixed buckets</w:t>
            </w:r>
          </w:p>
        </w:tc>
        <w:tc>
          <w:tcPr>
            <w:tcW w:type="dxa" w:w="2381"/>
            <w:vAlign w:val="top"/>
            <w:tcMar>
              <w:top w:w="90" w:type="dxa"/>
              <w:start w:w="100" w:type="dxa"/>
              <w:bottom w:w="90" w:type="dxa"/>
              <w:end w:w="100" w:type="dxa"/>
            </w:tcMar>
          </w:tcPr>
          <w:p>
            <w:pPr>
              <w:spacing w:after="0"/>
            </w:pPr>
            <w:r>
              <w:rPr>
                <w:sz w:val="16"/>
              </w:rPr>
              <w:t>Very high cardinality and streaming</w:t>
            </w:r>
          </w:p>
        </w:tc>
        <w:tc>
          <w:tcPr>
            <w:tcW w:type="dxa" w:w="2268"/>
            <w:vAlign w:val="top"/>
            <w:tcMar>
              <w:top w:w="90" w:type="dxa"/>
              <w:start w:w="100" w:type="dxa"/>
              <w:bottom w:w="90" w:type="dxa"/>
              <w:end w:w="100" w:type="dxa"/>
            </w:tcMar>
          </w:tcPr>
          <w:p>
            <w:pPr>
              <w:spacing w:after="0"/>
            </w:pPr>
            <w:r>
              <w:rPr>
                <w:sz w:val="16"/>
              </w:rPr>
              <w:t>Collisions reduce interpretability</w:t>
            </w:r>
          </w:p>
        </w:tc>
      </w:tr>
      <w:tr>
        <w:trPr>
          <w:cantSplit/>
        </w:trPr>
        <w:tc>
          <w:tcPr>
            <w:tcW w:type="dxa" w:w="1814"/>
            <w:vAlign w:val="top"/>
            <w:tcMar>
              <w:top w:w="90" w:type="dxa"/>
              <w:start w:w="100" w:type="dxa"/>
              <w:bottom w:w="90" w:type="dxa"/>
              <w:end w:w="100" w:type="dxa"/>
            </w:tcMar>
          </w:tcPr>
          <w:p>
            <w:pPr>
              <w:spacing w:after="0"/>
            </w:pPr>
            <w:r>
              <w:rPr>
                <w:sz w:val="16"/>
              </w:rPr>
              <w:t>Native categorical model</w:t>
            </w:r>
          </w:p>
        </w:tc>
        <w:tc>
          <w:tcPr>
            <w:tcW w:type="dxa" w:w="2608"/>
            <w:vAlign w:val="top"/>
            <w:tcMar>
              <w:top w:w="90" w:type="dxa"/>
              <w:start w:w="100" w:type="dxa"/>
              <w:bottom w:w="90" w:type="dxa"/>
              <w:end w:w="100" w:type="dxa"/>
            </w:tcMar>
          </w:tcPr>
          <w:p>
            <w:pPr>
              <w:spacing w:after="0"/>
            </w:pPr>
            <w:r>
              <w:rPr>
                <w:sz w:val="16"/>
              </w:rPr>
              <w:t>Model handles category structure internally</w:t>
            </w:r>
          </w:p>
        </w:tc>
        <w:tc>
          <w:tcPr>
            <w:tcW w:type="dxa" w:w="2381"/>
            <w:vAlign w:val="top"/>
            <w:tcMar>
              <w:top w:w="90" w:type="dxa"/>
              <w:start w:w="100" w:type="dxa"/>
              <w:bottom w:w="90" w:type="dxa"/>
              <w:end w:w="100" w:type="dxa"/>
            </w:tcMar>
          </w:tcPr>
          <w:p>
            <w:pPr>
              <w:spacing w:after="0"/>
            </w:pPr>
            <w:r>
              <w:rPr>
                <w:sz w:val="16"/>
              </w:rPr>
              <w:t>CatBoost or compatible boosting workflows</w:t>
            </w:r>
          </w:p>
        </w:tc>
        <w:tc>
          <w:tcPr>
            <w:tcW w:type="dxa" w:w="2268"/>
            <w:vAlign w:val="top"/>
            <w:tcMar>
              <w:top w:w="90" w:type="dxa"/>
              <w:start w:w="100" w:type="dxa"/>
              <w:bottom w:w="90" w:type="dxa"/>
              <w:end w:w="100" w:type="dxa"/>
            </w:tcMar>
          </w:tcPr>
          <w:p>
            <w:pPr>
              <w:spacing w:after="0"/>
            </w:pPr>
            <w:r>
              <w:rPr>
                <w:sz w:val="16"/>
              </w:rPr>
              <w:t>Correct dtype and unseen-level policy still needed</w:t>
            </w:r>
          </w:p>
        </w:tc>
      </w:tr>
    </w:tbl>
    <w:p/>
    <w:p>
      <w:pPr>
        <w:pStyle w:val="Heading1"/>
        <w:keepNext/>
      </w:pPr>
      <w:r>
        <w:t>10.4 Missing is often a category of its own</w:t>
      </w:r>
    </w:p>
    <w:p>
      <w:r>
        <w:t>For categorical features, NaN may be more informative than any observed token because it can indicate that the part did not receive that test or did not follow that route. A practical pipeline often maps missing to a dedicated token such as __MISSING__ before encoding, while keeping the interpretation cautious.</w:t>
      </w:r>
    </w:p>
    <w:p>
      <w:r>
        <w:rPr>
          <w:b/>
          <w:color w:val="1F4E79"/>
        </w:rPr>
        <w:t>Explicit missing and unseen handling</w:t>
      </w:r>
    </w:p>
    <w:tbl>
      <w:tblPr>
        <w:tblW w:type="auto" w:w="0"/>
        <w:jc w:val="center"/>
        <w:tblLook w:firstColumn="1" w:firstRow="1" w:lastColumn="0" w:lastRow="0" w:noHBand="0" w:noVBand="1" w:val="04A0"/>
      </w:tblPr>
      <w:tblGrid>
        <w:gridCol w:w="9525"/>
      </w:tblGrid>
      <w:tr>
        <w:trPr>
          <w:cantSplit/>
        </w:trPr>
        <w:tc>
          <w:tcPr>
            <w:tcW w:type="dxa" w:w="9525"/>
            <w:shd w:fill="F2F2F2"/>
            <w:tcMar>
              <w:top w:w="160" w:type="dxa"/>
              <w:start w:w="180" w:type="dxa"/>
              <w:bottom w:w="160" w:type="dxa"/>
              <w:end w:w="180" w:type="dxa"/>
            </w:tcMar>
          </w:tcPr>
          <w:p>
            <w:pPr>
              <w:spacing w:after="0"/>
            </w:pPr>
            <w:r>
              <w:rPr>
                <w:rFonts w:ascii="Consolas" w:hAnsi="Consolas" w:eastAsia="Consolas"/>
                <w:sz w:val="17"/>
              </w:rPr>
              <w:t>train[col] = train[col].astype("string").fillna("__MISSING__")</w:t>
            </w:r>
            <w:r>
              <w:br/>
            </w:r>
            <w:r>
              <w:rPr>
                <w:rFonts w:ascii="Consolas" w:hAnsi="Consolas" w:eastAsia="Consolas"/>
                <w:sz w:val="17"/>
              </w:rPr>
              <w:t>valid[col] = valid[col].astype("string").fillna("__MISSING__")</w:t>
            </w:r>
            <w:r>
              <w:br/>
            </w:r>
            <w:r>
              <w:rPr>
                <w:rFonts w:ascii="Consolas" w:hAnsi="Consolas" w:eastAsia="Consolas"/>
                <w:sz w:val="17"/>
              </w:rPr>
            </w:r>
            <w:r>
              <w:br/>
            </w:r>
            <w:r>
              <w:rPr>
                <w:rFonts w:ascii="Consolas" w:hAnsi="Consolas" w:eastAsia="Consolas"/>
                <w:sz w:val="17"/>
              </w:rPr>
              <w:t>known = set(train[col].unique())</w:t>
            </w:r>
            <w:r>
              <w:br/>
            </w:r>
            <w:r>
              <w:rPr>
                <w:rFonts w:ascii="Consolas" w:hAnsi="Consolas" w:eastAsia="Consolas"/>
                <w:sz w:val="17"/>
              </w:rPr>
              <w:t>valid[col] = valid[col].where(valid[col].isin(known), "__UNSEEN__")</w:t>
            </w:r>
          </w:p>
        </w:tc>
      </w:tr>
    </w:tbl>
    <w:p/>
    <w:p>
      <w:pPr>
        <w:pStyle w:val="Heading1"/>
        <w:keepNext/>
      </w:pPr>
      <w:r>
        <w:t>10.5 Unseen categories</w:t>
      </w:r>
    </w:p>
    <w:p>
      <w:r>
        <w:t>A validation, test, or future production record may contain a token that was absent from the training data. A robust encoder needs a defined policy. OneHotEncoder can ignore unknown levels, ordinal encoders can reserve a code, and native categorical models have their own behavior. The important requirement is that unseen values do not crash the scoring pipeline or silently change the feature layout.</w:t>
      </w:r>
    </w:p>
    <w:p>
      <w:pPr>
        <w:pStyle w:val="Heading1"/>
        <w:keepNext/>
      </w:pPr>
      <w:r>
        <w:t>10.6 Rare categories and statistical instability</w:t>
      </w:r>
    </w:p>
    <w:p>
      <w:r>
        <w:t>A category observed in only a few parts can show an extreme failure rate by chance. This is especially dangerous when the overall failure class is rare. A category with two parts and one failure has a 50% observed failure rate, but that does not make it a reliable engineering signal. Minimum support, smoothing, cross-validation, and confidence intervals help prevent overreaction.</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blHeader/>
          <w:cantSplit/>
        </w:trPr>
        <w:tc>
          <w:tcPr>
            <w:tcW w:type="dxa" w:w="1247"/>
            <w:shd w:fill="1F4E79"/>
            <w:vAlign w:val="center"/>
          </w:tcPr>
          <w:p>
            <w:r>
              <w:rPr>
                <w:b/>
                <w:color w:val="FFFFFF"/>
                <w:sz w:val="19"/>
              </w:rPr>
              <w:t>Category</w:t>
            </w:r>
          </w:p>
        </w:tc>
        <w:tc>
          <w:tcPr>
            <w:tcW w:type="dxa" w:w="1304"/>
            <w:shd w:fill="1F4E79"/>
            <w:vAlign w:val="center"/>
          </w:tcPr>
          <w:p>
            <w:r>
              <w:rPr>
                <w:b/>
                <w:color w:val="FFFFFF"/>
                <w:sz w:val="19"/>
              </w:rPr>
              <w:t>Parts</w:t>
            </w:r>
          </w:p>
        </w:tc>
        <w:tc>
          <w:tcPr>
            <w:tcW w:type="dxa" w:w="1304"/>
            <w:shd w:fill="1F4E79"/>
            <w:vAlign w:val="center"/>
          </w:tcPr>
          <w:p>
            <w:r>
              <w:rPr>
                <w:b/>
                <w:color w:val="FFFFFF"/>
                <w:sz w:val="19"/>
              </w:rPr>
              <w:t>Failures</w:t>
            </w:r>
          </w:p>
        </w:tc>
        <w:tc>
          <w:tcPr>
            <w:tcW w:type="dxa" w:w="1814"/>
            <w:shd w:fill="1F4E79"/>
            <w:vAlign w:val="center"/>
          </w:tcPr>
          <w:p>
            <w:r>
              <w:rPr>
                <w:b/>
                <w:color w:val="FFFFFF"/>
                <w:sz w:val="19"/>
              </w:rPr>
              <w:t>Observed failure rate</w:t>
            </w:r>
          </w:p>
        </w:tc>
        <w:tc>
          <w:tcPr>
            <w:tcW w:type="dxa" w:w="3061"/>
            <w:shd w:fill="1F4E79"/>
            <w:vAlign w:val="center"/>
          </w:tcPr>
          <w:p>
            <w:r>
              <w:rPr>
                <w:b/>
                <w:color w:val="FFFFFF"/>
                <w:sz w:val="19"/>
              </w:rPr>
              <w:t>Interpretation</w:t>
            </w:r>
          </w:p>
        </w:tc>
      </w:tr>
      <w:tr>
        <w:trPr>
          <w:cantSplit/>
        </w:trPr>
        <w:tc>
          <w:tcPr>
            <w:tcW w:type="dxa" w:w="1247"/>
            <w:vAlign w:val="top"/>
            <w:tcMar>
              <w:top w:w="90" w:type="dxa"/>
              <w:start w:w="100" w:type="dxa"/>
              <w:bottom w:w="90" w:type="dxa"/>
              <w:end w:w="100" w:type="dxa"/>
            </w:tcMar>
          </w:tcPr>
          <w:p>
            <w:pPr>
              <w:spacing w:after="0"/>
            </w:pPr>
            <w:r>
              <w:rPr>
                <w:sz w:val="18"/>
              </w:rPr>
              <w:t>T2</w:t>
            </w:r>
          </w:p>
        </w:tc>
        <w:tc>
          <w:tcPr>
            <w:tcW w:type="dxa" w:w="1304"/>
            <w:vAlign w:val="top"/>
            <w:tcMar>
              <w:top w:w="90" w:type="dxa"/>
              <w:start w:w="100" w:type="dxa"/>
              <w:bottom w:w="90" w:type="dxa"/>
              <w:end w:w="100" w:type="dxa"/>
            </w:tcMar>
          </w:tcPr>
          <w:p>
            <w:pPr>
              <w:spacing w:after="0"/>
            </w:pPr>
            <w:r>
              <w:rPr>
                <w:sz w:val="18"/>
              </w:rPr>
              <w:t>4,136</w:t>
            </w:r>
          </w:p>
        </w:tc>
        <w:tc>
          <w:tcPr>
            <w:tcW w:type="dxa" w:w="1304"/>
            <w:vAlign w:val="top"/>
            <w:tcMar>
              <w:top w:w="90" w:type="dxa"/>
              <w:start w:w="100" w:type="dxa"/>
              <w:bottom w:w="90" w:type="dxa"/>
              <w:end w:w="100" w:type="dxa"/>
            </w:tcMar>
          </w:tcPr>
          <w:p>
            <w:pPr>
              <w:spacing w:after="0"/>
            </w:pPr>
            <w:r>
              <w:rPr>
                <w:sz w:val="18"/>
              </w:rPr>
              <w:t>667</w:t>
            </w:r>
          </w:p>
        </w:tc>
        <w:tc>
          <w:tcPr>
            <w:tcW w:type="dxa" w:w="1814"/>
            <w:vAlign w:val="top"/>
            <w:tcMar>
              <w:top w:w="90" w:type="dxa"/>
              <w:start w:w="100" w:type="dxa"/>
              <w:bottom w:w="90" w:type="dxa"/>
              <w:end w:w="100" w:type="dxa"/>
            </w:tcMar>
          </w:tcPr>
          <w:p>
            <w:pPr>
              <w:spacing w:after="0"/>
            </w:pPr>
            <w:r>
              <w:rPr>
                <w:sz w:val="18"/>
              </w:rPr>
              <w:t>16.13%</w:t>
            </w:r>
          </w:p>
        </w:tc>
        <w:tc>
          <w:tcPr>
            <w:tcW w:type="dxa" w:w="3061"/>
            <w:vAlign w:val="top"/>
            <w:tcMar>
              <w:top w:w="90" w:type="dxa"/>
              <w:start w:w="100" w:type="dxa"/>
              <w:bottom w:w="90" w:type="dxa"/>
              <w:end w:w="100" w:type="dxa"/>
            </w:tcMar>
          </w:tcPr>
          <w:p>
            <w:pPr>
              <w:spacing w:after="0"/>
            </w:pPr>
            <w:r>
              <w:rPr>
                <w:sz w:val="18"/>
              </w:rPr>
              <w:t>Strong association worth validation</w:t>
            </w:r>
          </w:p>
        </w:tc>
      </w:tr>
      <w:tr>
        <w:trPr>
          <w:cantSplit/>
        </w:trPr>
        <w:tc>
          <w:tcPr>
            <w:tcW w:type="dxa" w:w="1247"/>
            <w:vAlign w:val="top"/>
            <w:tcMar>
              <w:top w:w="90" w:type="dxa"/>
              <w:start w:w="100" w:type="dxa"/>
              <w:bottom w:w="90" w:type="dxa"/>
              <w:end w:w="100" w:type="dxa"/>
            </w:tcMar>
          </w:tcPr>
          <w:p>
            <w:pPr>
              <w:spacing w:after="0"/>
            </w:pPr>
            <w:r>
              <w:rPr>
                <w:sz w:val="18"/>
              </w:rPr>
              <w:t>T99</w:t>
            </w:r>
          </w:p>
        </w:tc>
        <w:tc>
          <w:tcPr>
            <w:tcW w:type="dxa" w:w="1304"/>
            <w:vAlign w:val="top"/>
            <w:tcMar>
              <w:top w:w="90" w:type="dxa"/>
              <w:start w:w="100" w:type="dxa"/>
              <w:bottom w:w="90" w:type="dxa"/>
              <w:end w:w="100" w:type="dxa"/>
            </w:tcMar>
          </w:tcPr>
          <w:p>
            <w:pPr>
              <w:spacing w:after="0"/>
            </w:pPr>
            <w:r>
              <w:rPr>
                <w:sz w:val="18"/>
              </w:rPr>
              <w:t>2</w:t>
            </w:r>
          </w:p>
        </w:tc>
        <w:tc>
          <w:tcPr>
            <w:tcW w:type="dxa" w:w="1304"/>
            <w:vAlign w:val="top"/>
            <w:tcMar>
              <w:top w:w="90" w:type="dxa"/>
              <w:start w:w="100" w:type="dxa"/>
              <w:bottom w:w="90" w:type="dxa"/>
              <w:end w:w="100" w:type="dxa"/>
            </w:tcMar>
          </w:tcPr>
          <w:p>
            <w:pPr>
              <w:spacing w:after="0"/>
            </w:pPr>
            <w:r>
              <w:rPr>
                <w:sz w:val="18"/>
              </w:rPr>
              <w:t>1</w:t>
            </w:r>
          </w:p>
        </w:tc>
        <w:tc>
          <w:tcPr>
            <w:tcW w:type="dxa" w:w="1814"/>
            <w:vAlign w:val="top"/>
            <w:tcMar>
              <w:top w:w="90" w:type="dxa"/>
              <w:start w:w="100" w:type="dxa"/>
              <w:bottom w:w="90" w:type="dxa"/>
              <w:end w:w="100" w:type="dxa"/>
            </w:tcMar>
          </w:tcPr>
          <w:p>
            <w:pPr>
              <w:spacing w:after="0"/>
            </w:pPr>
            <w:r>
              <w:rPr>
                <w:sz w:val="18"/>
              </w:rPr>
              <w:t>50.00%</w:t>
            </w:r>
          </w:p>
        </w:tc>
        <w:tc>
          <w:tcPr>
            <w:tcW w:type="dxa" w:w="3061"/>
            <w:vAlign w:val="top"/>
            <w:tcMar>
              <w:top w:w="90" w:type="dxa"/>
              <w:start w:w="100" w:type="dxa"/>
              <w:bottom w:w="90" w:type="dxa"/>
              <w:end w:w="100" w:type="dxa"/>
            </w:tcMar>
          </w:tcPr>
          <w:p>
            <w:pPr>
              <w:spacing w:after="0"/>
            </w:pPr>
            <w:r>
              <w:rPr>
                <w:sz w:val="18"/>
              </w:rPr>
              <w:t>Too little support for a stable conclusion</w:t>
            </w:r>
          </w:p>
        </w:tc>
      </w:tr>
      <w:tr>
        <w:trPr>
          <w:cantSplit/>
        </w:trPr>
        <w:tc>
          <w:tcPr>
            <w:tcW w:type="dxa" w:w="1247"/>
            <w:vAlign w:val="top"/>
            <w:tcMar>
              <w:top w:w="90" w:type="dxa"/>
              <w:start w:w="100" w:type="dxa"/>
              <w:bottom w:w="90" w:type="dxa"/>
              <w:end w:w="100" w:type="dxa"/>
            </w:tcMar>
          </w:tcPr>
          <w:p>
            <w:pPr>
              <w:spacing w:after="0"/>
            </w:pPr>
            <w:r>
              <w:rPr>
                <w:sz w:val="18"/>
              </w:rPr>
              <w:t>T3</w:t>
            </w:r>
          </w:p>
        </w:tc>
        <w:tc>
          <w:tcPr>
            <w:tcW w:type="dxa" w:w="1304"/>
            <w:vAlign w:val="top"/>
            <w:tcMar>
              <w:top w:w="90" w:type="dxa"/>
              <w:start w:w="100" w:type="dxa"/>
              <w:bottom w:w="90" w:type="dxa"/>
              <w:end w:w="100" w:type="dxa"/>
            </w:tcMar>
          </w:tcPr>
          <w:p>
            <w:pPr>
              <w:spacing w:after="0"/>
            </w:pPr>
            <w:r>
              <w:rPr>
                <w:sz w:val="18"/>
              </w:rPr>
              <w:t>124,053</w:t>
            </w:r>
          </w:p>
        </w:tc>
        <w:tc>
          <w:tcPr>
            <w:tcW w:type="dxa" w:w="1304"/>
            <w:vAlign w:val="top"/>
            <w:tcMar>
              <w:top w:w="90" w:type="dxa"/>
              <w:start w:w="100" w:type="dxa"/>
              <w:bottom w:w="90" w:type="dxa"/>
              <w:end w:w="100" w:type="dxa"/>
            </w:tcMar>
          </w:tcPr>
          <w:p>
            <w:pPr>
              <w:spacing w:after="0"/>
            </w:pPr>
            <w:r>
              <w:rPr>
                <w:sz w:val="18"/>
              </w:rPr>
              <w:t>1,109</w:t>
            </w:r>
          </w:p>
        </w:tc>
        <w:tc>
          <w:tcPr>
            <w:tcW w:type="dxa" w:w="1814"/>
            <w:vAlign w:val="top"/>
            <w:tcMar>
              <w:top w:w="90" w:type="dxa"/>
              <w:start w:w="100" w:type="dxa"/>
              <w:bottom w:w="90" w:type="dxa"/>
              <w:end w:w="100" w:type="dxa"/>
            </w:tcMar>
          </w:tcPr>
          <w:p>
            <w:pPr>
              <w:spacing w:after="0"/>
            </w:pPr>
            <w:r>
              <w:rPr>
                <w:sz w:val="18"/>
              </w:rPr>
              <w:t>0.89%</w:t>
            </w:r>
          </w:p>
        </w:tc>
        <w:tc>
          <w:tcPr>
            <w:tcW w:type="dxa" w:w="3061"/>
            <w:vAlign w:val="top"/>
            <w:tcMar>
              <w:top w:w="90" w:type="dxa"/>
              <w:start w:w="100" w:type="dxa"/>
              <w:bottom w:w="90" w:type="dxa"/>
              <w:end w:w="100" w:type="dxa"/>
            </w:tcMar>
          </w:tcPr>
          <w:p>
            <w:pPr>
              <w:spacing w:after="0"/>
            </w:pPr>
            <w:r>
              <w:rPr>
                <w:sz w:val="18"/>
              </w:rPr>
              <w:t>Moderate lift with substantial support</w:t>
            </w:r>
          </w:p>
        </w:tc>
      </w:tr>
    </w:tbl>
    <w:p/>
    <w:tbl>
      <w:tblPr>
        <w:tblW w:type="auto" w:w="0"/>
        <w:jc w:val="center"/>
        <w:tblLook w:firstColumn="1" w:firstRow="1" w:lastColumn="0" w:lastRow="0" w:noHBand="0" w:noVBand="1" w:val="04A0"/>
      </w:tblPr>
      <w:tblGrid>
        <w:gridCol w:w="9525"/>
      </w:tblGrid>
      <w:tr>
        <w:trPr>
          <w:cantSplit/>
        </w:trPr>
        <w:tc>
          <w:tcPr>
            <w:tcW w:type="dxa" w:w="9525"/>
            <w:shd w:fill="E2F0D9"/>
            <w:tcMar>
              <w:top w:w="180" w:type="dxa"/>
              <w:start w:w="220" w:type="dxa"/>
              <w:bottom w:w="180" w:type="dxa"/>
              <w:end w:w="220" w:type="dxa"/>
            </w:tcMar>
          </w:tcPr>
          <w:p>
            <w:r>
              <w:rPr>
                <w:b/>
                <w:color w:val="1F4E79"/>
                <w:sz w:val="21"/>
              </w:rPr>
              <w:t>Project example</w:t>
              <w:br/>
            </w:r>
            <w:r>
              <w:rPr>
                <w:sz w:val="21"/>
              </w:rPr>
              <w:t>Phase 3 generated selected one-hot categorical levels and failure-rate reports. These reports are useful for discovering high-lift tokens, but support counts and out-of-sample validation must accompany every rate.</w:t>
            </w:r>
          </w:p>
        </w:tc>
      </w:tr>
    </w:tbl>
    <w:p>
      <w:pPr>
        <w:spacing w:after="0"/>
      </w:pPr>
    </w:p>
    <w:p>
      <w:pPr>
        <w:pStyle w:val="Heading1"/>
        <w:keepNext/>
      </w:pPr>
      <w:r>
        <w:t>10.7 Target encoding leakage example</w:t>
      </w:r>
    </w:p>
    <w:p>
      <w:r>
        <w:t>Suppose the target mean for T2 is calculated using every row, including the validation rows. The encoded feature now contains information from the validation labels. The model may appear unusually accurate because the validation target has leaked into the input. Correct target encoding calculates category statistics only from the training folds and applies them to held-out rows.</w:t>
      </w:r>
    </w:p>
    <w:p>
      <w:pPr>
        <w:ind w:left="369" w:hanging="255"/>
      </w:pPr>
      <w:r>
        <w:t>1.  Split training data into folds.</w:t>
      </w:r>
    </w:p>
    <w:p>
      <w:pPr>
        <w:ind w:left="369" w:hanging="255"/>
      </w:pPr>
      <w:r>
        <w:t>2.  For each fold, compute category statistics using the other folds only.</w:t>
      </w:r>
    </w:p>
    <w:p>
      <w:pPr>
        <w:ind w:left="369" w:hanging="255"/>
      </w:pPr>
      <w:r>
        <w:t>3.  Encode the held-out fold with those statistics.</w:t>
      </w:r>
    </w:p>
    <w:p>
      <w:pPr>
        <w:ind w:left="369" w:hanging="255"/>
      </w:pPr>
      <w:r>
        <w:t>4.  Use smoothing and a global prior for rare or unseen categories.</w:t>
      </w:r>
    </w:p>
    <w:p>
      <w:pPr>
        <w:ind w:left="369" w:hanging="255"/>
      </w:pPr>
      <w:r>
        <w:t>5.  Fit final mappings on the approved training data after model selection.</w:t>
      </w:r>
    </w:p>
    <w:p>
      <w:pPr>
        <w:pStyle w:val="Heading1"/>
        <w:keepNext/>
      </w:pPr>
      <w:r>
        <w:t>10.8 Interpretation language</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4082"/>
            <w:shd w:fill="1F4E79"/>
            <w:vAlign w:val="center"/>
          </w:tcPr>
          <w:p>
            <w:r>
              <w:rPr>
                <w:b/>
                <w:color w:val="FFFFFF"/>
                <w:sz w:val="19"/>
              </w:rPr>
              <w:t>Avoid</w:t>
            </w:r>
          </w:p>
        </w:tc>
        <w:tc>
          <w:tcPr>
            <w:tcW w:type="dxa" w:w="4649"/>
            <w:shd w:fill="1F4E79"/>
            <w:vAlign w:val="center"/>
          </w:tcPr>
          <w:p>
            <w:r>
              <w:rPr>
                <w:b/>
                <w:color w:val="FFFFFF"/>
                <w:sz w:val="19"/>
              </w:rPr>
              <w:t>Prefer</w:t>
            </w:r>
          </w:p>
        </w:tc>
      </w:tr>
      <w:tr>
        <w:trPr>
          <w:cantSplit/>
        </w:trPr>
        <w:tc>
          <w:tcPr>
            <w:tcW w:type="dxa" w:w="4082"/>
            <w:vAlign w:val="top"/>
            <w:tcMar>
              <w:top w:w="90" w:type="dxa"/>
              <w:start w:w="100" w:type="dxa"/>
              <w:bottom w:w="90" w:type="dxa"/>
              <w:end w:w="100" w:type="dxa"/>
            </w:tcMar>
          </w:tcPr>
          <w:p>
            <w:pPr>
              <w:spacing w:after="0"/>
            </w:pPr>
            <w:r>
              <w:rPr>
                <w:sz w:val="18"/>
              </w:rPr>
              <w:t>T2 is the defective machine mode.</w:t>
            </w:r>
          </w:p>
        </w:tc>
        <w:tc>
          <w:tcPr>
            <w:tcW w:type="dxa" w:w="4649"/>
            <w:vAlign w:val="top"/>
            <w:tcMar>
              <w:top w:w="90" w:type="dxa"/>
              <w:start w:w="100" w:type="dxa"/>
              <w:bottom w:w="90" w:type="dxa"/>
              <w:end w:w="100" w:type="dxa"/>
            </w:tcMar>
          </w:tcPr>
          <w:p>
            <w:pPr>
              <w:spacing w:after="0"/>
            </w:pPr>
            <w:r>
              <w:rPr>
                <w:sz w:val="18"/>
              </w:rPr>
              <w:t>T2 is an anonymous category associated with higher observed failure risk.</w:t>
            </w:r>
          </w:p>
        </w:tc>
      </w:tr>
      <w:tr>
        <w:trPr>
          <w:cantSplit/>
        </w:trPr>
        <w:tc>
          <w:tcPr>
            <w:tcW w:type="dxa" w:w="4082"/>
            <w:vAlign w:val="top"/>
            <w:tcMar>
              <w:top w:w="90" w:type="dxa"/>
              <w:start w:w="100" w:type="dxa"/>
              <w:bottom w:w="90" w:type="dxa"/>
              <w:end w:w="100" w:type="dxa"/>
            </w:tcMar>
          </w:tcPr>
          <w:p>
            <w:pPr>
              <w:spacing w:after="0"/>
            </w:pPr>
            <w:r>
              <w:rPr>
                <w:sz w:val="18"/>
              </w:rPr>
              <w:t>Missing means the station broke.</w:t>
            </w:r>
          </w:p>
        </w:tc>
        <w:tc>
          <w:tcPr>
            <w:tcW w:type="dxa" w:w="4649"/>
            <w:vAlign w:val="top"/>
            <w:tcMar>
              <w:top w:w="90" w:type="dxa"/>
              <w:start w:w="100" w:type="dxa"/>
              <w:bottom w:w="90" w:type="dxa"/>
              <w:end w:w="100" w:type="dxa"/>
            </w:tcMar>
          </w:tcPr>
          <w:p>
            <w:pPr>
              <w:spacing w:after="0"/>
            </w:pPr>
            <w:r>
              <w:rPr>
                <w:sz w:val="18"/>
              </w:rPr>
              <w:t>Missingness may reflect route, applicability, or recording differences.</w:t>
            </w:r>
          </w:p>
        </w:tc>
      </w:tr>
      <w:tr>
        <w:trPr>
          <w:cantSplit/>
        </w:trPr>
        <w:tc>
          <w:tcPr>
            <w:tcW w:type="dxa" w:w="4082"/>
            <w:vAlign w:val="top"/>
            <w:tcMar>
              <w:top w:w="90" w:type="dxa"/>
              <w:start w:w="100" w:type="dxa"/>
              <w:bottom w:w="90" w:type="dxa"/>
              <w:end w:w="100" w:type="dxa"/>
            </w:tcMar>
          </w:tcPr>
          <w:p>
            <w:pPr>
              <w:spacing w:after="0"/>
            </w:pPr>
            <w:r>
              <w:rPr>
                <w:sz w:val="18"/>
              </w:rPr>
              <w:t>This category causes failures.</w:t>
            </w:r>
          </w:p>
        </w:tc>
        <w:tc>
          <w:tcPr>
            <w:tcW w:type="dxa" w:w="4649"/>
            <w:vAlign w:val="top"/>
            <w:tcMar>
              <w:top w:w="90" w:type="dxa"/>
              <w:start w:w="100" w:type="dxa"/>
              <w:bottom w:w="90" w:type="dxa"/>
              <w:end w:w="100" w:type="dxa"/>
            </w:tcMar>
          </w:tcPr>
          <w:p>
            <w:pPr>
              <w:spacing w:after="0"/>
            </w:pPr>
            <w:r>
              <w:rPr>
                <w:sz w:val="18"/>
              </w:rPr>
              <w:t>This category is a predictive signal requiring engineering confirmation.</w:t>
            </w:r>
          </w:p>
        </w:tc>
      </w:tr>
      <w:tr>
        <w:trPr>
          <w:cantSplit/>
        </w:trPr>
        <w:tc>
          <w:tcPr>
            <w:tcW w:type="dxa" w:w="4082"/>
            <w:vAlign w:val="top"/>
            <w:tcMar>
              <w:top w:w="90" w:type="dxa"/>
              <w:start w:w="100" w:type="dxa"/>
              <w:bottom w:w="90" w:type="dxa"/>
              <w:end w:w="100" w:type="dxa"/>
            </w:tcMar>
          </w:tcPr>
          <w:p>
            <w:pPr>
              <w:spacing w:after="0"/>
            </w:pPr>
            <w:r>
              <w:rPr>
                <w:sz w:val="18"/>
              </w:rPr>
              <w:t>The code has an order because T16 &gt; T2.</w:t>
            </w:r>
          </w:p>
        </w:tc>
        <w:tc>
          <w:tcPr>
            <w:tcW w:type="dxa" w:w="4649"/>
            <w:vAlign w:val="top"/>
            <w:tcMar>
              <w:top w:w="90" w:type="dxa"/>
              <w:start w:w="100" w:type="dxa"/>
              <w:bottom w:w="90" w:type="dxa"/>
              <w:end w:w="100" w:type="dxa"/>
            </w:tcMar>
          </w:tcPr>
          <w:p>
            <w:pPr>
              <w:spacing w:after="0"/>
            </w:pPr>
            <w:r>
              <w:rPr>
                <w:sz w:val="18"/>
              </w:rPr>
              <w:t>Token numbers are identifiers unless an order is documented.</w:t>
            </w:r>
          </w:p>
        </w:tc>
      </w:tr>
    </w:tbl>
    <w:p/>
    <w:tbl>
      <w:tblPr>
        <w:tblW w:type="auto" w:w="0"/>
        <w:jc w:val="center"/>
        <w:tblLook w:firstColumn="1" w:firstRow="1" w:lastColumn="0" w:lastRow="0" w:noHBand="0" w:noVBand="1" w:val="04A0"/>
      </w:tblPr>
      <w:tblGrid>
        <w:gridCol w:w="9525"/>
      </w:tblGrid>
      <w:tr>
        <w:trPr>
          <w:cantSplit/>
        </w:trPr>
        <w:tc>
          <w:tcPr>
            <w:tcW w:type="dxa" w:w="9525"/>
            <w:shd w:fill="FCE4D6"/>
            <w:tcMar>
              <w:top w:w="180" w:type="dxa"/>
              <w:start w:w="220" w:type="dxa"/>
              <w:bottom w:w="180" w:type="dxa"/>
              <w:end w:w="220" w:type="dxa"/>
            </w:tcMar>
          </w:tcPr>
          <w:p>
            <w:r>
              <w:rPr>
                <w:b/>
                <w:color w:val="1F4E79"/>
                <w:sz w:val="21"/>
              </w:rPr>
              <w:t>Common beginner mistakes</w:t>
              <w:br/>
            </w:r>
            <w:r>
              <w:rPr>
                <w:sz w:val="21"/>
              </w:rPr>
              <w:t>• Treating category token numbers as ordered quantities.</w:t>
              <w:br/>
              <w:t>• One-hot encoding every level without considering memory.</w:t>
              <w:br/>
              <w:t>• Calculating target encoding on the full dataset.</w:t>
              <w:br/>
              <w:t>• Dropping missing categories even though they may encode route information.</w:t>
              <w:br/>
              <w:t>• Ignoring categories that appear only in validation, test, or production.</w:t>
            </w:r>
          </w:p>
        </w:tc>
      </w:tr>
    </w:tbl>
    <w:p>
      <w:pPr>
        <w:spacing w:after="0"/>
      </w:pPr>
    </w:p>
    <w:p>
      <w:pPr>
        <w:pStyle w:val="Heading2"/>
        <w:keepNext/>
      </w:pPr>
      <w:r>
        <w:t>Review questions</w:t>
      </w:r>
    </w:p>
    <w:p>
      <w:pPr>
        <w:ind w:left="369" w:hanging="255"/>
      </w:pPr>
      <w:r>
        <w:t>1.  How does a categorical token differ from a numerical value?</w:t>
      </w:r>
    </w:p>
    <w:p>
      <w:pPr>
        <w:ind w:left="369" w:hanging="255"/>
      </w:pPr>
      <w:r>
        <w:t>2.  Why is one-hot encoding difficult with thousands of sparse features?</w:t>
      </w:r>
    </w:p>
    <w:p>
      <w:pPr>
        <w:ind w:left="369" w:hanging="255"/>
      </w:pPr>
      <w:r>
        <w:t>3.  What is target leakage in target encoding?</w:t>
      </w:r>
    </w:p>
    <w:p>
      <w:pPr>
        <w:ind w:left="369" w:hanging="255"/>
      </w:pPr>
      <w:r>
        <w:t>4.  How should unseen categories be handled?</w:t>
      </w:r>
    </w:p>
    <w:p>
      <w:pPr>
        <w:ind w:left="369" w:hanging="255"/>
      </w:pPr>
      <w:r>
        <w:t>5.  Why should a high failure rate for a very rare category be treated cautiously?</w:t>
      </w:r>
    </w:p>
    <w:p>
      <w:pPr>
        <w:pStyle w:val="Heading2"/>
        <w:keepNext/>
      </w:pPr>
      <w:r>
        <w:t>Practice exercise</w:t>
      </w:r>
    </w:p>
    <w:p>
      <w:r>
        <w:t>Create a comparison table for one-hot, frequency, and target encoding for a hypothetical categorical column with 500 levels, 90% missing values, and a 0.58% target rate. Recommend one approach for logistic regression and another for CatBoost, explaining the leakage controls.</w:t>
      </w:r>
    </w:p>
    <w:tbl>
      <w:tblPr>
        <w:tblW w:type="auto" w:w="0"/>
        <w:jc w:val="center"/>
        <w:tblLook w:firstColumn="1" w:firstRow="1" w:lastColumn="0" w:lastRow="0" w:noHBand="0" w:noVBand="1" w:val="04A0"/>
      </w:tblPr>
      <w:tblGrid>
        <w:gridCol w:w="9525"/>
      </w:tblGrid>
      <w:tr>
        <w:trPr>
          <w:cantSplit/>
        </w:trPr>
        <w:tc>
          <w:tcPr>
            <w:tcW w:type="dxa" w:w="9525"/>
            <w:shd w:fill="E2F0D9"/>
            <w:tcMar>
              <w:top w:w="180" w:type="dxa"/>
              <w:start w:w="220" w:type="dxa"/>
              <w:bottom w:w="180" w:type="dxa"/>
              <w:end w:w="220" w:type="dxa"/>
            </w:tcMar>
          </w:tcPr>
          <w:p>
            <w:r>
              <w:rPr>
                <w:b/>
                <w:color w:val="1F4E79"/>
                <w:sz w:val="21"/>
              </w:rPr>
              <w:t>Chapter summary</w:t>
              <w:br/>
            </w:r>
            <w:r>
              <w:rPr>
                <w:sz w:val="21"/>
              </w:rPr>
              <w:t>• Categorical values are anonymous tokens attached to line/station feature columns.</w:t>
              <w:br/>
              <w:t>• The categorical table contains 2,140 features and is more than 97% missing.</w:t>
              <w:br/>
              <w:t>• Encoding choice affects memory, leakage, rare levels, and interpretability.</w:t>
              <w:br/>
              <w:t>• Missing and unseen categories require explicit policies.</w:t>
              <w:br/>
              <w:t>• Category associations are predictive evidence, not decoded engineering meanings.</w:t>
            </w:r>
          </w:p>
        </w:tc>
      </w:tr>
    </w:tbl>
    <w:p>
      <w:pPr>
        <w:spacing w:after="0"/>
      </w:pPr>
    </w:p>
    <w:p>
      <w:r>
        <w:br w:type="page"/>
      </w:r>
    </w:p>
    <w:p>
      <w:pPr>
        <w:pStyle w:val="Title"/>
      </w:pPr>
      <w:r>
        <w:t>Chapter 11: Date Features</w:t>
      </w:r>
    </w:p>
    <w:tbl>
      <w:tblPr>
        <w:tblW w:type="auto" w:w="0"/>
        <w:jc w:val="center"/>
        <w:tblLook w:firstColumn="1" w:firstRow="1" w:lastColumn="0" w:lastRow="0" w:noHBand="0" w:noVBand="1" w:val="04A0"/>
      </w:tblPr>
      <w:tblGrid>
        <w:gridCol w:w="9525"/>
      </w:tblGrid>
      <w:tr>
        <w:trPr>
          <w:cantSplit/>
        </w:trPr>
        <w:tc>
          <w:tcPr>
            <w:tcW w:type="dxa" w:w="9525"/>
            <w:shd w:fill="E4DFEC"/>
            <w:tcMar>
              <w:top w:w="180" w:type="dxa"/>
              <w:start w:w="220" w:type="dxa"/>
              <w:bottom w:w="180" w:type="dxa"/>
              <w:end w:w="220" w:type="dxa"/>
            </w:tcMar>
          </w:tcPr>
          <w:p>
            <w:r>
              <w:rPr>
                <w:b/>
                <w:color w:val="1F4E79"/>
                <w:sz w:val="21"/>
              </w:rPr>
              <w:t>Learning objectives</w:t>
              <w:br/>
            </w:r>
            <w:r>
              <w:rPr>
                <w:sz w:val="21"/>
              </w:rPr>
              <w:t>By the end of this chapter, the reader should be able to:</w:t>
              <w:br/>
              <w:t>• explain what the date columns record</w:t>
              <w:br/>
              <w:t>• relate date names to measurement feature numbers</w:t>
              <w:br/>
              <w:t>• derive safe temporal and station-presence features</w:t>
              <w:br/>
              <w:t>• distinguish observed measurement spans from verified cycle time or delay</w:t>
              <w:br/>
              <w:t>• recognize competition ordering effects and production leakage risks</w:t>
            </w:r>
          </w:p>
        </w:tc>
      </w:tr>
    </w:tbl>
    <w:p>
      <w:pPr>
        <w:spacing w:after="0"/>
      </w:pPr>
    </w:p>
    <w:p>
      <w:pPr>
        <w:pStyle w:val="Heading1"/>
        <w:keepNext/>
      </w:pPr>
      <w:r>
        <w:t>11.1 What a date feature represents</w:t>
      </w:r>
    </w:p>
    <w:p>
      <w:r>
        <w:t>The date files contain relative timestamps indicating when measurements were taken. The competition documentation gives a pairing convention: a date column number corresponds to the preceding measurement feature number. For example, L0_S0_D1 is the time at which L0_S0_F0 was taken [2].</w:t>
      </w:r>
    </w:p>
    <w:p>
      <w:pPr>
        <w:jc w:val="center"/>
      </w:pPr>
      <w:r>
        <w:drawing>
          <wp:inline xmlns:a="http://schemas.openxmlformats.org/drawingml/2006/main" xmlns:pic="http://schemas.openxmlformats.org/drawingml/2006/picture">
            <wp:extent cx="6126480" cy="3335528"/>
            <wp:docPr id="7" name="Picture 7"/>
            <wp:cNvGraphicFramePr>
              <a:graphicFrameLocks noChangeAspect="1"/>
            </wp:cNvGraphicFramePr>
            <a:graphic>
              <a:graphicData uri="http://schemas.openxmlformats.org/drawingml/2006/picture">
                <pic:pic>
                  <pic:nvPicPr>
                    <pic:cNvPr id="0" name="figure_11_1_date_pairing.png"/>
                    <pic:cNvPicPr/>
                  </pic:nvPicPr>
                  <pic:blipFill>
                    <a:blip r:embed="rId17"/>
                    <a:stretch>
                      <a:fillRect/>
                    </a:stretch>
                  </pic:blipFill>
                  <pic:spPr>
                    <a:xfrm>
                      <a:off x="0" y="0"/>
                      <a:ext cx="6126480" cy="3335528"/>
                    </a:xfrm>
                    <a:prstGeom prst="rect"/>
                  </pic:spPr>
                </pic:pic>
              </a:graphicData>
            </a:graphic>
          </wp:inline>
        </w:drawing>
      </w:r>
    </w:p>
    <w:p>
      <w:pPr>
        <w:pStyle w:val="Caption"/>
        <w:jc w:val="center"/>
      </w:pPr>
      <w:r>
        <w:t>Figure 11.1 - The date feature provides the relative time associated with a measurement feature.</w:t>
      </w:r>
    </w:p>
    <w:tbl>
      <w:tblPr>
        <w:tblW w:type="auto" w:w="0"/>
        <w:jc w:val="center"/>
        <w:tblLook w:firstColumn="1" w:firstRow="1" w:lastColumn="0" w:lastRow="0" w:noHBand="0" w:noVBand="1" w:val="04A0"/>
      </w:tblPr>
      <w:tblGrid>
        <w:gridCol w:w="9525"/>
      </w:tblGrid>
      <w:tr>
        <w:trPr>
          <w:cantSplit/>
        </w:trPr>
        <w:tc>
          <w:tcPr>
            <w:tcW w:type="dxa" w:w="9525"/>
            <w:shd w:fill="FCE4D6"/>
            <w:tcMar>
              <w:top w:w="180" w:type="dxa"/>
              <w:start w:w="220" w:type="dxa"/>
              <w:bottom w:w="180" w:type="dxa"/>
              <w:end w:w="220" w:type="dxa"/>
            </w:tcMar>
          </w:tcPr>
          <w:p>
            <w:r>
              <w:rPr>
                <w:b/>
                <w:color w:val="1F4E79"/>
                <w:sz w:val="21"/>
              </w:rPr>
              <w:t>Not a calendar date</w:t>
              <w:br/>
            </w:r>
            <w:r>
              <w:rPr>
                <w:sz w:val="21"/>
              </w:rPr>
              <w:t>The values are anonymized relative production times. They do not reveal the actual date, clock time, day of week, shift, month, or year. They should be analyzed as relative temporal coordinates, not as ordinary calendar timestamps.</w:t>
            </w:r>
          </w:p>
        </w:tc>
      </w:tr>
    </w:tbl>
    <w:p>
      <w:pPr>
        <w:spacing w:after="0"/>
      </w:pPr>
    </w:p>
    <w:p>
      <w:pPr>
        <w:pStyle w:val="Heading1"/>
        <w:keepNext/>
      </w:pPr>
      <w:r>
        <w:t>11.2 Date file scale</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3969"/>
            <w:shd w:fill="1F4E79"/>
            <w:vAlign w:val="center"/>
          </w:tcPr>
          <w:p>
            <w:r>
              <w:rPr>
                <w:b/>
                <w:color w:val="FFFFFF"/>
                <w:sz w:val="19"/>
              </w:rPr>
              <w:t>Item</w:t>
            </w:r>
          </w:p>
        </w:tc>
        <w:tc>
          <w:tcPr>
            <w:tcW w:type="dxa" w:w="4706"/>
            <w:shd w:fill="1F4E79"/>
            <w:vAlign w:val="center"/>
          </w:tcPr>
          <w:p>
            <w:r>
              <w:rPr>
                <w:b/>
                <w:color w:val="FFFFFF"/>
                <w:sz w:val="19"/>
              </w:rPr>
              <w:t>Training date table</w:t>
            </w:r>
          </w:p>
        </w:tc>
      </w:tr>
      <w:tr>
        <w:trPr>
          <w:cantSplit/>
        </w:trPr>
        <w:tc>
          <w:tcPr>
            <w:tcW w:type="dxa" w:w="3969"/>
            <w:vAlign w:val="top"/>
            <w:tcMar>
              <w:top w:w="90" w:type="dxa"/>
              <w:start w:w="100" w:type="dxa"/>
              <w:bottom w:w="90" w:type="dxa"/>
              <w:end w:w="100" w:type="dxa"/>
            </w:tcMar>
          </w:tcPr>
          <w:p>
            <w:pPr>
              <w:spacing w:after="0"/>
            </w:pPr>
            <w:r>
              <w:rPr>
                <w:sz w:val="18"/>
              </w:rPr>
              <w:t>Rows</w:t>
            </w:r>
          </w:p>
        </w:tc>
        <w:tc>
          <w:tcPr>
            <w:tcW w:type="dxa" w:w="4706"/>
            <w:vAlign w:val="top"/>
            <w:tcMar>
              <w:top w:w="90" w:type="dxa"/>
              <w:start w:w="100" w:type="dxa"/>
              <w:bottom w:w="90" w:type="dxa"/>
              <w:end w:w="100" w:type="dxa"/>
            </w:tcMar>
          </w:tcPr>
          <w:p>
            <w:pPr>
              <w:spacing w:after="0"/>
            </w:pPr>
            <w:r>
              <w:rPr>
                <w:sz w:val="18"/>
              </w:rPr>
              <w:t>1,183,747</w:t>
            </w:r>
          </w:p>
        </w:tc>
      </w:tr>
      <w:tr>
        <w:trPr>
          <w:cantSplit/>
        </w:trPr>
        <w:tc>
          <w:tcPr>
            <w:tcW w:type="dxa" w:w="3969"/>
            <w:vAlign w:val="top"/>
            <w:tcMar>
              <w:top w:w="90" w:type="dxa"/>
              <w:start w:w="100" w:type="dxa"/>
              <w:bottom w:w="90" w:type="dxa"/>
              <w:end w:w="100" w:type="dxa"/>
            </w:tcMar>
          </w:tcPr>
          <w:p>
            <w:pPr>
              <w:spacing w:after="0"/>
            </w:pPr>
            <w:r>
              <w:rPr>
                <w:sz w:val="18"/>
              </w:rPr>
              <w:t>Feature columns</w:t>
            </w:r>
          </w:p>
        </w:tc>
        <w:tc>
          <w:tcPr>
            <w:tcW w:type="dxa" w:w="4706"/>
            <w:vAlign w:val="top"/>
            <w:tcMar>
              <w:top w:w="90" w:type="dxa"/>
              <w:start w:w="100" w:type="dxa"/>
              <w:bottom w:w="90" w:type="dxa"/>
              <w:end w:w="100" w:type="dxa"/>
            </w:tcMar>
          </w:tcPr>
          <w:p>
            <w:pPr>
              <w:spacing w:after="0"/>
            </w:pPr>
            <w:r>
              <w:rPr>
                <w:sz w:val="18"/>
              </w:rPr>
              <w:t>1,156</w:t>
            </w:r>
          </w:p>
        </w:tc>
      </w:tr>
      <w:tr>
        <w:trPr>
          <w:cantSplit/>
        </w:trPr>
        <w:tc>
          <w:tcPr>
            <w:tcW w:type="dxa" w:w="3969"/>
            <w:vAlign w:val="top"/>
            <w:tcMar>
              <w:top w:w="90" w:type="dxa"/>
              <w:start w:w="100" w:type="dxa"/>
              <w:bottom w:w="90" w:type="dxa"/>
              <w:end w:w="100" w:type="dxa"/>
            </w:tcMar>
          </w:tcPr>
          <w:p>
            <w:pPr>
              <w:spacing w:after="0"/>
            </w:pPr>
            <w:r>
              <w:rPr>
                <w:sz w:val="18"/>
              </w:rPr>
              <w:t>Total columns</w:t>
            </w:r>
          </w:p>
        </w:tc>
        <w:tc>
          <w:tcPr>
            <w:tcW w:type="dxa" w:w="4706"/>
            <w:vAlign w:val="top"/>
            <w:tcMar>
              <w:top w:w="90" w:type="dxa"/>
              <w:start w:w="100" w:type="dxa"/>
              <w:bottom w:w="90" w:type="dxa"/>
              <w:end w:w="100" w:type="dxa"/>
            </w:tcMar>
          </w:tcPr>
          <w:p>
            <w:pPr>
              <w:spacing w:after="0"/>
            </w:pPr>
            <w:r>
              <w:rPr>
                <w:sz w:val="18"/>
              </w:rPr>
              <w:t>1,157 including Id</w:t>
            </w:r>
          </w:p>
        </w:tc>
      </w:tr>
      <w:tr>
        <w:trPr>
          <w:cantSplit/>
        </w:trPr>
        <w:tc>
          <w:tcPr>
            <w:tcW w:type="dxa" w:w="3969"/>
            <w:vAlign w:val="top"/>
            <w:tcMar>
              <w:top w:w="90" w:type="dxa"/>
              <w:start w:w="100" w:type="dxa"/>
              <w:bottom w:w="90" w:type="dxa"/>
              <w:end w:w="100" w:type="dxa"/>
            </w:tcMar>
          </w:tcPr>
          <w:p>
            <w:pPr>
              <w:spacing w:after="0"/>
            </w:pPr>
            <w:r>
              <w:rPr>
                <w:sz w:val="18"/>
              </w:rPr>
              <w:t>Approximate file size</w:t>
            </w:r>
          </w:p>
        </w:tc>
        <w:tc>
          <w:tcPr>
            <w:tcW w:type="dxa" w:w="4706"/>
            <w:vAlign w:val="top"/>
            <w:tcMar>
              <w:top w:w="90" w:type="dxa"/>
              <w:start w:w="100" w:type="dxa"/>
              <w:bottom w:w="90" w:type="dxa"/>
              <w:end w:w="100" w:type="dxa"/>
            </w:tcMar>
          </w:tcPr>
          <w:p>
            <w:pPr>
              <w:spacing w:after="0"/>
            </w:pPr>
            <w:r>
              <w:rPr>
                <w:sz w:val="18"/>
              </w:rPr>
              <w:t>2,759.33 MB</w:t>
            </w:r>
          </w:p>
        </w:tc>
      </w:tr>
      <w:tr>
        <w:trPr>
          <w:cantSplit/>
        </w:trPr>
        <w:tc>
          <w:tcPr>
            <w:tcW w:type="dxa" w:w="3969"/>
            <w:vAlign w:val="top"/>
            <w:tcMar>
              <w:top w:w="90" w:type="dxa"/>
              <w:start w:w="100" w:type="dxa"/>
              <w:bottom w:w="90" w:type="dxa"/>
              <w:end w:w="100" w:type="dxa"/>
            </w:tcMar>
          </w:tcPr>
          <w:p>
            <w:pPr>
              <w:spacing w:after="0"/>
            </w:pPr>
            <w:r>
              <w:rPr>
                <w:sz w:val="18"/>
              </w:rPr>
              <w:t>Missing cells</w:t>
            </w:r>
          </w:p>
        </w:tc>
        <w:tc>
          <w:tcPr>
            <w:tcW w:type="dxa" w:w="4706"/>
            <w:vAlign w:val="top"/>
            <w:tcMar>
              <w:top w:w="90" w:type="dxa"/>
              <w:start w:w="100" w:type="dxa"/>
              <w:bottom w:w="90" w:type="dxa"/>
              <w:end w:w="100" w:type="dxa"/>
            </w:tcMar>
          </w:tcPr>
          <w:p>
            <w:pPr>
              <w:spacing w:after="0"/>
            </w:pPr>
            <w:r>
              <w:rPr>
                <w:sz w:val="18"/>
              </w:rPr>
              <w:t>82.1725%</w:t>
            </w:r>
          </w:p>
        </w:tc>
      </w:tr>
    </w:tbl>
    <w:p/>
    <w:p>
      <w:r>
        <w:t>The date table is the largest single CSV by disk size in the project inventory. Many date columns at the same station can contain repeated or nearly repeated timestamps, because multiple measurements may be recorded at the same production step. Community solutions often compressed these columns into station-level temporal summaries [3][9].</w:t>
      </w:r>
    </w:p>
    <w:p>
      <w:pPr>
        <w:pStyle w:val="Heading1"/>
        <w:keepNext/>
      </w:pPr>
      <w:r>
        <w:t>11.3 Safe temporal features</w:t>
      </w:r>
    </w:p>
    <w:p>
      <w:r>
        <w:t>The project creates interpretable engineered fields from the raw date values. The names shown below were revised to prevent readers from treating relative timestamps as verified factory events.</w:t>
      </w:r>
    </w:p>
    <w:tbl>
      <w:tblPr>
        <w:tblStyle w:val="TableGrid"/>
        <w:tblW w:type="auto" w:w="0"/>
        <w:jc w:val="center"/>
        <w:tblLook w:firstColumn="1" w:firstRow="1" w:lastColumn="0" w:lastRow="0" w:noHBand="0" w:noVBand="1" w:val="04A0"/>
      </w:tblPr>
      <w:tblGrid>
        <w:gridCol w:w="2381"/>
        <w:gridCol w:w="2381"/>
        <w:gridCol w:w="2381"/>
        <w:gridCol w:w="2381"/>
      </w:tblGrid>
      <w:tr>
        <w:trPr>
          <w:tblHeader/>
          <w:cantSplit/>
        </w:trPr>
        <w:tc>
          <w:tcPr>
            <w:tcW w:type="dxa" w:w="1757"/>
            <w:shd w:fill="1F4E79"/>
            <w:vAlign w:val="center"/>
          </w:tcPr>
          <w:p>
            <w:r>
              <w:rPr>
                <w:b/>
                <w:color w:val="FFFFFF"/>
                <w:sz w:val="19"/>
              </w:rPr>
              <w:t>Stored feature key</w:t>
            </w:r>
          </w:p>
        </w:tc>
        <w:tc>
          <w:tcPr>
            <w:tcW w:type="dxa" w:w="2268"/>
            <w:shd w:fill="1F4E79"/>
            <w:vAlign w:val="center"/>
          </w:tcPr>
          <w:p>
            <w:r>
              <w:rPr>
                <w:b/>
                <w:color w:val="FFFFFF"/>
                <w:sz w:val="19"/>
              </w:rPr>
              <w:t>Reader-facing name</w:t>
            </w:r>
          </w:p>
        </w:tc>
        <w:tc>
          <w:tcPr>
            <w:tcW w:type="dxa" w:w="2608"/>
            <w:shd w:fill="1F4E79"/>
            <w:vAlign w:val="center"/>
          </w:tcPr>
          <w:p>
            <w:r>
              <w:rPr>
                <w:b/>
                <w:color w:val="FFFFFF"/>
                <w:sz w:val="19"/>
              </w:rPr>
              <w:t>Definition</w:t>
            </w:r>
          </w:p>
        </w:tc>
        <w:tc>
          <w:tcPr>
            <w:tcW w:type="dxa" w:w="2268"/>
            <w:shd w:fill="1F4E79"/>
            <w:vAlign w:val="center"/>
          </w:tcPr>
          <w:p>
            <w:r>
              <w:rPr>
                <w:b/>
                <w:color w:val="FFFFFF"/>
                <w:sz w:val="19"/>
              </w:rPr>
              <w:t>Important limitation</w:t>
            </w:r>
          </w:p>
        </w:tc>
      </w:tr>
      <w:tr>
        <w:trPr>
          <w:cantSplit/>
        </w:trPr>
        <w:tc>
          <w:tcPr>
            <w:tcW w:type="dxa" w:w="1757"/>
            <w:vAlign w:val="top"/>
            <w:tcMar>
              <w:top w:w="90" w:type="dxa"/>
              <w:start w:w="100" w:type="dxa"/>
              <w:bottom w:w="90" w:type="dxa"/>
              <w:end w:w="100" w:type="dxa"/>
            </w:tcMar>
          </w:tcPr>
          <w:p>
            <w:pPr>
              <w:spacing w:after="0"/>
            </w:pPr>
            <w:r>
              <w:rPr>
                <w:sz w:val="15"/>
              </w:rPr>
              <w:t>start_time</w:t>
            </w:r>
          </w:p>
        </w:tc>
        <w:tc>
          <w:tcPr>
            <w:tcW w:type="dxa" w:w="2268"/>
            <w:vAlign w:val="top"/>
            <w:tcMar>
              <w:top w:w="90" w:type="dxa"/>
              <w:start w:w="100" w:type="dxa"/>
              <w:bottom w:w="90" w:type="dxa"/>
              <w:end w:w="100" w:type="dxa"/>
            </w:tcMar>
          </w:tcPr>
          <w:p>
            <w:pPr>
              <w:spacing w:after="0"/>
            </w:pPr>
            <w:r>
              <w:rPr>
                <w:sz w:val="15"/>
              </w:rPr>
              <w:t>Earliest Measurement Timestamp</w:t>
            </w:r>
          </w:p>
        </w:tc>
        <w:tc>
          <w:tcPr>
            <w:tcW w:type="dxa" w:w="2608"/>
            <w:vAlign w:val="top"/>
            <w:tcMar>
              <w:top w:w="90" w:type="dxa"/>
              <w:start w:w="100" w:type="dxa"/>
              <w:bottom w:w="90" w:type="dxa"/>
              <w:end w:w="100" w:type="dxa"/>
            </w:tcMar>
          </w:tcPr>
          <w:p>
            <w:pPr>
              <w:spacing w:after="0"/>
            </w:pPr>
            <w:r>
              <w:rPr>
                <w:sz w:val="15"/>
              </w:rPr>
              <w:t>Minimum observed date value for the part</w:t>
            </w:r>
          </w:p>
        </w:tc>
        <w:tc>
          <w:tcPr>
            <w:tcW w:type="dxa" w:w="2268"/>
            <w:vAlign w:val="top"/>
            <w:tcMar>
              <w:top w:w="90" w:type="dxa"/>
              <w:start w:w="100" w:type="dxa"/>
              <w:bottom w:w="90" w:type="dxa"/>
              <w:end w:w="100" w:type="dxa"/>
            </w:tcMar>
          </w:tcPr>
          <w:p>
            <w:pPr>
              <w:spacing w:after="0"/>
            </w:pPr>
            <w:r>
              <w:rPr>
                <w:sz w:val="15"/>
              </w:rPr>
              <w:t>Not the official production start</w:t>
            </w:r>
          </w:p>
        </w:tc>
      </w:tr>
      <w:tr>
        <w:trPr>
          <w:cantSplit/>
        </w:trPr>
        <w:tc>
          <w:tcPr>
            <w:tcW w:type="dxa" w:w="1757"/>
            <w:vAlign w:val="top"/>
            <w:tcMar>
              <w:top w:w="90" w:type="dxa"/>
              <w:start w:w="100" w:type="dxa"/>
              <w:bottom w:w="90" w:type="dxa"/>
              <w:end w:w="100" w:type="dxa"/>
            </w:tcMar>
          </w:tcPr>
          <w:p>
            <w:pPr>
              <w:spacing w:after="0"/>
            </w:pPr>
            <w:r>
              <w:rPr>
                <w:sz w:val="15"/>
              </w:rPr>
              <w:t>end_time</w:t>
            </w:r>
          </w:p>
        </w:tc>
        <w:tc>
          <w:tcPr>
            <w:tcW w:type="dxa" w:w="2268"/>
            <w:vAlign w:val="top"/>
            <w:tcMar>
              <w:top w:w="90" w:type="dxa"/>
              <w:start w:w="100" w:type="dxa"/>
              <w:bottom w:w="90" w:type="dxa"/>
              <w:end w:w="100" w:type="dxa"/>
            </w:tcMar>
          </w:tcPr>
          <w:p>
            <w:pPr>
              <w:spacing w:after="0"/>
            </w:pPr>
            <w:r>
              <w:rPr>
                <w:sz w:val="15"/>
              </w:rPr>
              <w:t>Latest Measurement Timestamp</w:t>
            </w:r>
          </w:p>
        </w:tc>
        <w:tc>
          <w:tcPr>
            <w:tcW w:type="dxa" w:w="2608"/>
            <w:vAlign w:val="top"/>
            <w:tcMar>
              <w:top w:w="90" w:type="dxa"/>
              <w:start w:w="100" w:type="dxa"/>
              <w:bottom w:w="90" w:type="dxa"/>
              <w:end w:w="100" w:type="dxa"/>
            </w:tcMar>
          </w:tcPr>
          <w:p>
            <w:pPr>
              <w:spacing w:after="0"/>
            </w:pPr>
            <w:r>
              <w:rPr>
                <w:sz w:val="15"/>
              </w:rPr>
              <w:t>Maximum observed date value for the part</w:t>
            </w:r>
          </w:p>
        </w:tc>
        <w:tc>
          <w:tcPr>
            <w:tcW w:type="dxa" w:w="2268"/>
            <w:vAlign w:val="top"/>
            <w:tcMar>
              <w:top w:w="90" w:type="dxa"/>
              <w:start w:w="100" w:type="dxa"/>
              <w:bottom w:w="90" w:type="dxa"/>
              <w:end w:w="100" w:type="dxa"/>
            </w:tcMar>
          </w:tcPr>
          <w:p>
            <w:pPr>
              <w:spacing w:after="0"/>
            </w:pPr>
            <w:r>
              <w:rPr>
                <w:sz w:val="15"/>
              </w:rPr>
              <w:t>Not the official completion time</w:t>
            </w:r>
          </w:p>
        </w:tc>
      </w:tr>
      <w:tr>
        <w:trPr>
          <w:cantSplit/>
        </w:trPr>
        <w:tc>
          <w:tcPr>
            <w:tcW w:type="dxa" w:w="1757"/>
            <w:vAlign w:val="top"/>
            <w:tcMar>
              <w:top w:w="90" w:type="dxa"/>
              <w:start w:w="100" w:type="dxa"/>
              <w:bottom w:w="90" w:type="dxa"/>
              <w:end w:w="100" w:type="dxa"/>
            </w:tcMar>
          </w:tcPr>
          <w:p>
            <w:pPr>
              <w:spacing w:after="0"/>
            </w:pPr>
            <w:r>
              <w:rPr>
                <w:sz w:val="15"/>
              </w:rPr>
              <w:t>cycle_time</w:t>
            </w:r>
          </w:p>
        </w:tc>
        <w:tc>
          <w:tcPr>
            <w:tcW w:type="dxa" w:w="2268"/>
            <w:vAlign w:val="top"/>
            <w:tcMar>
              <w:top w:w="90" w:type="dxa"/>
              <w:start w:w="100" w:type="dxa"/>
              <w:bottom w:w="90" w:type="dxa"/>
              <w:end w:w="100" w:type="dxa"/>
            </w:tcMar>
          </w:tcPr>
          <w:p>
            <w:pPr>
              <w:spacing w:after="0"/>
            </w:pPr>
            <w:r>
              <w:rPr>
                <w:sz w:val="15"/>
              </w:rPr>
              <w:t>Observed Measurement Span</w:t>
            </w:r>
          </w:p>
        </w:tc>
        <w:tc>
          <w:tcPr>
            <w:tcW w:type="dxa" w:w="2608"/>
            <w:vAlign w:val="top"/>
            <w:tcMar>
              <w:top w:w="90" w:type="dxa"/>
              <w:start w:w="100" w:type="dxa"/>
              <w:bottom w:w="90" w:type="dxa"/>
              <w:end w:w="100" w:type="dxa"/>
            </w:tcMar>
          </w:tcPr>
          <w:p>
            <w:pPr>
              <w:spacing w:after="0"/>
            </w:pPr>
            <w:r>
              <w:rPr>
                <w:sz w:val="15"/>
              </w:rPr>
              <w:t>Latest minus earliest observed timestamp</w:t>
            </w:r>
          </w:p>
        </w:tc>
        <w:tc>
          <w:tcPr>
            <w:tcW w:type="dxa" w:w="2268"/>
            <w:vAlign w:val="top"/>
            <w:tcMar>
              <w:top w:w="90" w:type="dxa"/>
              <w:start w:w="100" w:type="dxa"/>
              <w:bottom w:w="90" w:type="dxa"/>
              <w:end w:w="100" w:type="dxa"/>
            </w:tcMar>
          </w:tcPr>
          <w:p>
            <w:pPr>
              <w:spacing w:after="0"/>
            </w:pPr>
            <w:r>
              <w:rPr>
                <w:sz w:val="15"/>
              </w:rPr>
              <w:t>Not confirmed cycle time</w:t>
            </w:r>
          </w:p>
        </w:tc>
      </w:tr>
      <w:tr>
        <w:trPr>
          <w:cantSplit/>
        </w:trPr>
        <w:tc>
          <w:tcPr>
            <w:tcW w:type="dxa" w:w="1757"/>
            <w:vAlign w:val="top"/>
            <w:tcMar>
              <w:top w:w="90" w:type="dxa"/>
              <w:start w:w="100" w:type="dxa"/>
              <w:bottom w:w="90" w:type="dxa"/>
              <w:end w:w="100" w:type="dxa"/>
            </w:tcMar>
          </w:tcPr>
          <w:p>
            <w:pPr>
              <w:spacing w:after="0"/>
            </w:pPr>
            <w:r>
              <w:rPr>
                <w:sz w:val="15"/>
              </w:rPr>
              <w:t>processing_duration</w:t>
            </w:r>
          </w:p>
        </w:tc>
        <w:tc>
          <w:tcPr>
            <w:tcW w:type="dxa" w:w="2268"/>
            <w:vAlign w:val="top"/>
            <w:tcMar>
              <w:top w:w="90" w:type="dxa"/>
              <w:start w:w="100" w:type="dxa"/>
              <w:bottom w:w="90" w:type="dxa"/>
              <w:end w:w="100" w:type="dxa"/>
            </w:tcMar>
          </w:tcPr>
          <w:p>
            <w:pPr>
              <w:spacing w:after="0"/>
            </w:pPr>
            <w:r>
              <w:rPr>
                <w:sz w:val="15"/>
              </w:rPr>
              <w:t>Observed Active Measurement Span</w:t>
            </w:r>
          </w:p>
        </w:tc>
        <w:tc>
          <w:tcPr>
            <w:tcW w:type="dxa" w:w="2608"/>
            <w:vAlign w:val="top"/>
            <w:tcMar>
              <w:top w:w="90" w:type="dxa"/>
              <w:start w:w="100" w:type="dxa"/>
              <w:bottom w:w="90" w:type="dxa"/>
              <w:end w:w="100" w:type="dxa"/>
            </w:tcMar>
          </w:tcPr>
          <w:p>
            <w:pPr>
              <w:spacing w:after="0"/>
            </w:pPr>
            <w:r>
              <w:rPr>
                <w:sz w:val="15"/>
              </w:rPr>
              <w:t>Within-station observed temporal span aggregation</w:t>
            </w:r>
          </w:p>
        </w:tc>
        <w:tc>
          <w:tcPr>
            <w:tcW w:type="dxa" w:w="2268"/>
            <w:vAlign w:val="top"/>
            <w:tcMar>
              <w:top w:w="90" w:type="dxa"/>
              <w:start w:w="100" w:type="dxa"/>
              <w:bottom w:w="90" w:type="dxa"/>
              <w:end w:w="100" w:type="dxa"/>
            </w:tcMar>
          </w:tcPr>
          <w:p>
            <w:pPr>
              <w:spacing w:after="0"/>
            </w:pPr>
            <w:r>
              <w:rPr>
                <w:sz w:val="15"/>
              </w:rPr>
              <w:t>Not confirmed processing time</w:t>
            </w:r>
          </w:p>
        </w:tc>
      </w:tr>
      <w:tr>
        <w:trPr>
          <w:cantSplit/>
        </w:trPr>
        <w:tc>
          <w:tcPr>
            <w:tcW w:type="dxa" w:w="1757"/>
            <w:vAlign w:val="top"/>
            <w:tcMar>
              <w:top w:w="90" w:type="dxa"/>
              <w:start w:w="100" w:type="dxa"/>
              <w:bottom w:w="90" w:type="dxa"/>
              <w:end w:w="100" w:type="dxa"/>
            </w:tcMar>
          </w:tcPr>
          <w:p>
            <w:pPr>
              <w:spacing w:after="0"/>
            </w:pPr>
            <w:r>
              <w:rPr>
                <w:sz w:val="15"/>
              </w:rPr>
              <w:t>waiting_time</w:t>
            </w:r>
          </w:p>
        </w:tc>
        <w:tc>
          <w:tcPr>
            <w:tcW w:type="dxa" w:w="2268"/>
            <w:vAlign w:val="top"/>
            <w:tcMar>
              <w:top w:w="90" w:type="dxa"/>
              <w:start w:w="100" w:type="dxa"/>
              <w:bottom w:w="90" w:type="dxa"/>
              <w:end w:w="100" w:type="dxa"/>
            </w:tcMar>
          </w:tcPr>
          <w:p>
            <w:pPr>
              <w:spacing w:after="0"/>
            </w:pPr>
            <w:r>
              <w:rPr>
                <w:sz w:val="15"/>
              </w:rPr>
              <w:t>Observed Measurement Gap</w:t>
            </w:r>
          </w:p>
        </w:tc>
        <w:tc>
          <w:tcPr>
            <w:tcW w:type="dxa" w:w="2608"/>
            <w:vAlign w:val="top"/>
            <w:tcMar>
              <w:top w:w="90" w:type="dxa"/>
              <w:start w:w="100" w:type="dxa"/>
              <w:bottom w:w="90" w:type="dxa"/>
              <w:end w:w="100" w:type="dxa"/>
            </w:tcMar>
          </w:tcPr>
          <w:p>
            <w:pPr>
              <w:spacing w:after="0"/>
            </w:pPr>
            <w:r>
              <w:rPr>
                <w:sz w:val="15"/>
              </w:rPr>
              <w:t>Positive gaps between station observations</w:t>
            </w:r>
          </w:p>
        </w:tc>
        <w:tc>
          <w:tcPr>
            <w:tcW w:type="dxa" w:w="2268"/>
            <w:vAlign w:val="top"/>
            <w:tcMar>
              <w:top w:w="90" w:type="dxa"/>
              <w:start w:w="100" w:type="dxa"/>
              <w:bottom w:w="90" w:type="dxa"/>
              <w:end w:w="100" w:type="dxa"/>
            </w:tcMar>
          </w:tcPr>
          <w:p>
            <w:pPr>
              <w:spacing w:after="0"/>
            </w:pPr>
            <w:r>
              <w:rPr>
                <w:sz w:val="15"/>
              </w:rPr>
              <w:t>Not confirmed physical waiting or delay</w:t>
            </w:r>
          </w:p>
        </w:tc>
      </w:tr>
      <w:tr>
        <w:trPr>
          <w:cantSplit/>
        </w:trPr>
        <w:tc>
          <w:tcPr>
            <w:tcW w:type="dxa" w:w="1757"/>
            <w:vAlign w:val="top"/>
            <w:tcMar>
              <w:top w:w="90" w:type="dxa"/>
              <w:start w:w="100" w:type="dxa"/>
              <w:bottom w:w="90" w:type="dxa"/>
              <w:end w:w="100" w:type="dxa"/>
            </w:tcMar>
          </w:tcPr>
          <w:p>
            <w:pPr>
              <w:spacing w:after="0"/>
            </w:pPr>
            <w:r>
              <w:rPr>
                <w:sz w:val="15"/>
              </w:rPr>
              <w:t>station_count</w:t>
            </w:r>
          </w:p>
        </w:tc>
        <w:tc>
          <w:tcPr>
            <w:tcW w:type="dxa" w:w="2268"/>
            <w:vAlign w:val="top"/>
            <w:tcMar>
              <w:top w:w="90" w:type="dxa"/>
              <w:start w:w="100" w:type="dxa"/>
              <w:bottom w:w="90" w:type="dxa"/>
              <w:end w:w="100" w:type="dxa"/>
            </w:tcMar>
          </w:tcPr>
          <w:p>
            <w:pPr>
              <w:spacing w:after="0"/>
            </w:pPr>
            <w:r>
              <w:rPr>
                <w:sz w:val="15"/>
              </w:rPr>
              <w:t>Stations with Recorded Measurements</w:t>
            </w:r>
          </w:p>
        </w:tc>
        <w:tc>
          <w:tcPr>
            <w:tcW w:type="dxa" w:w="2608"/>
            <w:vAlign w:val="top"/>
            <w:tcMar>
              <w:top w:w="90" w:type="dxa"/>
              <w:start w:w="100" w:type="dxa"/>
              <w:bottom w:w="90" w:type="dxa"/>
              <w:end w:w="100" w:type="dxa"/>
            </w:tcMar>
          </w:tcPr>
          <w:p>
            <w:pPr>
              <w:spacing w:after="0"/>
            </w:pPr>
            <w:r>
              <w:rPr>
                <w:sz w:val="15"/>
              </w:rPr>
              <w:t>Number of stations with at least one date value</w:t>
            </w:r>
          </w:p>
        </w:tc>
        <w:tc>
          <w:tcPr>
            <w:tcW w:type="dxa" w:w="2268"/>
            <w:vAlign w:val="top"/>
            <w:tcMar>
              <w:top w:w="90" w:type="dxa"/>
              <w:start w:w="100" w:type="dxa"/>
              <w:bottom w:w="90" w:type="dxa"/>
              <w:end w:w="100" w:type="dxa"/>
            </w:tcMar>
          </w:tcPr>
          <w:p>
            <w:pPr>
              <w:spacing w:after="0"/>
            </w:pPr>
            <w:r>
              <w:rPr>
                <w:sz w:val="15"/>
              </w:rPr>
              <w:t>Presence is inferred from recorded timestamps</w:t>
            </w:r>
          </w:p>
        </w:tc>
      </w:tr>
    </w:tbl>
    <w:p/>
    <w:p>
      <w:pPr>
        <w:pStyle w:val="Heading1"/>
        <w:keepNext/>
      </w:pPr>
      <w:r>
        <w:t>11.4 Station presence from date values</w:t>
      </w:r>
    </w:p>
    <w:p>
      <w:r>
        <w:t>If a part has at least one observed date value at a station, the project marks that station as present for the part. This creates a station-presence matrix and a manufacturing-flow dataset. The method is reasonable because a recorded timestamp is evidence that some measurement at that station occurred. However, it remains an inferred route, not an official MES event log.</w:t>
      </w:r>
    </w:p>
    <w:p>
      <w:r>
        <w:rPr>
          <w:b/>
          <w:color w:val="1F4E79"/>
        </w:rPr>
        <w:t>Station-presence feature</w:t>
      </w:r>
    </w:p>
    <w:tbl>
      <w:tblPr>
        <w:tblW w:type="auto" w:w="0"/>
        <w:jc w:val="center"/>
        <w:tblLook w:firstColumn="1" w:firstRow="1" w:lastColumn="0" w:lastRow="0" w:noHBand="0" w:noVBand="1" w:val="04A0"/>
      </w:tblPr>
      <w:tblGrid>
        <w:gridCol w:w="9525"/>
      </w:tblGrid>
      <w:tr>
        <w:trPr>
          <w:cantSplit/>
        </w:trPr>
        <w:tc>
          <w:tcPr>
            <w:tcW w:type="dxa" w:w="9525"/>
            <w:shd w:fill="F2F2F2"/>
            <w:tcMar>
              <w:top w:w="160" w:type="dxa"/>
              <w:start w:w="180" w:type="dxa"/>
              <w:bottom w:w="160" w:type="dxa"/>
              <w:end w:w="180" w:type="dxa"/>
            </w:tcMar>
          </w:tcPr>
          <w:p>
            <w:pPr>
              <w:spacing w:after="0"/>
            </w:pPr>
            <w:r>
              <w:rPr>
                <w:rFonts w:ascii="Consolas" w:hAnsi="Consolas" w:eastAsia="Consolas"/>
                <w:sz w:val="17"/>
              </w:rPr>
              <w:t>station_columns = [c for c in date_columns if c.startswith("L3_S36_")]</w:t>
            </w:r>
            <w:r>
              <w:br/>
            </w:r>
            <w:r>
              <w:rPr>
                <w:rFonts w:ascii="Consolas" w:hAnsi="Consolas" w:eastAsia="Consolas"/>
                <w:sz w:val="17"/>
              </w:rPr>
              <w:t>flow["present_L3_S36"] = dates[station_columns].notna().any(axis=1).astype("int8")</w:t>
            </w:r>
          </w:p>
        </w:tc>
      </w:tr>
    </w:tbl>
    <w:p/>
    <w:p>
      <w:pPr>
        <w:pStyle w:val="Heading1"/>
        <w:keepNext/>
      </w:pPr>
      <w:r>
        <w:t>11.5 Observed gaps versus physical waiting</w:t>
      </w:r>
    </w:p>
    <w:p>
      <w:r>
        <w:t>A positive difference between the last timestamp at one observed station and the first timestamp at the next observed station can be calculated. The project originally used names such as waiting_time and delay_ratio. The dashboard now displays them as measurement gaps and relative measurement-gap ratios. This is more defensible because the data does not state whether the gap represents queueing, transport, batching, parallel work, timestamp resolution, an unrecorded station, or ordinary processing.</w:t>
      </w:r>
    </w:p>
    <w:tbl>
      <w:tblPr>
        <w:tblW w:type="auto" w:w="0"/>
        <w:jc w:val="center"/>
        <w:tblLook w:firstColumn="1" w:firstRow="1" w:lastColumn="0" w:lastRow="0" w:noHBand="0" w:noVBand="1" w:val="04A0"/>
      </w:tblPr>
      <w:tblGrid>
        <w:gridCol w:w="9525"/>
      </w:tblGrid>
      <w:tr>
        <w:trPr>
          <w:cantSplit/>
        </w:trPr>
        <w:tc>
          <w:tcPr>
            <w:tcW w:type="dxa" w:w="9525"/>
            <w:shd w:fill="FFF2CC"/>
            <w:tcMar>
              <w:top w:w="180" w:type="dxa"/>
              <w:start w:w="220" w:type="dxa"/>
              <w:bottom w:w="180" w:type="dxa"/>
              <w:end w:w="220" w:type="dxa"/>
            </w:tcMar>
          </w:tcPr>
          <w:p>
            <w:r>
              <w:rPr>
                <w:b/>
                <w:color w:val="1F4E79"/>
                <w:sz w:val="21"/>
              </w:rPr>
              <w:t>Correct explanation for a dashboard reader</w:t>
              <w:br/>
            </w:r>
            <w:r>
              <w:rPr>
                <w:sz w:val="21"/>
              </w:rPr>
              <w:t>“Products with larger observed gaps between recorded station measurements show a different failure-risk pattern.”</w:t>
              <w:br/>
              <w:t>Do not say: “The product was delayed for this exact amount of time.”</w:t>
            </w:r>
          </w:p>
        </w:tc>
      </w:tr>
    </w:tbl>
    <w:p>
      <w:pPr>
        <w:spacing w:after="0"/>
      </w:pPr>
    </w:p>
    <w:p>
      <w:pPr>
        <w:pStyle w:val="Heading1"/>
        <w:keepNext/>
      </w:pPr>
      <w:r>
        <w:t>11.6 Pairing date and measurement columns</w:t>
      </w:r>
    </w:p>
    <w:p>
      <w:r>
        <w:t>The documented example D1 -&gt; F0 illustrates the numbering relationship. A robust parser should identify line, station, type, and numeric suffix, then validate which measurement columns actually exist. Because feature numbers are not a simple consecutive sequence in every station, code should not assume that all possible pairs are present.</w:t>
      </w:r>
    </w:p>
    <w:p>
      <w:r>
        <w:rPr>
          <w:b/>
          <w:color w:val="1F4E79"/>
        </w:rPr>
        <w:t>Documented date-to-feature convention</w:t>
      </w:r>
    </w:p>
    <w:tbl>
      <w:tblPr>
        <w:tblW w:type="auto" w:w="0"/>
        <w:jc w:val="center"/>
        <w:tblLook w:firstColumn="1" w:firstRow="1" w:lastColumn="0" w:lastRow="0" w:noHBand="0" w:noVBand="1" w:val="04A0"/>
      </w:tblPr>
      <w:tblGrid>
        <w:gridCol w:w="9525"/>
      </w:tblGrid>
      <w:tr>
        <w:trPr>
          <w:cantSplit/>
        </w:trPr>
        <w:tc>
          <w:tcPr>
            <w:tcW w:type="dxa" w:w="9525"/>
            <w:shd w:fill="F2F2F2"/>
            <w:tcMar>
              <w:top w:w="160" w:type="dxa"/>
              <w:start w:w="180" w:type="dxa"/>
              <w:bottom w:w="160" w:type="dxa"/>
              <w:end w:w="180" w:type="dxa"/>
            </w:tcMar>
          </w:tcPr>
          <w:p>
            <w:pPr>
              <w:spacing w:after="0"/>
            </w:pPr>
            <w:r>
              <w:rPr>
                <w:rFonts w:ascii="Consolas" w:hAnsi="Consolas" w:eastAsia="Consolas"/>
                <w:sz w:val="17"/>
              </w:rPr>
              <w:t>import re</w:t>
            </w:r>
            <w:r>
              <w:br/>
            </w:r>
            <w:r>
              <w:rPr>
                <w:rFonts w:ascii="Consolas" w:hAnsi="Consolas" w:eastAsia="Consolas"/>
                <w:sz w:val="17"/>
              </w:rPr>
            </w:r>
            <w:r>
              <w:br/>
            </w:r>
            <w:r>
              <w:rPr>
                <w:rFonts w:ascii="Consolas" w:hAnsi="Consolas" w:eastAsia="Consolas"/>
                <w:sz w:val="17"/>
              </w:rPr>
              <w:t>feature_re = re.compile(r"^L(\d+)_S(\d+)_F(\d+)$")</w:t>
            </w:r>
            <w:r>
              <w:br/>
            </w:r>
            <w:r>
              <w:rPr>
                <w:rFonts w:ascii="Consolas" w:hAnsi="Consolas" w:eastAsia="Consolas"/>
                <w:sz w:val="17"/>
              </w:rPr>
              <w:t>date_re = re.compile(r"^L(\d+)_S(\d+)_D(\d+)$")</w:t>
            </w:r>
            <w:r>
              <w:br/>
            </w:r>
            <w:r>
              <w:rPr>
                <w:rFonts w:ascii="Consolas" w:hAnsi="Consolas" w:eastAsia="Consolas"/>
                <w:sz w:val="17"/>
              </w:rPr>
            </w:r>
            <w:r>
              <w:br/>
            </w:r>
            <w:r>
              <w:rPr>
                <w:rFonts w:ascii="Consolas" w:hAnsi="Consolas" w:eastAsia="Consolas"/>
                <w:sz w:val="17"/>
              </w:rPr>
              <w:t># Documented example: D1 corresponds to F0.</w:t>
            </w:r>
            <w:r>
              <w:br/>
            </w:r>
            <w:r>
              <w:rPr>
                <w:rFonts w:ascii="Consolas" w:hAnsi="Consolas" w:eastAsia="Consolas"/>
                <w:sz w:val="17"/>
              </w:rPr>
              <w:t># Pairing logic should still verify that the expected F column exists.</w:t>
            </w:r>
            <w:r>
              <w:br/>
            </w:r>
            <w:r>
              <w:rPr>
                <w:rFonts w:ascii="Consolas" w:hAnsi="Consolas" w:eastAsia="Consolas"/>
                <w:sz w:val="17"/>
              </w:rPr>
              <w:t>def expected_measurement(date_suffix: int) -&gt; int:</w:t>
            </w:r>
            <w:r>
              <w:br/>
            </w:r>
            <w:r>
              <w:rPr>
                <w:rFonts w:ascii="Consolas" w:hAnsi="Consolas" w:eastAsia="Consolas"/>
                <w:sz w:val="17"/>
              </w:rPr>
              <w:t xml:space="preserve">    return date_suffix - 1</w:t>
            </w:r>
          </w:p>
        </w:tc>
      </w:tr>
    </w:tbl>
    <w:p/>
    <w:p>
      <w:pPr>
        <w:pStyle w:val="Heading1"/>
        <w:keepNext/>
      </w:pPr>
      <w:r>
        <w:t>11.7 Temporal order and the Kaggle benchmark</w:t>
      </w:r>
    </w:p>
    <w:p>
      <w:r>
        <w:t>Public competition research found that production ordering and neighboring parts were highly predictive. Train and test records were sampled from a shared historical period, so the failure of nearby known training products could provide information about test products. This was a major competition insight, but it creates a production-readiness concern [3][9].</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2324"/>
            <w:shd w:fill="1F4E79"/>
            <w:vAlign w:val="center"/>
          </w:tcPr>
          <w:p>
            <w:r>
              <w:rPr>
                <w:b/>
                <w:color w:val="FFFFFF"/>
                <w:sz w:val="19"/>
              </w:rPr>
              <w:t>Feature idea</w:t>
            </w:r>
          </w:p>
        </w:tc>
        <w:tc>
          <w:tcPr>
            <w:tcW w:type="dxa" w:w="3061"/>
            <w:shd w:fill="1F4E79"/>
            <w:vAlign w:val="center"/>
          </w:tcPr>
          <w:p>
            <w:r>
              <w:rPr>
                <w:b/>
                <w:color w:val="FFFFFF"/>
                <w:sz w:val="19"/>
              </w:rPr>
              <w:t>Competition value</w:t>
            </w:r>
          </w:p>
        </w:tc>
        <w:tc>
          <w:tcPr>
            <w:tcW w:type="dxa" w:w="3345"/>
            <w:shd w:fill="1F4E79"/>
            <w:vAlign w:val="center"/>
          </w:tcPr>
          <w:p>
            <w:r>
              <w:rPr>
                <w:b/>
                <w:color w:val="FFFFFF"/>
                <w:sz w:val="19"/>
              </w:rPr>
              <w:t>Production concern</w:t>
            </w:r>
          </w:p>
        </w:tc>
      </w:tr>
      <w:tr>
        <w:trPr>
          <w:cantSplit/>
        </w:trPr>
        <w:tc>
          <w:tcPr>
            <w:tcW w:type="dxa" w:w="2324"/>
            <w:vAlign w:val="top"/>
            <w:tcMar>
              <w:top w:w="90" w:type="dxa"/>
              <w:start w:w="100" w:type="dxa"/>
              <w:bottom w:w="90" w:type="dxa"/>
              <w:end w:w="100" w:type="dxa"/>
            </w:tcMar>
          </w:tcPr>
          <w:p>
            <w:pPr>
              <w:spacing w:after="0"/>
            </w:pPr>
            <w:r>
              <w:rPr>
                <w:sz w:val="18"/>
              </w:rPr>
              <w:t>Id or time neighbours</w:t>
            </w:r>
          </w:p>
        </w:tc>
        <w:tc>
          <w:tcPr>
            <w:tcW w:type="dxa" w:w="3061"/>
            <w:vAlign w:val="top"/>
            <w:tcMar>
              <w:top w:w="90" w:type="dxa"/>
              <w:start w:w="100" w:type="dxa"/>
              <w:bottom w:w="90" w:type="dxa"/>
              <w:end w:w="100" w:type="dxa"/>
            </w:tcMar>
          </w:tcPr>
          <w:p>
            <w:pPr>
              <w:spacing w:after="0"/>
            </w:pPr>
            <w:r>
              <w:rPr>
                <w:sz w:val="18"/>
              </w:rPr>
              <w:t>Can capture local clusters of failures</w:t>
            </w:r>
          </w:p>
        </w:tc>
        <w:tc>
          <w:tcPr>
            <w:tcW w:type="dxa" w:w="3345"/>
            <w:vAlign w:val="top"/>
            <w:tcMar>
              <w:top w:w="90" w:type="dxa"/>
              <w:start w:w="100" w:type="dxa"/>
              <w:bottom w:w="90" w:type="dxa"/>
              <w:end w:w="100" w:type="dxa"/>
            </w:tcMar>
          </w:tcPr>
          <w:p>
            <w:pPr>
              <w:spacing w:after="0"/>
            </w:pPr>
            <w:r>
              <w:rPr>
                <w:sz w:val="18"/>
              </w:rPr>
              <w:t>Future neighbours and their labels may not be available at decision time</w:t>
            </w:r>
          </w:p>
        </w:tc>
      </w:tr>
      <w:tr>
        <w:trPr>
          <w:cantSplit/>
        </w:trPr>
        <w:tc>
          <w:tcPr>
            <w:tcW w:type="dxa" w:w="2324"/>
            <w:vAlign w:val="top"/>
            <w:tcMar>
              <w:top w:w="90" w:type="dxa"/>
              <w:start w:w="100" w:type="dxa"/>
              <w:bottom w:w="90" w:type="dxa"/>
              <w:end w:w="100" w:type="dxa"/>
            </w:tcMar>
          </w:tcPr>
          <w:p>
            <w:pPr>
              <w:spacing w:after="0"/>
            </w:pPr>
            <w:r>
              <w:rPr>
                <w:sz w:val="18"/>
              </w:rPr>
              <w:t>Distance to known failure</w:t>
            </w:r>
          </w:p>
        </w:tc>
        <w:tc>
          <w:tcPr>
            <w:tcW w:type="dxa" w:w="3061"/>
            <w:vAlign w:val="top"/>
            <w:tcMar>
              <w:top w:w="90" w:type="dxa"/>
              <w:start w:w="100" w:type="dxa"/>
              <w:bottom w:w="90" w:type="dxa"/>
              <w:end w:w="100" w:type="dxa"/>
            </w:tcMar>
          </w:tcPr>
          <w:p>
            <w:pPr>
              <w:spacing w:after="0"/>
            </w:pPr>
            <w:r>
              <w:rPr>
                <w:sz w:val="18"/>
              </w:rPr>
              <w:t>Strong MCC improvement in historical mixed-period data</w:t>
            </w:r>
          </w:p>
        </w:tc>
        <w:tc>
          <w:tcPr>
            <w:tcW w:type="dxa" w:w="3345"/>
            <w:vAlign w:val="top"/>
            <w:tcMar>
              <w:top w:w="90" w:type="dxa"/>
              <w:start w:w="100" w:type="dxa"/>
              <w:bottom w:w="90" w:type="dxa"/>
              <w:end w:w="100" w:type="dxa"/>
            </w:tcMar>
          </w:tcPr>
          <w:p>
            <w:pPr>
              <w:spacing w:after="0"/>
            </w:pPr>
            <w:r>
              <w:rPr>
                <w:sz w:val="18"/>
              </w:rPr>
              <w:t>Uses label information that would not exist for future unlabelled parts</w:t>
            </w:r>
          </w:p>
        </w:tc>
      </w:tr>
      <w:tr>
        <w:trPr>
          <w:cantSplit/>
        </w:trPr>
        <w:tc>
          <w:tcPr>
            <w:tcW w:type="dxa" w:w="2324"/>
            <w:vAlign w:val="top"/>
            <w:tcMar>
              <w:top w:w="90" w:type="dxa"/>
              <w:start w:w="100" w:type="dxa"/>
              <w:bottom w:w="90" w:type="dxa"/>
              <w:end w:w="100" w:type="dxa"/>
            </w:tcMar>
          </w:tcPr>
          <w:p>
            <w:pPr>
              <w:spacing w:after="0"/>
            </w:pPr>
            <w:r>
              <w:rPr>
                <w:sz w:val="18"/>
              </w:rPr>
              <w:t>Global ordering</w:t>
            </w:r>
          </w:p>
        </w:tc>
        <w:tc>
          <w:tcPr>
            <w:tcW w:type="dxa" w:w="3061"/>
            <w:vAlign w:val="top"/>
            <w:tcMar>
              <w:top w:w="90" w:type="dxa"/>
              <w:start w:w="100" w:type="dxa"/>
              <w:bottom w:w="90" w:type="dxa"/>
              <w:end w:w="100" w:type="dxa"/>
            </w:tcMar>
          </w:tcPr>
          <w:p>
            <w:pPr>
              <w:spacing w:after="0"/>
            </w:pPr>
            <w:r>
              <w:rPr>
                <w:sz w:val="18"/>
              </w:rPr>
              <w:t>May reveal batches or process periods</w:t>
            </w:r>
          </w:p>
        </w:tc>
        <w:tc>
          <w:tcPr>
            <w:tcW w:type="dxa" w:w="3345"/>
            <w:vAlign w:val="top"/>
            <w:tcMar>
              <w:top w:w="90" w:type="dxa"/>
              <w:start w:w="100" w:type="dxa"/>
              <w:bottom w:w="90" w:type="dxa"/>
              <w:end w:w="100" w:type="dxa"/>
            </w:tcMar>
          </w:tcPr>
          <w:p>
            <w:pPr>
              <w:spacing w:after="0"/>
            </w:pPr>
            <w:r>
              <w:rPr>
                <w:sz w:val="18"/>
              </w:rPr>
              <w:t>Ordering definition can change across systems and time</w:t>
            </w:r>
          </w:p>
        </w:tc>
      </w:tr>
      <w:tr>
        <w:trPr>
          <w:cantSplit/>
        </w:trPr>
        <w:tc>
          <w:tcPr>
            <w:tcW w:type="dxa" w:w="2324"/>
            <w:vAlign w:val="top"/>
            <w:tcMar>
              <w:top w:w="90" w:type="dxa"/>
              <w:start w:w="100" w:type="dxa"/>
              <w:bottom w:w="90" w:type="dxa"/>
              <w:end w:w="100" w:type="dxa"/>
            </w:tcMar>
          </w:tcPr>
          <w:p>
            <w:pPr>
              <w:spacing w:after="0"/>
            </w:pPr>
            <w:r>
              <w:rPr>
                <w:sz w:val="18"/>
              </w:rPr>
              <w:t>Start/end summaries</w:t>
            </w:r>
          </w:p>
        </w:tc>
        <w:tc>
          <w:tcPr>
            <w:tcW w:type="dxa" w:w="3061"/>
            <w:vAlign w:val="top"/>
            <w:tcMar>
              <w:top w:w="90" w:type="dxa"/>
              <w:start w:w="100" w:type="dxa"/>
              <w:bottom w:w="90" w:type="dxa"/>
              <w:end w:w="100" w:type="dxa"/>
            </w:tcMar>
          </w:tcPr>
          <w:p>
            <w:pPr>
              <w:spacing w:after="0"/>
            </w:pPr>
            <w:r>
              <w:rPr>
                <w:sz w:val="18"/>
              </w:rPr>
              <w:t>Compact temporal indicators</w:t>
            </w:r>
          </w:p>
        </w:tc>
        <w:tc>
          <w:tcPr>
            <w:tcW w:type="dxa" w:w="3345"/>
            <w:vAlign w:val="top"/>
            <w:tcMar>
              <w:top w:w="90" w:type="dxa"/>
              <w:start w:w="100" w:type="dxa"/>
              <w:bottom w:w="90" w:type="dxa"/>
              <w:end w:w="100" w:type="dxa"/>
            </w:tcMar>
          </w:tcPr>
          <w:p>
            <w:pPr>
              <w:spacing w:after="0"/>
            </w:pPr>
            <w:r>
              <w:rPr>
                <w:sz w:val="18"/>
              </w:rPr>
              <w:t>Need point-in-time availability and drift validation</w:t>
            </w:r>
          </w:p>
        </w:tc>
      </w:tr>
    </w:tbl>
    <w:p/>
    <w:tbl>
      <w:tblPr>
        <w:tblW w:type="auto" w:w="0"/>
        <w:jc w:val="center"/>
        <w:tblLook w:firstColumn="1" w:firstRow="1" w:lastColumn="0" w:lastRow="0" w:noHBand="0" w:noVBand="1" w:val="04A0"/>
      </w:tblPr>
      <w:tblGrid>
        <w:gridCol w:w="9525"/>
      </w:tblGrid>
      <w:tr>
        <w:trPr>
          <w:cantSplit/>
        </w:trPr>
        <w:tc>
          <w:tcPr>
            <w:tcW w:type="dxa" w:w="9525"/>
            <w:shd w:fill="E2F0D9"/>
            <w:tcMar>
              <w:top w:w="180" w:type="dxa"/>
              <w:start w:w="220" w:type="dxa"/>
              <w:bottom w:w="180" w:type="dxa"/>
              <w:end w:w="220" w:type="dxa"/>
            </w:tcMar>
          </w:tcPr>
          <w:p>
            <w:r>
              <w:rPr>
                <w:b/>
                <w:color w:val="1F4E79"/>
                <w:sz w:val="21"/>
              </w:rPr>
              <w:t>Project governance choice</w:t>
              <w:br/>
            </w:r>
            <w:r>
              <w:rPr>
                <w:sz w:val="21"/>
              </w:rPr>
              <w:t>The project keeps the order/leak-style leaderboard model separate from the official production-safe LightGBM. This allows the reader to learn competition techniques without overstating future-factory performance.</w:t>
            </w:r>
          </w:p>
        </w:tc>
      </w:tr>
    </w:tbl>
    <w:p>
      <w:pPr>
        <w:spacing w:after="0"/>
      </w:pPr>
    </w:p>
    <w:p>
      <w:pPr>
        <w:pStyle w:val="Heading1"/>
        <w:keepNext/>
      </w:pPr>
      <w:r>
        <w:t>11.8 Temporal validation</w:t>
      </w:r>
    </w:p>
    <w:p>
      <w:r>
        <w:t>A random validation split can mix earlier and later parts. This may be acceptable for reproducing a competition setup, but a future manufacturing system should also use time-aware holdouts. For example, train on earlier production periods and validate on a later period. This tests whether learned temporal relationships survive beyond the period used for training.</w:t>
      </w:r>
    </w:p>
    <w:tbl>
      <w:tblPr>
        <w:tblW w:type="auto" w:w="0"/>
        <w:jc w:val="center"/>
        <w:tblLook w:firstColumn="1" w:firstRow="1" w:lastColumn="0" w:lastRow="0" w:noHBand="0" w:noVBand="1" w:val="04A0"/>
      </w:tblPr>
      <w:tblGrid>
        <w:gridCol w:w="9525"/>
      </w:tblGrid>
      <w:tr>
        <w:trPr>
          <w:cantSplit/>
        </w:trPr>
        <w:tc>
          <w:tcPr>
            <w:tcW w:type="dxa" w:w="9525"/>
            <w:shd w:fill="FCE4D6"/>
            <w:tcMar>
              <w:top w:w="180" w:type="dxa"/>
              <w:start w:w="220" w:type="dxa"/>
              <w:bottom w:w="180" w:type="dxa"/>
              <w:end w:w="220" w:type="dxa"/>
            </w:tcMar>
          </w:tcPr>
          <w:p>
            <w:r>
              <w:rPr>
                <w:b/>
                <w:color w:val="1F4E79"/>
                <w:sz w:val="21"/>
              </w:rPr>
              <w:t>Common beginner mistakes</w:t>
              <w:br/>
            </w:r>
            <w:r>
              <w:rPr>
                <w:sz w:val="21"/>
              </w:rPr>
              <w:t>• Treating anonymized date values as real calendar dates or shifts.</w:t>
              <w:br/>
              <w:t>• Calling minimum and maximum timestamps official production start and end.</w:t>
              <w:br/>
              <w:t>• Calling every positive temporal gap a confirmed delay.</w:t>
              <w:br/>
              <w:t>• Using future neighbouring labels in a production-safe model.</w:t>
              <w:br/>
              <w:t>• Creating temporal features with information that is unavailable when the prediction must be issued.</w:t>
            </w:r>
          </w:p>
        </w:tc>
      </w:tr>
    </w:tbl>
    <w:p>
      <w:pPr>
        <w:spacing w:after="0"/>
      </w:pPr>
    </w:p>
    <w:p>
      <w:pPr>
        <w:pStyle w:val="Heading2"/>
        <w:keepNext/>
      </w:pPr>
      <w:r>
        <w:t>Review questions</w:t>
      </w:r>
    </w:p>
    <w:p>
      <w:pPr>
        <w:ind w:left="369" w:hanging="255"/>
      </w:pPr>
      <w:r>
        <w:t>1.  What does L0_S0_D1 represent according to the documentation?</w:t>
      </w:r>
    </w:p>
    <w:p>
      <w:pPr>
        <w:ind w:left="369" w:hanging="255"/>
      </w:pPr>
      <w:r>
        <w:t>2.  Why is Earliest Measurement Timestamp safer than Start Time?</w:t>
      </w:r>
    </w:p>
    <w:p>
      <w:pPr>
        <w:ind w:left="369" w:hanging="255"/>
      </w:pPr>
      <w:r>
        <w:t>3.  How is station presence inferred from date features?</w:t>
      </w:r>
    </w:p>
    <w:p>
      <w:pPr>
        <w:ind w:left="369" w:hanging="255"/>
      </w:pPr>
      <w:r>
        <w:t>4.  Why are observed gaps not necessarily waiting time?</w:t>
      </w:r>
    </w:p>
    <w:p>
      <w:pPr>
        <w:ind w:left="369" w:hanging="255"/>
      </w:pPr>
      <w:r>
        <w:t>5.  Why can a strong Kaggle order feature be unsafe for future production?</w:t>
      </w:r>
    </w:p>
    <w:p>
      <w:pPr>
        <w:pStyle w:val="Heading2"/>
        <w:keepNext/>
      </w:pPr>
      <w:r>
        <w:t>Practice exercise</w:t>
      </w:r>
    </w:p>
    <w:p>
      <w:r>
        <w:t>For one hypothetical part, the earliest recorded measurement is 100.2 and the latest is 112.7. There are station observations at L0_S0, L0_S2, and L3_S36. Write the safe engineered features and their values, then list three claims that cannot be made from these values alone.</w:t>
      </w:r>
    </w:p>
    <w:tbl>
      <w:tblPr>
        <w:tblW w:type="auto" w:w="0"/>
        <w:jc w:val="center"/>
        <w:tblLook w:firstColumn="1" w:firstRow="1" w:lastColumn="0" w:lastRow="0" w:noHBand="0" w:noVBand="1" w:val="04A0"/>
      </w:tblPr>
      <w:tblGrid>
        <w:gridCol w:w="9525"/>
      </w:tblGrid>
      <w:tr>
        <w:trPr>
          <w:cantSplit/>
        </w:trPr>
        <w:tc>
          <w:tcPr>
            <w:tcW w:type="dxa" w:w="9525"/>
            <w:shd w:fill="E2F0D9"/>
            <w:tcMar>
              <w:top w:w="180" w:type="dxa"/>
              <w:start w:w="220" w:type="dxa"/>
              <w:bottom w:w="180" w:type="dxa"/>
              <w:end w:w="220" w:type="dxa"/>
            </w:tcMar>
          </w:tcPr>
          <w:p>
            <w:r>
              <w:rPr>
                <w:b/>
                <w:color w:val="1F4E79"/>
                <w:sz w:val="21"/>
              </w:rPr>
              <w:t>Chapter summary</w:t>
              <w:br/>
            </w:r>
            <w:r>
              <w:rPr>
                <w:sz w:val="21"/>
              </w:rPr>
              <w:t>• Date features are anonymized relative timestamps associated with measurements.</w:t>
              <w:br/>
              <w:t>• They support station-presence, ordering, and temporal-summary features.</w:t>
              <w:br/>
              <w:t>• Earliest/latest timestamps and their difference are observed indicators, not verified factory start, end, cycle time, or delay.</w:t>
              <w:br/>
              <w:t>• Ordering effects were powerful in the competition but can create leakage for future deployment.</w:t>
              <w:br/>
              <w:t>• Temporal features require point-in-time and time-split validation.</w:t>
            </w:r>
          </w:p>
        </w:tc>
      </w:tr>
    </w:tbl>
    <w:p>
      <w:pPr>
        <w:spacing w:after="0"/>
      </w:pPr>
    </w:p>
    <w:p>
      <w:r>
        <w:br w:type="page"/>
      </w:r>
    </w:p>
    <w:p>
      <w:pPr>
        <w:pStyle w:val="Title"/>
      </w:pPr>
      <w:r>
        <w:t>Chapter 12: Why Features are Anonymous</w:t>
      </w:r>
    </w:p>
    <w:tbl>
      <w:tblPr>
        <w:tblW w:type="auto" w:w="0"/>
        <w:jc w:val="center"/>
        <w:tblLook w:firstColumn="1" w:firstRow="1" w:lastColumn="0" w:lastRow="0" w:noHBand="0" w:noVBand="1" w:val="04A0"/>
      </w:tblPr>
      <w:tblGrid>
        <w:gridCol w:w="9525"/>
      </w:tblGrid>
      <w:tr>
        <w:trPr>
          <w:cantSplit/>
        </w:trPr>
        <w:tc>
          <w:tcPr>
            <w:tcW w:type="dxa" w:w="9525"/>
            <w:shd w:fill="E4DFEC"/>
            <w:tcMar>
              <w:top w:w="180" w:type="dxa"/>
              <w:start w:w="220" w:type="dxa"/>
              <w:bottom w:w="180" w:type="dxa"/>
              <w:end w:w="220" w:type="dxa"/>
            </w:tcMar>
          </w:tcPr>
          <w:p>
            <w:r>
              <w:rPr>
                <w:b/>
                <w:color w:val="1F4E79"/>
                <w:sz w:val="21"/>
              </w:rPr>
              <w:t>Learning objectives</w:t>
              <w:br/>
            </w:r>
            <w:r>
              <w:rPr>
                <w:sz w:val="21"/>
              </w:rPr>
              <w:t>By the end of this chapter, the reader should be able to:</w:t>
              <w:br/>
              <w:t>• explain why an industrial company may anonymize production data</w:t>
              <w:br/>
              <w:t>• identify what structural information remains available</w:t>
              <w:br/>
              <w:t>• identify what physical and business information is hidden</w:t>
              <w:br/>
              <w:t>• write technically correct interpretations of anonymous features</w:t>
              <w:br/>
              <w:t>• describe what a live factory data dictionary would need to add</w:t>
            </w:r>
          </w:p>
        </w:tc>
      </w:tr>
    </w:tbl>
    <w:p>
      <w:pPr>
        <w:spacing w:after="0"/>
      </w:pPr>
    </w:p>
    <w:p>
      <w:pPr>
        <w:pStyle w:val="Heading1"/>
        <w:keepNext/>
      </w:pPr>
      <w:r>
        <w:t>12.1 Why release real data without full meanings?</w:t>
      </w:r>
    </w:p>
    <w:p>
      <w:r>
        <w:t>Industrial production data can reveal product designs, process settings, machine capabilities, quality specifications, supplier relationships, production volumes, and failure mechanisms. Releasing raw engineering names and units could expose intellectual property or operationally sensitive information. Anonymization allows a realistic machine-learning challenge while reducing the risk of reverse engineering.</w:t>
      </w:r>
    </w:p>
    <w:p>
      <w:pPr>
        <w:jc w:val="center"/>
      </w:pPr>
      <w:r>
        <w:drawing>
          <wp:inline xmlns:a="http://schemas.openxmlformats.org/drawingml/2006/main" xmlns:pic="http://schemas.openxmlformats.org/drawingml/2006/picture">
            <wp:extent cx="6126480" cy="3335528"/>
            <wp:docPr id="8" name="Picture 8"/>
            <wp:cNvGraphicFramePr>
              <a:graphicFrameLocks noChangeAspect="1"/>
            </wp:cNvGraphicFramePr>
            <a:graphic>
              <a:graphicData uri="http://schemas.openxmlformats.org/drawingml/2006/picture">
                <pic:pic>
                  <pic:nvPicPr>
                    <pic:cNvPr id="0" name="figure_12_1_anonymization.png"/>
                    <pic:cNvPicPr/>
                  </pic:nvPicPr>
                  <pic:blipFill>
                    <a:blip r:embed="rId18"/>
                    <a:stretch>
                      <a:fillRect/>
                    </a:stretch>
                  </pic:blipFill>
                  <pic:spPr>
                    <a:xfrm>
                      <a:off x="0" y="0"/>
                      <a:ext cx="6126480" cy="3335528"/>
                    </a:xfrm>
                    <a:prstGeom prst="rect"/>
                  </pic:spPr>
                </pic:pic>
              </a:graphicData>
            </a:graphic>
          </wp:inline>
        </w:drawing>
      </w:r>
    </w:p>
    <w:p>
      <w:pPr>
        <w:pStyle w:val="Caption"/>
        <w:jc w:val="center"/>
      </w:pPr>
      <w:r>
        <w:t>Figure 12.1 - Anonymization preserves analytical structure while hiding engineering semantics.</w:t>
      </w:r>
    </w:p>
    <w:p>
      <w:pPr>
        <w:pStyle w:val="Heading1"/>
        <w:keepNext/>
      </w:pPr>
      <w:r>
        <w:t>12.2 What remains visible</w:t>
      </w:r>
    </w:p>
    <w:p>
      <w:pPr>
        <w:pStyle w:val="ListBullet"/>
      </w:pPr>
      <w:r>
        <w:t>A unique part identifier (Id).</w:t>
      </w:r>
    </w:p>
    <w:p>
      <w:pPr>
        <w:pStyle w:val="ListBullet"/>
      </w:pPr>
      <w:r>
        <w:t>A binary training outcome (Response).</w:t>
      </w:r>
    </w:p>
    <w:p>
      <w:pPr>
        <w:pStyle w:val="ListBullet"/>
      </w:pPr>
      <w:r>
        <w:t>Encoded production-line and station identifiers.</w:t>
      </w:r>
    </w:p>
    <w:p>
      <w:pPr>
        <w:pStyle w:val="ListBullet"/>
      </w:pPr>
      <w:r>
        <w:t>An anonymous feature number.</w:t>
      </w:r>
    </w:p>
    <w:p>
      <w:pPr>
        <w:pStyle w:val="ListBullet"/>
      </w:pPr>
      <w:r>
        <w:t>Whether the value is numerical, categorical, or date-like.</w:t>
      </w:r>
    </w:p>
    <w:p>
      <w:pPr>
        <w:pStyle w:val="ListBullet"/>
      </w:pPr>
      <w:r>
        <w:t>The observed value or missingness pattern.</w:t>
      </w:r>
    </w:p>
    <w:p>
      <w:pPr>
        <w:pStyle w:val="ListBullet"/>
      </w:pPr>
      <w:r>
        <w:t>Relative temporal relationships among recorded measurements.</w:t>
      </w:r>
    </w:p>
    <w:p>
      <w:pPr>
        <w:pStyle w:val="Heading1"/>
        <w:keepNext/>
      </w:pPr>
      <w:r>
        <w:t>12.3 What is hidden</w:t>
      </w:r>
    </w:p>
    <w:p>
      <w:pPr>
        <w:pStyle w:val="ListBullet"/>
      </w:pPr>
      <w:r>
        <w:t>The physical sensor or test name.</w:t>
      </w:r>
    </w:p>
    <w:p>
      <w:pPr>
        <w:pStyle w:val="ListBullet"/>
      </w:pPr>
      <w:r>
        <w:t>Engineering unit and valid operating range.</w:t>
      </w:r>
    </w:p>
    <w:p>
      <w:pPr>
        <w:pStyle w:val="ListBullet"/>
      </w:pPr>
      <w:r>
        <w:t>Exact operation performed at a station.</w:t>
      </w:r>
    </w:p>
    <w:p>
      <w:pPr>
        <w:pStyle w:val="ListBullet"/>
      </w:pPr>
      <w:r>
        <w:t>Machine, tool, fixture, program, or recipe identifier.</w:t>
      </w:r>
    </w:p>
    <w:p>
      <w:pPr>
        <w:pStyle w:val="ListBullet"/>
      </w:pPr>
      <w:r>
        <w:t>Product type, variant, supplier, or material definition.</w:t>
      </w:r>
    </w:p>
    <w:p>
      <w:pPr>
        <w:pStyle w:val="ListBullet"/>
      </w:pPr>
      <w:r>
        <w:t>The failure code, severity, repair, scrap, or disposition.</w:t>
      </w:r>
    </w:p>
    <w:p>
      <w:pPr>
        <w:pStyle w:val="ListBullet"/>
      </w:pPr>
      <w:r>
        <w:t>Maintenance, calibration, operator, environmental, and shift context.</w:t>
      </w:r>
    </w:p>
    <w:p>
      <w:pPr>
        <w:pStyle w:val="ListBullet"/>
      </w:pPr>
      <w:r>
        <w:t>Actual calendar date and production schedule.</w:t>
      </w:r>
    </w:p>
    <w:p>
      <w:pPr>
        <w:pStyle w:val="Heading1"/>
        <w:keepNext/>
      </w:pPr>
      <w:r>
        <w:t>12.4 Advantages of anonymization for a benchmark</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2948"/>
            <w:shd w:fill="1F4E79"/>
            <w:vAlign w:val="center"/>
          </w:tcPr>
          <w:p>
            <w:r>
              <w:rPr>
                <w:b/>
                <w:color w:val="FFFFFF"/>
                <w:sz w:val="19"/>
              </w:rPr>
              <w:t>Advantage</w:t>
            </w:r>
          </w:p>
        </w:tc>
        <w:tc>
          <w:tcPr>
            <w:tcW w:type="dxa" w:w="5783"/>
            <w:shd w:fill="1F4E79"/>
            <w:vAlign w:val="center"/>
          </w:tcPr>
          <w:p>
            <w:r>
              <w:rPr>
                <w:b/>
                <w:color w:val="FFFFFF"/>
                <w:sz w:val="19"/>
              </w:rPr>
              <w:t>Explanation</w:t>
            </w:r>
          </w:p>
        </w:tc>
      </w:tr>
      <w:tr>
        <w:trPr>
          <w:cantSplit/>
        </w:trPr>
        <w:tc>
          <w:tcPr>
            <w:tcW w:type="dxa" w:w="2948"/>
            <w:vAlign w:val="top"/>
            <w:tcMar>
              <w:top w:w="90" w:type="dxa"/>
              <w:start w:w="100" w:type="dxa"/>
              <w:bottom w:w="90" w:type="dxa"/>
              <w:end w:w="100" w:type="dxa"/>
            </w:tcMar>
          </w:tcPr>
          <w:p>
            <w:pPr>
              <w:spacing w:after="0"/>
            </w:pPr>
            <w:r>
              <w:rPr>
                <w:sz w:val="18"/>
              </w:rPr>
              <w:t>Protects sensitive operations</w:t>
            </w:r>
          </w:p>
        </w:tc>
        <w:tc>
          <w:tcPr>
            <w:tcW w:type="dxa" w:w="5783"/>
            <w:vAlign w:val="top"/>
            <w:tcMar>
              <w:top w:w="90" w:type="dxa"/>
              <w:start w:w="100" w:type="dxa"/>
              <w:bottom w:w="90" w:type="dxa"/>
              <w:end w:w="100" w:type="dxa"/>
            </w:tcMar>
          </w:tcPr>
          <w:p>
            <w:pPr>
              <w:spacing w:after="0"/>
            </w:pPr>
            <w:r>
              <w:rPr>
                <w:sz w:val="18"/>
              </w:rPr>
              <w:t>Competitors cannot directly reconstruct proprietary processes.</w:t>
            </w:r>
          </w:p>
        </w:tc>
      </w:tr>
      <w:tr>
        <w:trPr>
          <w:cantSplit/>
        </w:trPr>
        <w:tc>
          <w:tcPr>
            <w:tcW w:type="dxa" w:w="2948"/>
            <w:vAlign w:val="top"/>
            <w:tcMar>
              <w:top w:w="90" w:type="dxa"/>
              <w:start w:w="100" w:type="dxa"/>
              <w:bottom w:w="90" w:type="dxa"/>
              <w:end w:w="100" w:type="dxa"/>
            </w:tcMar>
          </w:tcPr>
          <w:p>
            <w:pPr>
              <w:spacing w:after="0"/>
            </w:pPr>
            <w:r>
              <w:rPr>
                <w:sz w:val="18"/>
              </w:rPr>
              <w:t>Focuses on modeling skill</w:t>
            </w:r>
          </w:p>
        </w:tc>
        <w:tc>
          <w:tcPr>
            <w:tcW w:type="dxa" w:w="5783"/>
            <w:vAlign w:val="top"/>
            <w:tcMar>
              <w:top w:w="90" w:type="dxa"/>
              <w:start w:w="100" w:type="dxa"/>
              <w:bottom w:w="90" w:type="dxa"/>
              <w:end w:w="100" w:type="dxa"/>
            </w:tcMar>
          </w:tcPr>
          <w:p>
            <w:pPr>
              <w:spacing w:after="0"/>
            </w:pPr>
            <w:r>
              <w:rPr>
                <w:sz w:val="18"/>
              </w:rPr>
              <w:t>Participants must extract patterns from structure and data rather than domain labels.</w:t>
            </w:r>
          </w:p>
        </w:tc>
      </w:tr>
      <w:tr>
        <w:trPr>
          <w:cantSplit/>
        </w:trPr>
        <w:tc>
          <w:tcPr>
            <w:tcW w:type="dxa" w:w="2948"/>
            <w:vAlign w:val="top"/>
            <w:tcMar>
              <w:top w:w="90" w:type="dxa"/>
              <w:start w:w="100" w:type="dxa"/>
              <w:bottom w:w="90" w:type="dxa"/>
              <w:end w:w="100" w:type="dxa"/>
            </w:tcMar>
          </w:tcPr>
          <w:p>
            <w:pPr>
              <w:spacing w:after="0"/>
            </w:pPr>
            <w:r>
              <w:rPr>
                <w:sz w:val="18"/>
              </w:rPr>
              <w:t>Supports broad participation</w:t>
            </w:r>
          </w:p>
        </w:tc>
        <w:tc>
          <w:tcPr>
            <w:tcW w:type="dxa" w:w="5783"/>
            <w:vAlign w:val="top"/>
            <w:tcMar>
              <w:top w:w="90" w:type="dxa"/>
              <w:start w:w="100" w:type="dxa"/>
              <w:bottom w:w="90" w:type="dxa"/>
              <w:end w:w="100" w:type="dxa"/>
            </w:tcMar>
          </w:tcPr>
          <w:p>
            <w:pPr>
              <w:spacing w:after="0"/>
            </w:pPr>
            <w:r>
              <w:rPr>
                <w:sz w:val="18"/>
              </w:rPr>
              <w:t>The same dataset can be used by people without Bosch factory access.</w:t>
            </w:r>
          </w:p>
        </w:tc>
      </w:tr>
      <w:tr>
        <w:trPr>
          <w:cantSplit/>
        </w:trPr>
        <w:tc>
          <w:tcPr>
            <w:tcW w:type="dxa" w:w="2948"/>
            <w:vAlign w:val="top"/>
            <w:tcMar>
              <w:top w:w="90" w:type="dxa"/>
              <w:start w:w="100" w:type="dxa"/>
              <w:bottom w:w="90" w:type="dxa"/>
              <w:end w:w="100" w:type="dxa"/>
            </w:tcMar>
          </w:tcPr>
          <w:p>
            <w:pPr>
              <w:spacing w:after="0"/>
            </w:pPr>
            <w:r>
              <w:rPr>
                <w:sz w:val="18"/>
              </w:rPr>
              <w:t>Reduces bias from names</w:t>
            </w:r>
          </w:p>
        </w:tc>
        <w:tc>
          <w:tcPr>
            <w:tcW w:type="dxa" w:w="5783"/>
            <w:vAlign w:val="top"/>
            <w:tcMar>
              <w:top w:w="90" w:type="dxa"/>
              <w:start w:w="100" w:type="dxa"/>
              <w:bottom w:w="90" w:type="dxa"/>
              <w:end w:w="100" w:type="dxa"/>
            </w:tcMar>
          </w:tcPr>
          <w:p>
            <w:pPr>
              <w:spacing w:after="0"/>
            </w:pPr>
            <w:r>
              <w:rPr>
                <w:sz w:val="18"/>
              </w:rPr>
              <w:t>A modeler cannot select a feature merely because its label sounds important.</w:t>
            </w:r>
          </w:p>
        </w:tc>
      </w:tr>
    </w:tbl>
    <w:p/>
    <w:p>
      <w:pPr>
        <w:pStyle w:val="Heading1"/>
        <w:keepNext/>
      </w:pPr>
      <w:r>
        <w:t>12.5 Costs of anonymization</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2948"/>
            <w:shd w:fill="1F4E79"/>
            <w:vAlign w:val="center"/>
          </w:tcPr>
          <w:p>
            <w:r>
              <w:rPr>
                <w:b/>
                <w:color w:val="FFFFFF"/>
                <w:sz w:val="19"/>
              </w:rPr>
              <w:t>Cost</w:t>
            </w:r>
          </w:p>
        </w:tc>
        <w:tc>
          <w:tcPr>
            <w:tcW w:type="dxa" w:w="5783"/>
            <w:shd w:fill="1F4E79"/>
            <w:vAlign w:val="center"/>
          </w:tcPr>
          <w:p>
            <w:r>
              <w:rPr>
                <w:b/>
                <w:color w:val="FFFFFF"/>
                <w:sz w:val="19"/>
              </w:rPr>
              <w:t>Project consequence</w:t>
            </w:r>
          </w:p>
        </w:tc>
      </w:tr>
      <w:tr>
        <w:trPr>
          <w:cantSplit/>
        </w:trPr>
        <w:tc>
          <w:tcPr>
            <w:tcW w:type="dxa" w:w="2948"/>
            <w:vAlign w:val="top"/>
            <w:tcMar>
              <w:top w:w="90" w:type="dxa"/>
              <w:start w:w="100" w:type="dxa"/>
              <w:bottom w:w="90" w:type="dxa"/>
              <w:end w:w="100" w:type="dxa"/>
            </w:tcMar>
          </w:tcPr>
          <w:p>
            <w:pPr>
              <w:spacing w:after="0"/>
            </w:pPr>
            <w:r>
              <w:rPr>
                <w:sz w:val="18"/>
              </w:rPr>
              <w:t>No units or specifications</w:t>
            </w:r>
          </w:p>
        </w:tc>
        <w:tc>
          <w:tcPr>
            <w:tcW w:type="dxa" w:w="5783"/>
            <w:vAlign w:val="top"/>
            <w:tcMar>
              <w:top w:w="90" w:type="dxa"/>
              <w:start w:w="100" w:type="dxa"/>
              <w:bottom w:w="90" w:type="dxa"/>
              <w:end w:w="100" w:type="dxa"/>
            </w:tcMar>
          </w:tcPr>
          <w:p>
            <w:pPr>
              <w:spacing w:after="0"/>
            </w:pPr>
            <w:r>
              <w:rPr>
                <w:sz w:val="18"/>
              </w:rPr>
              <w:t>Cannot assess engineering plausibility or safe ranges.</w:t>
            </w:r>
          </w:p>
        </w:tc>
      </w:tr>
      <w:tr>
        <w:trPr>
          <w:cantSplit/>
        </w:trPr>
        <w:tc>
          <w:tcPr>
            <w:tcW w:type="dxa" w:w="2948"/>
            <w:vAlign w:val="top"/>
            <w:tcMar>
              <w:top w:w="90" w:type="dxa"/>
              <w:start w:w="100" w:type="dxa"/>
              <w:bottom w:w="90" w:type="dxa"/>
              <w:end w:w="100" w:type="dxa"/>
            </w:tcMar>
          </w:tcPr>
          <w:p>
            <w:pPr>
              <w:spacing w:after="0"/>
            </w:pPr>
            <w:r>
              <w:rPr>
                <w:sz w:val="18"/>
              </w:rPr>
              <w:t>No operation names</w:t>
            </w:r>
          </w:p>
        </w:tc>
        <w:tc>
          <w:tcPr>
            <w:tcW w:type="dxa" w:w="5783"/>
            <w:vAlign w:val="top"/>
            <w:tcMar>
              <w:top w:w="90" w:type="dxa"/>
              <w:start w:w="100" w:type="dxa"/>
              <w:bottom w:w="90" w:type="dxa"/>
              <w:end w:w="100" w:type="dxa"/>
            </w:tcMar>
          </w:tcPr>
          <w:p>
            <w:pPr>
              <w:spacing w:after="0"/>
            </w:pPr>
            <w:r>
              <w:rPr>
                <w:sz w:val="18"/>
              </w:rPr>
              <w:t>Cannot connect signals to standard work or control plans.</w:t>
            </w:r>
          </w:p>
        </w:tc>
      </w:tr>
      <w:tr>
        <w:trPr>
          <w:cantSplit/>
        </w:trPr>
        <w:tc>
          <w:tcPr>
            <w:tcW w:type="dxa" w:w="2948"/>
            <w:vAlign w:val="top"/>
            <w:tcMar>
              <w:top w:w="90" w:type="dxa"/>
              <w:start w:w="100" w:type="dxa"/>
              <w:bottom w:w="90" w:type="dxa"/>
              <w:end w:w="100" w:type="dxa"/>
            </w:tcMar>
          </w:tcPr>
          <w:p>
            <w:pPr>
              <w:spacing w:after="0"/>
            </w:pPr>
            <w:r>
              <w:rPr>
                <w:sz w:val="18"/>
              </w:rPr>
              <w:t>No failure-mode labels</w:t>
            </w:r>
          </w:p>
        </w:tc>
        <w:tc>
          <w:tcPr>
            <w:tcW w:type="dxa" w:w="5783"/>
            <w:vAlign w:val="top"/>
            <w:tcMar>
              <w:top w:w="90" w:type="dxa"/>
              <w:start w:w="100" w:type="dxa"/>
              <w:bottom w:w="90" w:type="dxa"/>
              <w:end w:w="100" w:type="dxa"/>
            </w:tcMar>
          </w:tcPr>
          <w:p>
            <w:pPr>
              <w:spacing w:after="0"/>
            </w:pPr>
            <w:r>
              <w:rPr>
                <w:sz w:val="18"/>
              </w:rPr>
              <w:t>Cannot build cause-specific models or prioritize severity.</w:t>
            </w:r>
          </w:p>
        </w:tc>
      </w:tr>
      <w:tr>
        <w:trPr>
          <w:cantSplit/>
        </w:trPr>
        <w:tc>
          <w:tcPr>
            <w:tcW w:type="dxa" w:w="2948"/>
            <w:vAlign w:val="top"/>
            <w:tcMar>
              <w:top w:w="90" w:type="dxa"/>
              <w:start w:w="100" w:type="dxa"/>
              <w:bottom w:w="90" w:type="dxa"/>
              <w:end w:w="100" w:type="dxa"/>
            </w:tcMar>
          </w:tcPr>
          <w:p>
            <w:pPr>
              <w:spacing w:after="0"/>
            </w:pPr>
            <w:r>
              <w:rPr>
                <w:sz w:val="18"/>
              </w:rPr>
              <w:t>No process ownership</w:t>
            </w:r>
          </w:p>
        </w:tc>
        <w:tc>
          <w:tcPr>
            <w:tcW w:type="dxa" w:w="5783"/>
            <w:vAlign w:val="top"/>
            <w:tcMar>
              <w:top w:w="90" w:type="dxa"/>
              <w:start w:w="100" w:type="dxa"/>
              <w:bottom w:w="90" w:type="dxa"/>
              <w:end w:w="100" w:type="dxa"/>
            </w:tcMar>
          </w:tcPr>
          <w:p>
            <w:pPr>
              <w:spacing w:after="0"/>
            </w:pPr>
            <w:r>
              <w:rPr>
                <w:sz w:val="18"/>
              </w:rPr>
              <w:t>Cannot assign investigation actions to real teams.</w:t>
            </w:r>
          </w:p>
        </w:tc>
      </w:tr>
      <w:tr>
        <w:trPr>
          <w:cantSplit/>
        </w:trPr>
        <w:tc>
          <w:tcPr>
            <w:tcW w:type="dxa" w:w="2948"/>
            <w:vAlign w:val="top"/>
            <w:tcMar>
              <w:top w:w="90" w:type="dxa"/>
              <w:start w:w="100" w:type="dxa"/>
              <w:bottom w:w="90" w:type="dxa"/>
              <w:end w:w="100" w:type="dxa"/>
            </w:tcMar>
          </w:tcPr>
          <w:p>
            <w:pPr>
              <w:spacing w:after="0"/>
            </w:pPr>
            <w:r>
              <w:rPr>
                <w:sz w:val="18"/>
              </w:rPr>
              <w:t>No calendar context</w:t>
            </w:r>
          </w:p>
        </w:tc>
        <w:tc>
          <w:tcPr>
            <w:tcW w:type="dxa" w:w="5783"/>
            <w:vAlign w:val="top"/>
            <w:tcMar>
              <w:top w:w="90" w:type="dxa"/>
              <w:start w:w="100" w:type="dxa"/>
              <w:bottom w:w="90" w:type="dxa"/>
              <w:end w:w="100" w:type="dxa"/>
            </w:tcMar>
          </w:tcPr>
          <w:p>
            <w:pPr>
              <w:spacing w:after="0"/>
            </w:pPr>
            <w:r>
              <w:rPr>
                <w:sz w:val="18"/>
              </w:rPr>
              <w:t>Cannot verify shift, maintenance, supplier lot, or seasonality effects.</w:t>
            </w:r>
          </w:p>
        </w:tc>
      </w:tr>
      <w:tr>
        <w:trPr>
          <w:cantSplit/>
        </w:trPr>
        <w:tc>
          <w:tcPr>
            <w:tcW w:type="dxa" w:w="2948"/>
            <w:vAlign w:val="top"/>
            <w:tcMar>
              <w:top w:w="90" w:type="dxa"/>
              <w:start w:w="100" w:type="dxa"/>
              <w:bottom w:w="90" w:type="dxa"/>
              <w:end w:w="100" w:type="dxa"/>
            </w:tcMar>
          </w:tcPr>
          <w:p>
            <w:pPr>
              <w:spacing w:after="0"/>
            </w:pPr>
            <w:r>
              <w:rPr>
                <w:sz w:val="18"/>
              </w:rPr>
              <w:t>No intervention outcome</w:t>
            </w:r>
          </w:p>
        </w:tc>
        <w:tc>
          <w:tcPr>
            <w:tcW w:type="dxa" w:w="5783"/>
            <w:vAlign w:val="top"/>
            <w:tcMar>
              <w:top w:w="90" w:type="dxa"/>
              <w:start w:w="100" w:type="dxa"/>
              <w:bottom w:w="90" w:type="dxa"/>
              <w:end w:w="100" w:type="dxa"/>
            </w:tcMar>
          </w:tcPr>
          <w:p>
            <w:pPr>
              <w:spacing w:after="0"/>
            </w:pPr>
            <w:r>
              <w:rPr>
                <w:sz w:val="18"/>
              </w:rPr>
              <w:t>Cannot prove business savings or causal improvement.</w:t>
            </w:r>
          </w:p>
        </w:tc>
      </w:tr>
    </w:tbl>
    <w:p/>
    <w:p>
      <w:pPr>
        <w:pStyle w:val="Heading1"/>
        <w:keepNext/>
      </w:pPr>
      <w:r>
        <w:t>12.6 Three levels of interpretation</w:t>
      </w:r>
    </w:p>
    <w:p>
      <w:pPr>
        <w:ind w:left="369" w:hanging="255"/>
      </w:pPr>
      <w:r>
        <w:t>1.  Structural interpretation: “The feature belongs to Line 3, Station 36.” This is supported by the name.</w:t>
      </w:r>
    </w:p>
    <w:p>
      <w:pPr>
        <w:ind w:left="369" w:hanging="255"/>
      </w:pPr>
      <w:r>
        <w:t>2.  Statistical interpretation: “The feature value or missingness is associated with model risk.” This is supported by analysis and validation.</w:t>
      </w:r>
    </w:p>
    <w:p>
      <w:pPr>
        <w:ind w:left="369" w:hanging="255"/>
      </w:pPr>
      <w:r>
        <w:t>3.  Physical interpretation: “The feature is torque and its high value causes failure.” This requires a factory dictionary and engineering evidence.</w:t>
      </w:r>
    </w:p>
    <w:tbl>
      <w:tblPr>
        <w:tblW w:type="auto" w:w="0"/>
        <w:jc w:val="center"/>
        <w:tblLook w:firstColumn="1" w:firstRow="1" w:lastColumn="0" w:lastRow="0" w:noHBand="0" w:noVBand="1" w:val="04A0"/>
      </w:tblPr>
      <w:tblGrid>
        <w:gridCol w:w="9525"/>
      </w:tblGrid>
      <w:tr>
        <w:trPr>
          <w:cantSplit/>
        </w:trPr>
        <w:tc>
          <w:tcPr>
            <w:tcW w:type="dxa" w:w="9525"/>
            <w:shd w:fill="FFF2CC"/>
            <w:tcMar>
              <w:top w:w="180" w:type="dxa"/>
              <w:start w:w="220" w:type="dxa"/>
              <w:bottom w:w="180" w:type="dxa"/>
              <w:end w:w="220" w:type="dxa"/>
            </w:tcMar>
          </w:tcPr>
          <w:p>
            <w:r>
              <w:rPr>
                <w:b/>
                <w:color w:val="1F4E79"/>
                <w:sz w:val="21"/>
              </w:rPr>
              <w:t>Safe wording pattern</w:t>
              <w:br/>
            </w:r>
            <w:r>
              <w:rPr>
                <w:sz w:val="21"/>
              </w:rPr>
              <w:t>Feature identifier + observed pattern + predictive relationship + limitation.</w:t>
              <w:br/>
              <w:br/>
              <w:t>Example: “The missing-measurement indicator for L3_S32_F3854 is a strong predictive signal in the validation sample. Because the feature is anonymized, the associated operation and physical mechanism require engineering confirmation.”</w:t>
            </w:r>
          </w:p>
        </w:tc>
      </w:tr>
    </w:tbl>
    <w:p>
      <w:pPr>
        <w:spacing w:after="0"/>
      </w:pPr>
    </w:p>
    <w:p>
      <w:pPr>
        <w:pStyle w:val="Heading1"/>
        <w:keepNext/>
      </w:pPr>
      <w:r>
        <w:t>12.7 What a factory feature registry would contain</w:t>
      </w:r>
    </w:p>
    <w:p>
      <w:r>
        <w:t>In a real implementation, every model input should be connected to a governed feature registry or data dictionary. The registry would transform an anonymous benchmark into an operational data product.</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3118"/>
            <w:shd w:fill="1F4E79"/>
            <w:vAlign w:val="center"/>
          </w:tcPr>
          <w:p>
            <w:r>
              <w:rPr>
                <w:b/>
                <w:color w:val="FFFFFF"/>
                <w:sz w:val="19"/>
              </w:rPr>
              <w:t>Registry field</w:t>
            </w:r>
          </w:p>
        </w:tc>
        <w:tc>
          <w:tcPr>
            <w:tcW w:type="dxa" w:w="5556"/>
            <w:shd w:fill="1F4E79"/>
            <w:vAlign w:val="center"/>
          </w:tcPr>
          <w:p>
            <w:r>
              <w:rPr>
                <w:b/>
                <w:color w:val="FFFFFF"/>
                <w:sz w:val="19"/>
              </w:rPr>
              <w:t>Why it matters</w:t>
            </w:r>
          </w:p>
        </w:tc>
      </w:tr>
      <w:tr>
        <w:trPr>
          <w:cantSplit/>
        </w:trPr>
        <w:tc>
          <w:tcPr>
            <w:tcW w:type="dxa" w:w="3118"/>
            <w:vAlign w:val="top"/>
            <w:tcMar>
              <w:top w:w="90" w:type="dxa"/>
              <w:start w:w="100" w:type="dxa"/>
              <w:bottom w:w="90" w:type="dxa"/>
              <w:end w:w="100" w:type="dxa"/>
            </w:tcMar>
          </w:tcPr>
          <w:p>
            <w:pPr>
              <w:spacing w:after="0"/>
            </w:pPr>
            <w:r>
              <w:rPr>
                <w:sz w:val="18"/>
              </w:rPr>
              <w:t>Business/engineering name</w:t>
            </w:r>
          </w:p>
        </w:tc>
        <w:tc>
          <w:tcPr>
            <w:tcW w:type="dxa" w:w="5556"/>
            <w:vAlign w:val="top"/>
            <w:tcMar>
              <w:top w:w="90" w:type="dxa"/>
              <w:start w:w="100" w:type="dxa"/>
              <w:bottom w:w="90" w:type="dxa"/>
              <w:end w:w="100" w:type="dxa"/>
            </w:tcMar>
          </w:tcPr>
          <w:p>
            <w:pPr>
              <w:spacing w:after="0"/>
            </w:pPr>
            <w:r>
              <w:rPr>
                <w:sz w:val="18"/>
              </w:rPr>
              <w:t>Explains the real measurement or event.</w:t>
            </w:r>
          </w:p>
        </w:tc>
      </w:tr>
      <w:tr>
        <w:trPr>
          <w:cantSplit/>
        </w:trPr>
        <w:tc>
          <w:tcPr>
            <w:tcW w:type="dxa" w:w="3118"/>
            <w:vAlign w:val="top"/>
            <w:tcMar>
              <w:top w:w="90" w:type="dxa"/>
              <w:start w:w="100" w:type="dxa"/>
              <w:bottom w:w="90" w:type="dxa"/>
              <w:end w:w="100" w:type="dxa"/>
            </w:tcMar>
          </w:tcPr>
          <w:p>
            <w:pPr>
              <w:spacing w:after="0"/>
            </w:pPr>
            <w:r>
              <w:rPr>
                <w:sz w:val="18"/>
              </w:rPr>
              <w:t>Source system and tag</w:t>
            </w:r>
          </w:p>
        </w:tc>
        <w:tc>
          <w:tcPr>
            <w:tcW w:type="dxa" w:w="5556"/>
            <w:vAlign w:val="top"/>
            <w:tcMar>
              <w:top w:w="90" w:type="dxa"/>
              <w:start w:w="100" w:type="dxa"/>
              <w:bottom w:w="90" w:type="dxa"/>
              <w:end w:w="100" w:type="dxa"/>
            </w:tcMar>
          </w:tcPr>
          <w:p>
            <w:pPr>
              <w:spacing w:after="0"/>
            </w:pPr>
            <w:r>
              <w:rPr>
                <w:sz w:val="18"/>
              </w:rPr>
              <w:t>Allows traceability to MES, PLC, historian, or quality system.</w:t>
            </w:r>
          </w:p>
        </w:tc>
      </w:tr>
      <w:tr>
        <w:trPr>
          <w:cantSplit/>
        </w:trPr>
        <w:tc>
          <w:tcPr>
            <w:tcW w:type="dxa" w:w="3118"/>
            <w:vAlign w:val="top"/>
            <w:tcMar>
              <w:top w:w="90" w:type="dxa"/>
              <w:start w:w="100" w:type="dxa"/>
              <w:bottom w:w="90" w:type="dxa"/>
              <w:end w:w="100" w:type="dxa"/>
            </w:tcMar>
          </w:tcPr>
          <w:p>
            <w:pPr>
              <w:spacing w:after="0"/>
            </w:pPr>
            <w:r>
              <w:rPr>
                <w:sz w:val="18"/>
              </w:rPr>
              <w:t>Unit and valid range</w:t>
            </w:r>
          </w:p>
        </w:tc>
        <w:tc>
          <w:tcPr>
            <w:tcW w:type="dxa" w:w="5556"/>
            <w:vAlign w:val="top"/>
            <w:tcMar>
              <w:top w:w="90" w:type="dxa"/>
              <w:start w:w="100" w:type="dxa"/>
              <w:bottom w:w="90" w:type="dxa"/>
              <w:end w:w="100" w:type="dxa"/>
            </w:tcMar>
          </w:tcPr>
          <w:p>
            <w:pPr>
              <w:spacing w:after="0"/>
            </w:pPr>
            <w:r>
              <w:rPr>
                <w:sz w:val="18"/>
              </w:rPr>
              <w:t>Supports validation and safe interpretation.</w:t>
            </w:r>
          </w:p>
        </w:tc>
      </w:tr>
      <w:tr>
        <w:trPr>
          <w:cantSplit/>
        </w:trPr>
        <w:tc>
          <w:tcPr>
            <w:tcW w:type="dxa" w:w="3118"/>
            <w:vAlign w:val="top"/>
            <w:tcMar>
              <w:top w:w="90" w:type="dxa"/>
              <w:start w:w="100" w:type="dxa"/>
              <w:bottom w:w="90" w:type="dxa"/>
              <w:end w:w="100" w:type="dxa"/>
            </w:tcMar>
          </w:tcPr>
          <w:p>
            <w:pPr>
              <w:spacing w:after="0"/>
            </w:pPr>
            <w:r>
              <w:rPr>
                <w:sz w:val="18"/>
              </w:rPr>
              <w:t>Station, equipment, and operation</w:t>
            </w:r>
          </w:p>
        </w:tc>
        <w:tc>
          <w:tcPr>
            <w:tcW w:type="dxa" w:w="5556"/>
            <w:vAlign w:val="top"/>
            <w:tcMar>
              <w:top w:w="90" w:type="dxa"/>
              <w:start w:w="100" w:type="dxa"/>
              <w:bottom w:w="90" w:type="dxa"/>
              <w:end w:w="100" w:type="dxa"/>
            </w:tcMar>
          </w:tcPr>
          <w:p>
            <w:pPr>
              <w:spacing w:after="0"/>
            </w:pPr>
            <w:r>
              <w:rPr>
                <w:sz w:val="18"/>
              </w:rPr>
              <w:t>Connects the feature to process ownership.</w:t>
            </w:r>
          </w:p>
        </w:tc>
      </w:tr>
      <w:tr>
        <w:trPr>
          <w:cantSplit/>
        </w:trPr>
        <w:tc>
          <w:tcPr>
            <w:tcW w:type="dxa" w:w="3118"/>
            <w:vAlign w:val="top"/>
            <w:tcMar>
              <w:top w:w="90" w:type="dxa"/>
              <w:start w:w="100" w:type="dxa"/>
              <w:bottom w:w="90" w:type="dxa"/>
              <w:end w:w="100" w:type="dxa"/>
            </w:tcMar>
          </w:tcPr>
          <w:p>
            <w:pPr>
              <w:spacing w:after="0"/>
            </w:pPr>
            <w:r>
              <w:rPr>
                <w:sz w:val="18"/>
              </w:rPr>
              <w:t>Collection method and frequency</w:t>
            </w:r>
          </w:p>
        </w:tc>
        <w:tc>
          <w:tcPr>
            <w:tcW w:type="dxa" w:w="5556"/>
            <w:vAlign w:val="top"/>
            <w:tcMar>
              <w:top w:w="90" w:type="dxa"/>
              <w:start w:w="100" w:type="dxa"/>
              <w:bottom w:w="90" w:type="dxa"/>
              <w:end w:w="100" w:type="dxa"/>
            </w:tcMar>
          </w:tcPr>
          <w:p>
            <w:pPr>
              <w:spacing w:after="0"/>
            </w:pPr>
            <w:r>
              <w:rPr>
                <w:sz w:val="18"/>
              </w:rPr>
              <w:t>Clarifies sampling, timing, and duplicates.</w:t>
            </w:r>
          </w:p>
        </w:tc>
      </w:tr>
      <w:tr>
        <w:trPr>
          <w:cantSplit/>
        </w:trPr>
        <w:tc>
          <w:tcPr>
            <w:tcW w:type="dxa" w:w="3118"/>
            <w:vAlign w:val="top"/>
            <w:tcMar>
              <w:top w:w="90" w:type="dxa"/>
              <w:start w:w="100" w:type="dxa"/>
              <w:bottom w:w="90" w:type="dxa"/>
              <w:end w:w="100" w:type="dxa"/>
            </w:tcMar>
          </w:tcPr>
          <w:p>
            <w:pPr>
              <w:spacing w:after="0"/>
            </w:pPr>
            <w:r>
              <w:rPr>
                <w:sz w:val="18"/>
              </w:rPr>
              <w:t>Point-in-time availability</w:t>
            </w:r>
          </w:p>
        </w:tc>
        <w:tc>
          <w:tcPr>
            <w:tcW w:type="dxa" w:w="5556"/>
            <w:vAlign w:val="top"/>
            <w:tcMar>
              <w:top w:w="90" w:type="dxa"/>
              <w:start w:w="100" w:type="dxa"/>
              <w:bottom w:w="90" w:type="dxa"/>
              <w:end w:w="100" w:type="dxa"/>
            </w:tcMar>
          </w:tcPr>
          <w:p>
            <w:pPr>
              <w:spacing w:after="0"/>
            </w:pPr>
            <w:r>
              <w:rPr>
                <w:sz w:val="18"/>
              </w:rPr>
              <w:t>Prevents data leakage at prediction time.</w:t>
            </w:r>
          </w:p>
        </w:tc>
      </w:tr>
      <w:tr>
        <w:trPr>
          <w:cantSplit/>
        </w:trPr>
        <w:tc>
          <w:tcPr>
            <w:tcW w:type="dxa" w:w="3118"/>
            <w:vAlign w:val="top"/>
            <w:tcMar>
              <w:top w:w="90" w:type="dxa"/>
              <w:start w:w="100" w:type="dxa"/>
              <w:bottom w:w="90" w:type="dxa"/>
              <w:end w:w="100" w:type="dxa"/>
            </w:tcMar>
          </w:tcPr>
          <w:p>
            <w:pPr>
              <w:spacing w:after="0"/>
            </w:pPr>
            <w:r>
              <w:rPr>
                <w:sz w:val="18"/>
              </w:rPr>
              <w:t>Missingness meaning</w:t>
            </w:r>
          </w:p>
        </w:tc>
        <w:tc>
          <w:tcPr>
            <w:tcW w:type="dxa" w:w="5556"/>
            <w:vAlign w:val="top"/>
            <w:tcMar>
              <w:top w:w="90" w:type="dxa"/>
              <w:start w:w="100" w:type="dxa"/>
              <w:bottom w:w="90" w:type="dxa"/>
              <w:end w:w="100" w:type="dxa"/>
            </w:tcMar>
          </w:tcPr>
          <w:p>
            <w:pPr>
              <w:spacing w:after="0"/>
            </w:pPr>
            <w:r>
              <w:rPr>
                <w:sz w:val="18"/>
              </w:rPr>
              <w:t>Distinguishes route, not applicable, sensor failure, and data loss.</w:t>
            </w:r>
          </w:p>
        </w:tc>
      </w:tr>
      <w:tr>
        <w:trPr>
          <w:cantSplit/>
        </w:trPr>
        <w:tc>
          <w:tcPr>
            <w:tcW w:type="dxa" w:w="3118"/>
            <w:vAlign w:val="top"/>
            <w:tcMar>
              <w:top w:w="90" w:type="dxa"/>
              <w:start w:w="100" w:type="dxa"/>
              <w:bottom w:w="90" w:type="dxa"/>
              <w:end w:w="100" w:type="dxa"/>
            </w:tcMar>
          </w:tcPr>
          <w:p>
            <w:pPr>
              <w:spacing w:after="0"/>
            </w:pPr>
            <w:r>
              <w:rPr>
                <w:sz w:val="18"/>
              </w:rPr>
              <w:t>Owner and change history</w:t>
            </w:r>
          </w:p>
        </w:tc>
        <w:tc>
          <w:tcPr>
            <w:tcW w:type="dxa" w:w="5556"/>
            <w:vAlign w:val="top"/>
            <w:tcMar>
              <w:top w:w="90" w:type="dxa"/>
              <w:start w:w="100" w:type="dxa"/>
              <w:bottom w:w="90" w:type="dxa"/>
              <w:end w:w="100" w:type="dxa"/>
            </w:tcMar>
          </w:tcPr>
          <w:p>
            <w:pPr>
              <w:spacing w:after="0"/>
            </w:pPr>
            <w:r>
              <w:rPr>
                <w:sz w:val="18"/>
              </w:rPr>
              <w:t>Supports governance and drift investigation.</w:t>
            </w:r>
          </w:p>
        </w:tc>
      </w:tr>
    </w:tbl>
    <w:p/>
    <w:p>
      <w:pPr>
        <w:pStyle w:val="Heading1"/>
        <w:keepNext/>
      </w:pPr>
      <w:r>
        <w:t>12.8 Anonymization and explainable AI</w:t>
      </w:r>
    </w:p>
    <w:p>
      <w:r>
        <w:t>SHAP can explain how anonymous features influence a model prediction, but it cannot reveal the hidden sensor meaning. An explanation such as “L3_S36_F3939 increased the predicted probability” is valid at model level. The next step is not to invent a cause; it is to ask a process engineer what the signal represents and whether the association is plausible.</w:t>
      </w:r>
    </w:p>
    <w:p>
      <w:pPr>
        <w:pStyle w:val="Heading1"/>
        <w:keepNext/>
      </w:pPr>
      <w:r>
        <w:t>12.9 Ethical and legal use</w:t>
      </w:r>
    </w:p>
    <w:p>
      <w:r>
        <w:t>Anonymized data is not automatically unrestricted data. The competition files remain subject to Kaggle competition terms. The project therefore references the source and stores code and derived documentation in GitHub while requiring users to download the raw data through Kaggle. Responsible use also means not presenting inferred operations as confidential Bosch facts.</w:t>
      </w:r>
    </w:p>
    <w:tbl>
      <w:tblPr>
        <w:tblW w:type="auto" w:w="0"/>
        <w:jc w:val="center"/>
        <w:tblLook w:firstColumn="1" w:firstRow="1" w:lastColumn="0" w:lastRow="0" w:noHBand="0" w:noVBand="1" w:val="04A0"/>
      </w:tblPr>
      <w:tblGrid>
        <w:gridCol w:w="9525"/>
      </w:tblGrid>
      <w:tr>
        <w:trPr>
          <w:cantSplit/>
        </w:trPr>
        <w:tc>
          <w:tcPr>
            <w:tcW w:type="dxa" w:w="9525"/>
            <w:shd w:fill="FCE4D6"/>
            <w:tcMar>
              <w:top w:w="180" w:type="dxa"/>
              <w:start w:w="220" w:type="dxa"/>
              <w:bottom w:w="180" w:type="dxa"/>
              <w:end w:w="220" w:type="dxa"/>
            </w:tcMar>
          </w:tcPr>
          <w:p>
            <w:r>
              <w:rPr>
                <w:b/>
                <w:color w:val="1F4E79"/>
                <w:sz w:val="21"/>
              </w:rPr>
              <w:t>Common beginner mistakes</w:t>
              <w:br/>
            </w:r>
            <w:r>
              <w:rPr>
                <w:sz w:val="21"/>
              </w:rPr>
              <w:t>• Guessing that a feature is a specific sensor because its distribution looks familiar.</w:t>
              <w:br/>
              <w:t>• Treating a SHAP explanation as a decoded physical explanation.</w:t>
              <w:br/>
              <w:t>• Publishing the raw competition files in a public repository.</w:t>
              <w:br/>
              <w:t>• Assuming anonymization removes the need for data governance.</w:t>
              <w:br/>
              <w:t>• Writing recommendations for a real station without knowing the operation or owner.</w:t>
            </w:r>
          </w:p>
        </w:tc>
      </w:tr>
    </w:tbl>
    <w:p>
      <w:pPr>
        <w:spacing w:after="0"/>
      </w:pPr>
    </w:p>
    <w:p>
      <w:pPr>
        <w:pStyle w:val="Heading2"/>
        <w:keepNext/>
      </w:pPr>
      <w:r>
        <w:t>Review questions</w:t>
      </w:r>
    </w:p>
    <w:p>
      <w:pPr>
        <w:ind w:left="369" w:hanging="255"/>
      </w:pPr>
      <w:r>
        <w:t>1.  Why would Bosch hide feature meanings?</w:t>
      </w:r>
    </w:p>
    <w:p>
      <w:pPr>
        <w:ind w:left="369" w:hanging="255"/>
      </w:pPr>
      <w:r>
        <w:t>2.  What structural information is still available?</w:t>
      </w:r>
    </w:p>
    <w:p>
      <w:pPr>
        <w:ind w:left="369" w:hanging="255"/>
      </w:pPr>
      <w:r>
        <w:t>3.  What additional information is needed to claim a physical root cause?</w:t>
      </w:r>
    </w:p>
    <w:p>
      <w:pPr>
        <w:ind w:left="369" w:hanging="255"/>
      </w:pPr>
      <w:r>
        <w:t>4.  How does anonymization limit SHAP interpretation?</w:t>
      </w:r>
    </w:p>
    <w:p>
      <w:pPr>
        <w:ind w:left="369" w:hanging="255"/>
      </w:pPr>
      <w:r>
        <w:t>5.  Name five fields required in a factory feature registry.</w:t>
      </w:r>
    </w:p>
    <w:p>
      <w:pPr>
        <w:pStyle w:val="Heading2"/>
        <w:keepNext/>
      </w:pPr>
      <w:r>
        <w:t>Practice exercise</w:t>
      </w:r>
    </w:p>
    <w:p>
      <w:r>
        <w:t>Rewrite the following claim into safe language: “High temperature at Station 36 causes failure.” Assume the only evidence is that L3_S36_F3939 has high SHAP importance and the feature is anonymous.</w:t>
      </w:r>
    </w:p>
    <w:tbl>
      <w:tblPr>
        <w:tblW w:type="auto" w:w="0"/>
        <w:jc w:val="center"/>
        <w:tblLook w:firstColumn="1" w:firstRow="1" w:lastColumn="0" w:lastRow="0" w:noHBand="0" w:noVBand="1" w:val="04A0"/>
      </w:tblPr>
      <w:tblGrid>
        <w:gridCol w:w="9525"/>
      </w:tblGrid>
      <w:tr>
        <w:trPr>
          <w:cantSplit/>
        </w:trPr>
        <w:tc>
          <w:tcPr>
            <w:tcW w:type="dxa" w:w="9525"/>
            <w:shd w:fill="E2F0D9"/>
            <w:tcMar>
              <w:top w:w="180" w:type="dxa"/>
              <w:start w:w="220" w:type="dxa"/>
              <w:bottom w:w="180" w:type="dxa"/>
              <w:end w:w="220" w:type="dxa"/>
            </w:tcMar>
          </w:tcPr>
          <w:p>
            <w:r>
              <w:rPr>
                <w:b/>
                <w:color w:val="1F4E79"/>
                <w:sz w:val="21"/>
              </w:rPr>
              <w:t>Chapter summary</w:t>
              <w:br/>
            </w:r>
            <w:r>
              <w:rPr>
                <w:sz w:val="21"/>
              </w:rPr>
              <w:t>• Anonymization preserves a realistic analytical challenge while protecting sensitive operations.</w:t>
              <w:br/>
              <w:t>• Structural identifiers, values, missingness, relative timing, and Response remain available, while physical meanings are hidden.</w:t>
              <w:br/>
              <w:t>• Model explanations describe prediction behavior; factory use needs a governed feature dictionary and engineering ownership.</w:t>
            </w:r>
          </w:p>
        </w:tc>
      </w:tr>
    </w:tbl>
    <w:p>
      <w:pPr>
        <w:spacing w:after="0"/>
      </w:pPr>
    </w:p>
    <w:p>
      <w:r>
        <w:br w:type="page"/>
      </w:r>
    </w:p>
    <w:p>
      <w:pPr>
        <w:pStyle w:val="Title"/>
      </w:pPr>
      <w:r>
        <w:t>Chapter 13: Understanding Line-Station-Feature Naming</w:t>
      </w:r>
    </w:p>
    <w:tbl>
      <w:tblPr>
        <w:tblW w:type="auto" w:w="0"/>
        <w:jc w:val="center"/>
        <w:tblLook w:firstColumn="1" w:firstRow="1" w:lastColumn="0" w:lastRow="0" w:noHBand="0" w:noVBand="1" w:val="04A0"/>
      </w:tblPr>
      <w:tblGrid>
        <w:gridCol w:w="9525"/>
      </w:tblGrid>
      <w:tr>
        <w:trPr>
          <w:cantSplit/>
        </w:trPr>
        <w:tc>
          <w:tcPr>
            <w:tcW w:type="dxa" w:w="9525"/>
            <w:shd w:fill="E4DFEC"/>
            <w:tcMar>
              <w:top w:w="180" w:type="dxa"/>
              <w:start w:w="220" w:type="dxa"/>
              <w:bottom w:w="180" w:type="dxa"/>
              <w:end w:w="220" w:type="dxa"/>
            </w:tcMar>
          </w:tcPr>
          <w:p>
            <w:r>
              <w:rPr>
                <w:b/>
                <w:color w:val="1F4E79"/>
                <w:sz w:val="21"/>
              </w:rPr>
              <w:t>Learning objectives</w:t>
              <w:br/>
            </w:r>
            <w:r>
              <w:rPr>
                <w:sz w:val="21"/>
              </w:rPr>
              <w:t>By the end of this chapter, the reader should be able to:</w:t>
              <w:br/>
              <w:t>• parse Lx_Sy_Fz and Lx_Sy_Dz column names</w:t>
              <w:br/>
              <w:t>• construct line, station, and feature metadata tables</w:t>
              <w:br/>
              <w:t>• group features by station and data type</w:t>
              <w:br/>
              <w:t>• use the naming convention for route and feature engineering</w:t>
              <w:br/>
              <w:t>• validate names and handle exceptions safely</w:t>
            </w:r>
          </w:p>
        </w:tc>
      </w:tr>
    </w:tbl>
    <w:p>
      <w:pPr>
        <w:spacing w:after="0"/>
      </w:pPr>
    </w:p>
    <w:p>
      <w:pPr>
        <w:pStyle w:val="Heading1"/>
        <w:keepNext/>
      </w:pPr>
      <w:r>
        <w:t>13.1 The naming grammar</w:t>
      </w:r>
    </w:p>
    <w:p>
      <w:r>
        <w:t>Feature names follow a compact grammar. L identifies the encoded production line, S identifies the encoded station, and F identifies an anonymous numerical or categorical feature number. Date columns use D followed by a date-feature number. Underscores separate the components.</w:t>
      </w:r>
    </w:p>
    <w:p>
      <w:pPr>
        <w:jc w:val="center"/>
      </w:pPr>
      <w:r>
        <w:drawing>
          <wp:inline xmlns:a="http://schemas.openxmlformats.org/drawingml/2006/main" xmlns:pic="http://schemas.openxmlformats.org/drawingml/2006/picture">
            <wp:extent cx="6126480" cy="3335528"/>
            <wp:docPr id="9" name="Picture 9"/>
            <wp:cNvGraphicFramePr>
              <a:graphicFrameLocks noChangeAspect="1"/>
            </wp:cNvGraphicFramePr>
            <a:graphic>
              <a:graphicData uri="http://schemas.openxmlformats.org/drawingml/2006/picture">
                <pic:pic>
                  <pic:nvPicPr>
                    <pic:cNvPr id="0" name="figure_13_1_naming.png"/>
                    <pic:cNvPicPr/>
                  </pic:nvPicPr>
                  <pic:blipFill>
                    <a:blip r:embed="rId19"/>
                    <a:stretch>
                      <a:fillRect/>
                    </a:stretch>
                  </pic:blipFill>
                  <pic:spPr>
                    <a:xfrm>
                      <a:off x="0" y="0"/>
                      <a:ext cx="6126480" cy="3335528"/>
                    </a:xfrm>
                    <a:prstGeom prst="rect"/>
                  </pic:spPr>
                </pic:pic>
              </a:graphicData>
            </a:graphic>
          </wp:inline>
        </w:drawing>
      </w:r>
    </w:p>
    <w:p>
      <w:pPr>
        <w:pStyle w:val="Caption"/>
        <w:jc w:val="center"/>
      </w:pPr>
      <w:r>
        <w:t>Figure 13.1 - Decomposition of L3_S36_F3939 into line, station, and anonymous feature number.</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1984"/>
            <w:shd w:fill="1F4E79"/>
            <w:vAlign w:val="center"/>
          </w:tcPr>
          <w:p>
            <w:r>
              <w:rPr>
                <w:b/>
                <w:color w:val="FFFFFF"/>
                <w:sz w:val="19"/>
              </w:rPr>
              <w:t>Pattern</w:t>
            </w:r>
          </w:p>
        </w:tc>
        <w:tc>
          <w:tcPr>
            <w:tcW w:type="dxa" w:w="2438"/>
            <w:shd w:fill="1F4E79"/>
            <w:vAlign w:val="center"/>
          </w:tcPr>
          <w:p>
            <w:r>
              <w:rPr>
                <w:b/>
                <w:color w:val="FFFFFF"/>
                <w:sz w:val="19"/>
              </w:rPr>
              <w:t>Example</w:t>
            </w:r>
          </w:p>
        </w:tc>
        <w:tc>
          <w:tcPr>
            <w:tcW w:type="dxa" w:w="4309"/>
            <w:shd w:fill="1F4E79"/>
            <w:vAlign w:val="center"/>
          </w:tcPr>
          <w:p>
            <w:r>
              <w:rPr>
                <w:b/>
                <w:color w:val="FFFFFF"/>
                <w:sz w:val="19"/>
              </w:rPr>
              <w:t>Meaning</w:t>
            </w:r>
          </w:p>
        </w:tc>
      </w:tr>
      <w:tr>
        <w:trPr>
          <w:cantSplit/>
        </w:trPr>
        <w:tc>
          <w:tcPr>
            <w:tcW w:type="dxa" w:w="1984"/>
            <w:vAlign w:val="top"/>
            <w:tcMar>
              <w:top w:w="90" w:type="dxa"/>
              <w:start w:w="100" w:type="dxa"/>
              <w:bottom w:w="90" w:type="dxa"/>
              <w:end w:w="100" w:type="dxa"/>
            </w:tcMar>
          </w:tcPr>
          <w:p>
            <w:pPr>
              <w:spacing w:after="0"/>
            </w:pPr>
            <w:r>
              <w:rPr>
                <w:sz w:val="18"/>
              </w:rPr>
              <w:t>Lx_Sy_Fz</w:t>
            </w:r>
          </w:p>
        </w:tc>
        <w:tc>
          <w:tcPr>
            <w:tcW w:type="dxa" w:w="2438"/>
            <w:vAlign w:val="top"/>
            <w:tcMar>
              <w:top w:w="90" w:type="dxa"/>
              <w:start w:w="100" w:type="dxa"/>
              <w:bottom w:w="90" w:type="dxa"/>
              <w:end w:w="100" w:type="dxa"/>
            </w:tcMar>
          </w:tcPr>
          <w:p>
            <w:pPr>
              <w:spacing w:after="0"/>
            </w:pPr>
            <w:r>
              <w:rPr>
                <w:sz w:val="18"/>
              </w:rPr>
              <w:t>L3_S36_F3939</w:t>
            </w:r>
          </w:p>
        </w:tc>
        <w:tc>
          <w:tcPr>
            <w:tcW w:type="dxa" w:w="4309"/>
            <w:vAlign w:val="top"/>
            <w:tcMar>
              <w:top w:w="90" w:type="dxa"/>
              <w:start w:w="100" w:type="dxa"/>
              <w:bottom w:w="90" w:type="dxa"/>
              <w:end w:w="100" w:type="dxa"/>
            </w:tcMar>
          </w:tcPr>
          <w:p>
            <w:pPr>
              <w:spacing w:after="0"/>
            </w:pPr>
            <w:r>
              <w:rPr>
                <w:sz w:val="18"/>
              </w:rPr>
              <w:t>Feature z at station y on line x</w:t>
            </w:r>
          </w:p>
        </w:tc>
      </w:tr>
      <w:tr>
        <w:trPr>
          <w:cantSplit/>
        </w:trPr>
        <w:tc>
          <w:tcPr>
            <w:tcW w:type="dxa" w:w="1984"/>
            <w:vAlign w:val="top"/>
            <w:tcMar>
              <w:top w:w="90" w:type="dxa"/>
              <w:start w:w="100" w:type="dxa"/>
              <w:bottom w:w="90" w:type="dxa"/>
              <w:end w:w="100" w:type="dxa"/>
            </w:tcMar>
          </w:tcPr>
          <w:p>
            <w:pPr>
              <w:spacing w:after="0"/>
            </w:pPr>
            <w:r>
              <w:rPr>
                <w:sz w:val="18"/>
              </w:rPr>
              <w:t>Lx_Sy_Dz</w:t>
            </w:r>
          </w:p>
        </w:tc>
        <w:tc>
          <w:tcPr>
            <w:tcW w:type="dxa" w:w="2438"/>
            <w:vAlign w:val="top"/>
            <w:tcMar>
              <w:top w:w="90" w:type="dxa"/>
              <w:start w:w="100" w:type="dxa"/>
              <w:bottom w:w="90" w:type="dxa"/>
              <w:end w:w="100" w:type="dxa"/>
            </w:tcMar>
          </w:tcPr>
          <w:p>
            <w:pPr>
              <w:spacing w:after="0"/>
            </w:pPr>
            <w:r>
              <w:rPr>
                <w:sz w:val="18"/>
              </w:rPr>
              <w:t>L0_S0_D1</w:t>
            </w:r>
          </w:p>
        </w:tc>
        <w:tc>
          <w:tcPr>
            <w:tcW w:type="dxa" w:w="4309"/>
            <w:vAlign w:val="top"/>
            <w:tcMar>
              <w:top w:w="90" w:type="dxa"/>
              <w:start w:w="100" w:type="dxa"/>
              <w:bottom w:w="90" w:type="dxa"/>
              <w:end w:w="100" w:type="dxa"/>
            </w:tcMar>
          </w:tcPr>
          <w:p>
            <w:pPr>
              <w:spacing w:after="0"/>
            </w:pPr>
            <w:r>
              <w:rPr>
                <w:sz w:val="18"/>
              </w:rPr>
              <w:t>Date/timestamp feature z at station y on line x</w:t>
            </w:r>
          </w:p>
        </w:tc>
      </w:tr>
      <w:tr>
        <w:trPr>
          <w:cantSplit/>
        </w:trPr>
        <w:tc>
          <w:tcPr>
            <w:tcW w:type="dxa" w:w="1984"/>
            <w:vAlign w:val="top"/>
            <w:tcMar>
              <w:top w:w="90" w:type="dxa"/>
              <w:start w:w="100" w:type="dxa"/>
              <w:bottom w:w="90" w:type="dxa"/>
              <w:end w:w="100" w:type="dxa"/>
            </w:tcMar>
          </w:tcPr>
          <w:p>
            <w:pPr>
              <w:spacing w:after="0"/>
            </w:pPr>
            <w:r>
              <w:rPr>
                <w:sz w:val="18"/>
              </w:rPr>
              <w:t>Lx_Sy</w:t>
            </w:r>
          </w:p>
        </w:tc>
        <w:tc>
          <w:tcPr>
            <w:tcW w:type="dxa" w:w="2438"/>
            <w:vAlign w:val="top"/>
            <w:tcMar>
              <w:top w:w="90" w:type="dxa"/>
              <w:start w:w="100" w:type="dxa"/>
              <w:bottom w:w="90" w:type="dxa"/>
              <w:end w:w="100" w:type="dxa"/>
            </w:tcMar>
          </w:tcPr>
          <w:p>
            <w:pPr>
              <w:spacing w:after="0"/>
            </w:pPr>
            <w:r>
              <w:rPr>
                <w:sz w:val="18"/>
              </w:rPr>
              <w:t>L3_S36</w:t>
            </w:r>
          </w:p>
        </w:tc>
        <w:tc>
          <w:tcPr>
            <w:tcW w:type="dxa" w:w="4309"/>
            <w:vAlign w:val="top"/>
            <w:tcMar>
              <w:top w:w="90" w:type="dxa"/>
              <w:start w:w="100" w:type="dxa"/>
              <w:bottom w:w="90" w:type="dxa"/>
              <w:end w:w="100" w:type="dxa"/>
            </w:tcMar>
          </w:tcPr>
          <w:p>
            <w:pPr>
              <w:spacing w:after="0"/>
            </w:pPr>
            <w:r>
              <w:rPr>
                <w:sz w:val="18"/>
              </w:rPr>
              <w:t>Station key used for grouping</w:t>
            </w:r>
          </w:p>
        </w:tc>
      </w:tr>
    </w:tbl>
    <w:p/>
    <w:p>
      <w:pPr>
        <w:pStyle w:val="Heading1"/>
        <w:keepNext/>
      </w:pPr>
      <w:r>
        <w:t>13.2 Parsing with a regular expression</w:t>
      </w:r>
    </w:p>
    <w:p>
      <w:r>
        <w:rPr>
          <w:b/>
          <w:color w:val="1F4E79"/>
        </w:rPr>
        <w:t>Reusable metadata parser</w:t>
      </w:r>
    </w:p>
    <w:tbl>
      <w:tblPr>
        <w:tblW w:type="auto" w:w="0"/>
        <w:jc w:val="center"/>
        <w:tblLook w:firstColumn="1" w:firstRow="1" w:lastColumn="0" w:lastRow="0" w:noHBand="0" w:noVBand="1" w:val="04A0"/>
      </w:tblPr>
      <w:tblGrid>
        <w:gridCol w:w="9525"/>
      </w:tblGrid>
      <w:tr>
        <w:trPr>
          <w:cantSplit/>
        </w:trPr>
        <w:tc>
          <w:tcPr>
            <w:tcW w:type="dxa" w:w="9525"/>
            <w:shd w:fill="F2F2F2"/>
            <w:tcMar>
              <w:top w:w="160" w:type="dxa"/>
              <w:start w:w="180" w:type="dxa"/>
              <w:bottom w:w="160" w:type="dxa"/>
              <w:end w:w="180" w:type="dxa"/>
            </w:tcMar>
          </w:tcPr>
          <w:p>
            <w:pPr>
              <w:spacing w:after="0"/>
            </w:pPr>
            <w:r>
              <w:rPr>
                <w:rFonts w:ascii="Consolas" w:hAnsi="Consolas" w:eastAsia="Consolas"/>
                <w:sz w:val="17"/>
              </w:rPr>
              <w:t>import re</w:t>
            </w:r>
            <w:r>
              <w:br/>
            </w:r>
            <w:r>
              <w:rPr>
                <w:rFonts w:ascii="Consolas" w:hAnsi="Consolas" w:eastAsia="Consolas"/>
                <w:sz w:val="17"/>
              </w:rPr>
              <w:t>import pandas as pd</w:t>
            </w:r>
            <w:r>
              <w:br/>
            </w:r>
            <w:r>
              <w:rPr>
                <w:rFonts w:ascii="Consolas" w:hAnsi="Consolas" w:eastAsia="Consolas"/>
                <w:sz w:val="17"/>
              </w:rPr>
            </w:r>
            <w:r>
              <w:br/>
            </w:r>
            <w:r>
              <w:rPr>
                <w:rFonts w:ascii="Consolas" w:hAnsi="Consolas" w:eastAsia="Consolas"/>
                <w:sz w:val="17"/>
              </w:rPr>
              <w:t>pattern = re.compile(r"^L(?P&lt;line&gt;\d+)_S(?P&lt;station&gt;\d+)_(?P&lt;kind&gt;[FD])(?P&lt;number&gt;\d+)$")</w:t>
            </w:r>
            <w:r>
              <w:br/>
            </w:r>
            <w:r>
              <w:rPr>
                <w:rFonts w:ascii="Consolas" w:hAnsi="Consolas" w:eastAsia="Consolas"/>
                <w:sz w:val="17"/>
              </w:rPr>
            </w:r>
            <w:r>
              <w:br/>
            </w:r>
            <w:r>
              <w:rPr>
                <w:rFonts w:ascii="Consolas" w:hAnsi="Consolas" w:eastAsia="Consolas"/>
                <w:sz w:val="17"/>
              </w:rPr>
              <w:t>def parse_feature(name: str, data_type: str) -&gt; dict:</w:t>
            </w:r>
            <w:r>
              <w:br/>
            </w:r>
            <w:r>
              <w:rPr>
                <w:rFonts w:ascii="Consolas" w:hAnsi="Consolas" w:eastAsia="Consolas"/>
                <w:sz w:val="17"/>
              </w:rPr>
              <w:t xml:space="preserve">    match = pattern.match(name)</w:t>
            </w:r>
            <w:r>
              <w:br/>
            </w:r>
            <w:r>
              <w:rPr>
                <w:rFonts w:ascii="Consolas" w:hAnsi="Consolas" w:eastAsia="Consolas"/>
                <w:sz w:val="17"/>
              </w:rPr>
              <w:t xml:space="preserve">    if not match:</w:t>
            </w:r>
            <w:r>
              <w:br/>
            </w:r>
            <w:r>
              <w:rPr>
                <w:rFonts w:ascii="Consolas" w:hAnsi="Consolas" w:eastAsia="Consolas"/>
                <w:sz w:val="17"/>
              </w:rPr>
              <w:t xml:space="preserve">        raise ValueError(f"Unexpected feature name: {name}")</w:t>
            </w:r>
            <w:r>
              <w:br/>
            </w:r>
            <w:r>
              <w:rPr>
                <w:rFonts w:ascii="Consolas" w:hAnsi="Consolas" w:eastAsia="Consolas"/>
                <w:sz w:val="17"/>
              </w:rPr>
              <w:t xml:space="preserve">    row = match.groupdict()</w:t>
            </w:r>
            <w:r>
              <w:br/>
            </w:r>
            <w:r>
              <w:rPr>
                <w:rFonts w:ascii="Consolas" w:hAnsi="Consolas" w:eastAsia="Consolas"/>
                <w:sz w:val="17"/>
              </w:rPr>
              <w:t xml:space="preserve">    return {</w:t>
            </w:r>
            <w:r>
              <w:br/>
            </w:r>
            <w:r>
              <w:rPr>
                <w:rFonts w:ascii="Consolas" w:hAnsi="Consolas" w:eastAsia="Consolas"/>
                <w:sz w:val="17"/>
              </w:rPr>
              <w:t xml:space="preserve">        "feature": name,</w:t>
            </w:r>
            <w:r>
              <w:br/>
            </w:r>
            <w:r>
              <w:rPr>
                <w:rFonts w:ascii="Consolas" w:hAnsi="Consolas" w:eastAsia="Consolas"/>
                <w:sz w:val="17"/>
              </w:rPr>
              <w:t xml:space="preserve">        "line": int(row["line"]),</w:t>
            </w:r>
            <w:r>
              <w:br/>
            </w:r>
            <w:r>
              <w:rPr>
                <w:rFonts w:ascii="Consolas" w:hAnsi="Consolas" w:eastAsia="Consolas"/>
                <w:sz w:val="17"/>
              </w:rPr>
              <w:t xml:space="preserve">        "station": int(row["station"]),</w:t>
            </w:r>
            <w:r>
              <w:br/>
            </w:r>
            <w:r>
              <w:rPr>
                <w:rFonts w:ascii="Consolas" w:hAnsi="Consolas" w:eastAsia="Consolas"/>
                <w:sz w:val="17"/>
              </w:rPr>
              <w:t xml:space="preserve">        "station_key": f"L{row['line']}_S{row['station']}",</w:t>
            </w:r>
            <w:r>
              <w:br/>
            </w:r>
            <w:r>
              <w:rPr>
                <w:rFonts w:ascii="Consolas" w:hAnsi="Consolas" w:eastAsia="Consolas"/>
                <w:sz w:val="17"/>
              </w:rPr>
              <w:t xml:space="preserve">        "kind": row["kind"],</w:t>
            </w:r>
            <w:r>
              <w:br/>
            </w:r>
            <w:r>
              <w:rPr>
                <w:rFonts w:ascii="Consolas" w:hAnsi="Consolas" w:eastAsia="Consolas"/>
                <w:sz w:val="17"/>
              </w:rPr>
              <w:t xml:space="preserve">        "feature_number": int(row["number"]),</w:t>
            </w:r>
            <w:r>
              <w:br/>
            </w:r>
            <w:r>
              <w:rPr>
                <w:rFonts w:ascii="Consolas" w:hAnsi="Consolas" w:eastAsia="Consolas"/>
                <w:sz w:val="17"/>
              </w:rPr>
              <w:t xml:space="preserve">        "data_type": data_type,</w:t>
            </w:r>
            <w:r>
              <w:br/>
            </w:r>
            <w:r>
              <w:rPr>
                <w:rFonts w:ascii="Consolas" w:hAnsi="Consolas" w:eastAsia="Consolas"/>
                <w:sz w:val="17"/>
              </w:rPr>
              <w:t xml:space="preserve">    }</w:t>
            </w:r>
          </w:p>
        </w:tc>
      </w:tr>
    </w:tbl>
    <w:p/>
    <w:p>
      <w:pPr>
        <w:pStyle w:val="Heading1"/>
        <w:keepNext/>
      </w:pPr>
      <w:r>
        <w:t>13.3 Why metadata tables are valuable</w:t>
      </w:r>
    </w:p>
    <w:p>
      <w:r>
        <w:t>A raw header contains thousands of strings. A metadata table converts those strings into searchable fields. This makes it possible to count features by line, find all columns for a station, compare data types, select a line for analysis, and document model inputs.</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2268"/>
            <w:shd w:fill="1F4E79"/>
            <w:vAlign w:val="center"/>
          </w:tcPr>
          <w:p>
            <w:r>
              <w:rPr>
                <w:b/>
                <w:color w:val="FFFFFF"/>
                <w:sz w:val="19"/>
              </w:rPr>
              <w:t>Metadata column</w:t>
            </w:r>
          </w:p>
        </w:tc>
        <w:tc>
          <w:tcPr>
            <w:tcW w:type="dxa" w:w="2268"/>
            <w:shd w:fill="1F4E79"/>
            <w:vAlign w:val="center"/>
          </w:tcPr>
          <w:p>
            <w:r>
              <w:rPr>
                <w:b/>
                <w:color w:val="FFFFFF"/>
                <w:sz w:val="19"/>
              </w:rPr>
              <w:t>Example</w:t>
            </w:r>
          </w:p>
        </w:tc>
        <w:tc>
          <w:tcPr>
            <w:tcW w:type="dxa" w:w="4139"/>
            <w:shd w:fill="1F4E79"/>
            <w:vAlign w:val="center"/>
          </w:tcPr>
          <w:p>
            <w:r>
              <w:rPr>
                <w:b/>
                <w:color w:val="FFFFFF"/>
                <w:sz w:val="19"/>
              </w:rPr>
              <w:t>Use</w:t>
            </w:r>
          </w:p>
        </w:tc>
      </w:tr>
      <w:tr>
        <w:trPr>
          <w:cantSplit/>
        </w:trPr>
        <w:tc>
          <w:tcPr>
            <w:tcW w:type="dxa" w:w="2268"/>
            <w:vAlign w:val="top"/>
            <w:tcMar>
              <w:top w:w="90" w:type="dxa"/>
              <w:start w:w="100" w:type="dxa"/>
              <w:bottom w:w="90" w:type="dxa"/>
              <w:end w:w="100" w:type="dxa"/>
            </w:tcMar>
          </w:tcPr>
          <w:p>
            <w:pPr>
              <w:spacing w:after="0"/>
            </w:pPr>
            <w:r>
              <w:rPr>
                <w:sz w:val="18"/>
              </w:rPr>
              <w:t>feature</w:t>
            </w:r>
          </w:p>
        </w:tc>
        <w:tc>
          <w:tcPr>
            <w:tcW w:type="dxa" w:w="2268"/>
            <w:vAlign w:val="top"/>
            <w:tcMar>
              <w:top w:w="90" w:type="dxa"/>
              <w:start w:w="100" w:type="dxa"/>
              <w:bottom w:w="90" w:type="dxa"/>
              <w:end w:w="100" w:type="dxa"/>
            </w:tcMar>
          </w:tcPr>
          <w:p>
            <w:pPr>
              <w:spacing w:after="0"/>
            </w:pPr>
            <w:r>
              <w:rPr>
                <w:sz w:val="18"/>
              </w:rPr>
              <w:t>L3_S36_F3939</w:t>
            </w:r>
          </w:p>
        </w:tc>
        <w:tc>
          <w:tcPr>
            <w:tcW w:type="dxa" w:w="4139"/>
            <w:vAlign w:val="top"/>
            <w:tcMar>
              <w:top w:w="90" w:type="dxa"/>
              <w:start w:w="100" w:type="dxa"/>
              <w:bottom w:w="90" w:type="dxa"/>
              <w:end w:w="100" w:type="dxa"/>
            </w:tcMar>
          </w:tcPr>
          <w:p>
            <w:pPr>
              <w:spacing w:after="0"/>
            </w:pPr>
            <w:r>
              <w:rPr>
                <w:sz w:val="18"/>
              </w:rPr>
              <w:t>Original model column</w:t>
            </w:r>
          </w:p>
        </w:tc>
      </w:tr>
      <w:tr>
        <w:trPr>
          <w:cantSplit/>
        </w:trPr>
        <w:tc>
          <w:tcPr>
            <w:tcW w:type="dxa" w:w="2268"/>
            <w:vAlign w:val="top"/>
            <w:tcMar>
              <w:top w:w="90" w:type="dxa"/>
              <w:start w:w="100" w:type="dxa"/>
              <w:bottom w:w="90" w:type="dxa"/>
              <w:end w:w="100" w:type="dxa"/>
            </w:tcMar>
          </w:tcPr>
          <w:p>
            <w:pPr>
              <w:spacing w:after="0"/>
            </w:pPr>
            <w:r>
              <w:rPr>
                <w:sz w:val="18"/>
              </w:rPr>
              <w:t>line</w:t>
            </w:r>
          </w:p>
        </w:tc>
        <w:tc>
          <w:tcPr>
            <w:tcW w:type="dxa" w:w="2268"/>
            <w:vAlign w:val="top"/>
            <w:tcMar>
              <w:top w:w="90" w:type="dxa"/>
              <w:start w:w="100" w:type="dxa"/>
              <w:bottom w:w="90" w:type="dxa"/>
              <w:end w:w="100" w:type="dxa"/>
            </w:tcMar>
          </w:tcPr>
          <w:p>
            <w:pPr>
              <w:spacing w:after="0"/>
            </w:pPr>
            <w:r>
              <w:rPr>
                <w:sz w:val="18"/>
              </w:rPr>
              <w:t>3</w:t>
            </w:r>
          </w:p>
        </w:tc>
        <w:tc>
          <w:tcPr>
            <w:tcW w:type="dxa" w:w="4139"/>
            <w:vAlign w:val="top"/>
            <w:tcMar>
              <w:top w:w="90" w:type="dxa"/>
              <w:start w:w="100" w:type="dxa"/>
              <w:bottom w:w="90" w:type="dxa"/>
              <w:end w:w="100" w:type="dxa"/>
            </w:tcMar>
          </w:tcPr>
          <w:p>
            <w:pPr>
              <w:spacing w:after="0"/>
            </w:pPr>
            <w:r>
              <w:rPr>
                <w:sz w:val="18"/>
              </w:rPr>
              <w:t>Group or filter by production line</w:t>
            </w:r>
          </w:p>
        </w:tc>
      </w:tr>
      <w:tr>
        <w:trPr>
          <w:cantSplit/>
        </w:trPr>
        <w:tc>
          <w:tcPr>
            <w:tcW w:type="dxa" w:w="2268"/>
            <w:vAlign w:val="top"/>
            <w:tcMar>
              <w:top w:w="90" w:type="dxa"/>
              <w:start w:w="100" w:type="dxa"/>
              <w:bottom w:w="90" w:type="dxa"/>
              <w:end w:w="100" w:type="dxa"/>
            </w:tcMar>
          </w:tcPr>
          <w:p>
            <w:pPr>
              <w:spacing w:after="0"/>
            </w:pPr>
            <w:r>
              <w:rPr>
                <w:sz w:val="18"/>
              </w:rPr>
              <w:t>station</w:t>
            </w:r>
          </w:p>
        </w:tc>
        <w:tc>
          <w:tcPr>
            <w:tcW w:type="dxa" w:w="2268"/>
            <w:vAlign w:val="top"/>
            <w:tcMar>
              <w:top w:w="90" w:type="dxa"/>
              <w:start w:w="100" w:type="dxa"/>
              <w:bottom w:w="90" w:type="dxa"/>
              <w:end w:w="100" w:type="dxa"/>
            </w:tcMar>
          </w:tcPr>
          <w:p>
            <w:pPr>
              <w:spacing w:after="0"/>
            </w:pPr>
            <w:r>
              <w:rPr>
                <w:sz w:val="18"/>
              </w:rPr>
              <w:t>36</w:t>
            </w:r>
          </w:p>
        </w:tc>
        <w:tc>
          <w:tcPr>
            <w:tcW w:type="dxa" w:w="4139"/>
            <w:vAlign w:val="top"/>
            <w:tcMar>
              <w:top w:w="90" w:type="dxa"/>
              <w:start w:w="100" w:type="dxa"/>
              <w:bottom w:w="90" w:type="dxa"/>
              <w:end w:w="100" w:type="dxa"/>
            </w:tcMar>
          </w:tcPr>
          <w:p>
            <w:pPr>
              <w:spacing w:after="0"/>
            </w:pPr>
            <w:r>
              <w:rPr>
                <w:sz w:val="18"/>
              </w:rPr>
              <w:t>Group by station number</w:t>
            </w:r>
          </w:p>
        </w:tc>
      </w:tr>
      <w:tr>
        <w:trPr>
          <w:cantSplit/>
        </w:trPr>
        <w:tc>
          <w:tcPr>
            <w:tcW w:type="dxa" w:w="2268"/>
            <w:vAlign w:val="top"/>
            <w:tcMar>
              <w:top w:w="90" w:type="dxa"/>
              <w:start w:w="100" w:type="dxa"/>
              <w:bottom w:w="90" w:type="dxa"/>
              <w:end w:w="100" w:type="dxa"/>
            </w:tcMar>
          </w:tcPr>
          <w:p>
            <w:pPr>
              <w:spacing w:after="0"/>
            </w:pPr>
            <w:r>
              <w:rPr>
                <w:sz w:val="18"/>
              </w:rPr>
              <w:t>station_key</w:t>
            </w:r>
          </w:p>
        </w:tc>
        <w:tc>
          <w:tcPr>
            <w:tcW w:type="dxa" w:w="2268"/>
            <w:vAlign w:val="top"/>
            <w:tcMar>
              <w:top w:w="90" w:type="dxa"/>
              <w:start w:w="100" w:type="dxa"/>
              <w:bottom w:w="90" w:type="dxa"/>
              <w:end w:w="100" w:type="dxa"/>
            </w:tcMar>
          </w:tcPr>
          <w:p>
            <w:pPr>
              <w:spacing w:after="0"/>
            </w:pPr>
            <w:r>
              <w:rPr>
                <w:sz w:val="18"/>
              </w:rPr>
              <w:t>L3_S36</w:t>
            </w:r>
          </w:p>
        </w:tc>
        <w:tc>
          <w:tcPr>
            <w:tcW w:type="dxa" w:w="4139"/>
            <w:vAlign w:val="top"/>
            <w:tcMar>
              <w:top w:w="90" w:type="dxa"/>
              <w:start w:w="100" w:type="dxa"/>
              <w:bottom w:w="90" w:type="dxa"/>
              <w:end w:w="100" w:type="dxa"/>
            </w:tcMar>
          </w:tcPr>
          <w:p>
            <w:pPr>
              <w:spacing w:after="0"/>
            </w:pPr>
            <w:r>
              <w:rPr>
                <w:sz w:val="18"/>
              </w:rPr>
              <w:t>Stable display and join key</w:t>
            </w:r>
          </w:p>
        </w:tc>
      </w:tr>
      <w:tr>
        <w:trPr>
          <w:cantSplit/>
        </w:trPr>
        <w:tc>
          <w:tcPr>
            <w:tcW w:type="dxa" w:w="2268"/>
            <w:vAlign w:val="top"/>
            <w:tcMar>
              <w:top w:w="90" w:type="dxa"/>
              <w:start w:w="100" w:type="dxa"/>
              <w:bottom w:w="90" w:type="dxa"/>
              <w:end w:w="100" w:type="dxa"/>
            </w:tcMar>
          </w:tcPr>
          <w:p>
            <w:pPr>
              <w:spacing w:after="0"/>
            </w:pPr>
            <w:r>
              <w:rPr>
                <w:sz w:val="18"/>
              </w:rPr>
              <w:t>data_type</w:t>
            </w:r>
          </w:p>
        </w:tc>
        <w:tc>
          <w:tcPr>
            <w:tcW w:type="dxa" w:w="2268"/>
            <w:vAlign w:val="top"/>
            <w:tcMar>
              <w:top w:w="90" w:type="dxa"/>
              <w:start w:w="100" w:type="dxa"/>
              <w:bottom w:w="90" w:type="dxa"/>
              <w:end w:w="100" w:type="dxa"/>
            </w:tcMar>
          </w:tcPr>
          <w:p>
            <w:pPr>
              <w:spacing w:after="0"/>
            </w:pPr>
            <w:r>
              <w:rPr>
                <w:sz w:val="18"/>
              </w:rPr>
              <w:t>numeric</w:t>
            </w:r>
          </w:p>
        </w:tc>
        <w:tc>
          <w:tcPr>
            <w:tcW w:type="dxa" w:w="4139"/>
            <w:vAlign w:val="top"/>
            <w:tcMar>
              <w:top w:w="90" w:type="dxa"/>
              <w:start w:w="100" w:type="dxa"/>
              <w:bottom w:w="90" w:type="dxa"/>
              <w:end w:w="100" w:type="dxa"/>
            </w:tcMar>
          </w:tcPr>
          <w:p>
            <w:pPr>
              <w:spacing w:after="0"/>
            </w:pPr>
            <w:r>
              <w:rPr>
                <w:sz w:val="18"/>
              </w:rPr>
              <w:t>Choose preprocessing pipeline</w:t>
            </w:r>
          </w:p>
        </w:tc>
      </w:tr>
      <w:tr>
        <w:trPr>
          <w:cantSplit/>
        </w:trPr>
        <w:tc>
          <w:tcPr>
            <w:tcW w:type="dxa" w:w="2268"/>
            <w:vAlign w:val="top"/>
            <w:tcMar>
              <w:top w:w="90" w:type="dxa"/>
              <w:start w:w="100" w:type="dxa"/>
              <w:bottom w:w="90" w:type="dxa"/>
              <w:end w:w="100" w:type="dxa"/>
            </w:tcMar>
          </w:tcPr>
          <w:p>
            <w:pPr>
              <w:spacing w:after="0"/>
            </w:pPr>
            <w:r>
              <w:rPr>
                <w:sz w:val="18"/>
              </w:rPr>
              <w:t>feature_number</w:t>
            </w:r>
          </w:p>
        </w:tc>
        <w:tc>
          <w:tcPr>
            <w:tcW w:type="dxa" w:w="2268"/>
            <w:vAlign w:val="top"/>
            <w:tcMar>
              <w:top w:w="90" w:type="dxa"/>
              <w:start w:w="100" w:type="dxa"/>
              <w:bottom w:w="90" w:type="dxa"/>
              <w:end w:w="100" w:type="dxa"/>
            </w:tcMar>
          </w:tcPr>
          <w:p>
            <w:pPr>
              <w:spacing w:after="0"/>
            </w:pPr>
            <w:r>
              <w:rPr>
                <w:sz w:val="18"/>
              </w:rPr>
              <w:t>3939</w:t>
            </w:r>
          </w:p>
        </w:tc>
        <w:tc>
          <w:tcPr>
            <w:tcW w:type="dxa" w:w="4139"/>
            <w:vAlign w:val="top"/>
            <w:tcMar>
              <w:top w:w="90" w:type="dxa"/>
              <w:start w:w="100" w:type="dxa"/>
              <w:bottom w:w="90" w:type="dxa"/>
              <w:end w:w="100" w:type="dxa"/>
            </w:tcMar>
          </w:tcPr>
          <w:p>
            <w:pPr>
              <w:spacing w:after="0"/>
            </w:pPr>
            <w:r>
              <w:rPr>
                <w:sz w:val="18"/>
              </w:rPr>
              <w:t>Trace anonymous feature identifier</w:t>
            </w:r>
          </w:p>
        </w:tc>
      </w:tr>
      <w:tr>
        <w:trPr>
          <w:cantSplit/>
        </w:trPr>
        <w:tc>
          <w:tcPr>
            <w:tcW w:type="dxa" w:w="2268"/>
            <w:vAlign w:val="top"/>
            <w:tcMar>
              <w:top w:w="90" w:type="dxa"/>
              <w:start w:w="100" w:type="dxa"/>
              <w:bottom w:w="90" w:type="dxa"/>
              <w:end w:w="100" w:type="dxa"/>
            </w:tcMar>
          </w:tcPr>
          <w:p>
            <w:pPr>
              <w:spacing w:after="0"/>
            </w:pPr>
            <w:r>
              <w:rPr>
                <w:sz w:val="18"/>
              </w:rPr>
              <w:t>missing_pct</w:t>
            </w:r>
          </w:p>
        </w:tc>
        <w:tc>
          <w:tcPr>
            <w:tcW w:type="dxa" w:w="2268"/>
            <w:vAlign w:val="top"/>
            <w:tcMar>
              <w:top w:w="90" w:type="dxa"/>
              <w:start w:w="100" w:type="dxa"/>
              <w:bottom w:w="90" w:type="dxa"/>
              <w:end w:w="100" w:type="dxa"/>
            </w:tcMar>
          </w:tcPr>
          <w:p>
            <w:pPr>
              <w:spacing w:after="0"/>
            </w:pPr>
            <w:r>
              <w:rPr>
                <w:sz w:val="18"/>
              </w:rPr>
              <w:t>99.2%</w:t>
            </w:r>
          </w:p>
        </w:tc>
        <w:tc>
          <w:tcPr>
            <w:tcW w:type="dxa" w:w="4139"/>
            <w:vAlign w:val="top"/>
            <w:tcMar>
              <w:top w:w="90" w:type="dxa"/>
              <w:start w:w="100" w:type="dxa"/>
              <w:bottom w:w="90" w:type="dxa"/>
              <w:end w:w="100" w:type="dxa"/>
            </w:tcMar>
          </w:tcPr>
          <w:p>
            <w:pPr>
              <w:spacing w:after="0"/>
            </w:pPr>
            <w:r>
              <w:rPr>
                <w:sz w:val="18"/>
              </w:rPr>
              <w:t>Assess availability and sparsity</w:t>
            </w:r>
          </w:p>
        </w:tc>
      </w:tr>
    </w:tbl>
    <w:p/>
    <w:p>
      <w:pPr>
        <w:pStyle w:val="Heading1"/>
        <w:keepNext/>
      </w:pPr>
      <w:r>
        <w:t>13.4 Structural findings from parsing</w:t>
      </w:r>
    </w:p>
    <w:p>
      <w:r>
        <w:t>The project parsed 4,264 feature columns across four lines and 52 stations. Parsing reveals a highly uneven distribution: Line 1 contains 2,361 features but only two encoded stations, while Line 0 contains 675 features across 24 stations. These are dataset structures, not direct measures of line size, workload, or importance [6].</w:t>
      </w:r>
    </w:p>
    <w:tbl>
      <w:tblPr>
        <w:tblStyle w:val="TableGrid"/>
        <w:tblW w:type="auto" w:w="0"/>
        <w:jc w:val="center"/>
        <w:tblLook w:firstColumn="1" w:firstRow="1" w:lastColumn="0" w:lastRow="0" w:noHBand="0" w:noVBand="1" w:val="04A0"/>
      </w:tblPr>
      <w:tblGrid>
        <w:gridCol w:w="2381"/>
        <w:gridCol w:w="2381"/>
        <w:gridCol w:w="2381"/>
        <w:gridCol w:w="2381"/>
      </w:tblGrid>
      <w:tr>
        <w:trPr>
          <w:tblHeader/>
          <w:cantSplit/>
        </w:trPr>
        <w:tc>
          <w:tcPr>
            <w:tcW w:type="dxa" w:w="1417"/>
            <w:shd w:fill="1F4E79"/>
            <w:vAlign w:val="center"/>
          </w:tcPr>
          <w:p>
            <w:r>
              <w:rPr>
                <w:b/>
                <w:color w:val="FFFFFF"/>
                <w:sz w:val="19"/>
              </w:rPr>
              <w:t>Line</w:t>
            </w:r>
          </w:p>
        </w:tc>
        <w:tc>
          <w:tcPr>
            <w:tcW w:type="dxa" w:w="1871"/>
            <w:shd w:fill="1F4E79"/>
            <w:vAlign w:val="center"/>
          </w:tcPr>
          <w:p>
            <w:r>
              <w:rPr>
                <w:b/>
                <w:color w:val="FFFFFF"/>
                <w:sz w:val="19"/>
              </w:rPr>
              <w:t>Station count</w:t>
            </w:r>
          </w:p>
        </w:tc>
        <w:tc>
          <w:tcPr>
            <w:tcW w:type="dxa" w:w="1984"/>
            <w:shd w:fill="1F4E79"/>
            <w:vAlign w:val="center"/>
          </w:tcPr>
          <w:p>
            <w:r>
              <w:rPr>
                <w:b/>
                <w:color w:val="FFFFFF"/>
                <w:sz w:val="19"/>
              </w:rPr>
              <w:t>Total features</w:t>
            </w:r>
          </w:p>
        </w:tc>
        <w:tc>
          <w:tcPr>
            <w:tcW w:type="dxa" w:w="3288"/>
            <w:shd w:fill="1F4E79"/>
            <w:vAlign w:val="center"/>
          </w:tcPr>
          <w:p>
            <w:r>
              <w:rPr>
                <w:b/>
                <w:color w:val="FFFFFF"/>
                <w:sz w:val="19"/>
              </w:rPr>
              <w:t>Share of 4,264 features</w:t>
            </w:r>
          </w:p>
        </w:tc>
      </w:tr>
      <w:tr>
        <w:trPr>
          <w:cantSplit/>
        </w:trPr>
        <w:tc>
          <w:tcPr>
            <w:tcW w:type="dxa" w:w="1417"/>
            <w:vAlign w:val="top"/>
            <w:tcMar>
              <w:top w:w="90" w:type="dxa"/>
              <w:start w:w="100" w:type="dxa"/>
              <w:bottom w:w="90" w:type="dxa"/>
              <w:end w:w="100" w:type="dxa"/>
            </w:tcMar>
          </w:tcPr>
          <w:p>
            <w:pPr>
              <w:spacing w:after="0"/>
            </w:pPr>
            <w:r>
              <w:rPr>
                <w:sz w:val="18"/>
              </w:rPr>
              <w:t>L0</w:t>
            </w:r>
          </w:p>
        </w:tc>
        <w:tc>
          <w:tcPr>
            <w:tcW w:type="dxa" w:w="1871"/>
            <w:vAlign w:val="top"/>
            <w:tcMar>
              <w:top w:w="90" w:type="dxa"/>
              <w:start w:w="100" w:type="dxa"/>
              <w:bottom w:w="90" w:type="dxa"/>
              <w:end w:w="100" w:type="dxa"/>
            </w:tcMar>
          </w:tcPr>
          <w:p>
            <w:pPr>
              <w:spacing w:after="0"/>
            </w:pPr>
            <w:r>
              <w:rPr>
                <w:sz w:val="18"/>
              </w:rPr>
              <w:t>24</w:t>
            </w:r>
          </w:p>
        </w:tc>
        <w:tc>
          <w:tcPr>
            <w:tcW w:type="dxa" w:w="1984"/>
            <w:vAlign w:val="top"/>
            <w:tcMar>
              <w:top w:w="90" w:type="dxa"/>
              <w:start w:w="100" w:type="dxa"/>
              <w:bottom w:w="90" w:type="dxa"/>
              <w:end w:w="100" w:type="dxa"/>
            </w:tcMar>
          </w:tcPr>
          <w:p>
            <w:pPr>
              <w:spacing w:after="0"/>
            </w:pPr>
            <w:r>
              <w:rPr>
                <w:sz w:val="18"/>
              </w:rPr>
              <w:t>675</w:t>
            </w:r>
          </w:p>
        </w:tc>
        <w:tc>
          <w:tcPr>
            <w:tcW w:type="dxa" w:w="3288"/>
            <w:vAlign w:val="top"/>
            <w:tcMar>
              <w:top w:w="90" w:type="dxa"/>
              <w:start w:w="100" w:type="dxa"/>
              <w:bottom w:w="90" w:type="dxa"/>
              <w:end w:w="100" w:type="dxa"/>
            </w:tcMar>
          </w:tcPr>
          <w:p>
            <w:pPr>
              <w:spacing w:after="0"/>
            </w:pPr>
            <w:r>
              <w:rPr>
                <w:sz w:val="18"/>
              </w:rPr>
              <w:t>15.83%</w:t>
            </w:r>
          </w:p>
        </w:tc>
      </w:tr>
      <w:tr>
        <w:trPr>
          <w:cantSplit/>
        </w:trPr>
        <w:tc>
          <w:tcPr>
            <w:tcW w:type="dxa" w:w="1417"/>
            <w:vAlign w:val="top"/>
            <w:tcMar>
              <w:top w:w="90" w:type="dxa"/>
              <w:start w:w="100" w:type="dxa"/>
              <w:bottom w:w="90" w:type="dxa"/>
              <w:end w:w="100" w:type="dxa"/>
            </w:tcMar>
          </w:tcPr>
          <w:p>
            <w:pPr>
              <w:spacing w:after="0"/>
            </w:pPr>
            <w:r>
              <w:rPr>
                <w:sz w:val="18"/>
              </w:rPr>
              <w:t>L1</w:t>
            </w:r>
          </w:p>
        </w:tc>
        <w:tc>
          <w:tcPr>
            <w:tcW w:type="dxa" w:w="1871"/>
            <w:vAlign w:val="top"/>
            <w:tcMar>
              <w:top w:w="90" w:type="dxa"/>
              <w:start w:w="100" w:type="dxa"/>
              <w:bottom w:w="90" w:type="dxa"/>
              <w:end w:w="100" w:type="dxa"/>
            </w:tcMar>
          </w:tcPr>
          <w:p>
            <w:pPr>
              <w:spacing w:after="0"/>
            </w:pPr>
            <w:r>
              <w:rPr>
                <w:sz w:val="18"/>
              </w:rPr>
              <w:t>2</w:t>
            </w:r>
          </w:p>
        </w:tc>
        <w:tc>
          <w:tcPr>
            <w:tcW w:type="dxa" w:w="1984"/>
            <w:vAlign w:val="top"/>
            <w:tcMar>
              <w:top w:w="90" w:type="dxa"/>
              <w:start w:w="100" w:type="dxa"/>
              <w:bottom w:w="90" w:type="dxa"/>
              <w:end w:w="100" w:type="dxa"/>
            </w:tcMar>
          </w:tcPr>
          <w:p>
            <w:pPr>
              <w:spacing w:after="0"/>
            </w:pPr>
            <w:r>
              <w:rPr>
                <w:sz w:val="18"/>
              </w:rPr>
              <w:t>2,361</w:t>
            </w:r>
          </w:p>
        </w:tc>
        <w:tc>
          <w:tcPr>
            <w:tcW w:type="dxa" w:w="3288"/>
            <w:vAlign w:val="top"/>
            <w:tcMar>
              <w:top w:w="90" w:type="dxa"/>
              <w:start w:w="100" w:type="dxa"/>
              <w:bottom w:w="90" w:type="dxa"/>
              <w:end w:w="100" w:type="dxa"/>
            </w:tcMar>
          </w:tcPr>
          <w:p>
            <w:pPr>
              <w:spacing w:after="0"/>
            </w:pPr>
            <w:r>
              <w:rPr>
                <w:sz w:val="18"/>
              </w:rPr>
              <w:t>55.37%</w:t>
            </w:r>
          </w:p>
        </w:tc>
      </w:tr>
      <w:tr>
        <w:trPr>
          <w:cantSplit/>
        </w:trPr>
        <w:tc>
          <w:tcPr>
            <w:tcW w:type="dxa" w:w="1417"/>
            <w:vAlign w:val="top"/>
            <w:tcMar>
              <w:top w:w="90" w:type="dxa"/>
              <w:start w:w="100" w:type="dxa"/>
              <w:bottom w:w="90" w:type="dxa"/>
              <w:end w:w="100" w:type="dxa"/>
            </w:tcMar>
          </w:tcPr>
          <w:p>
            <w:pPr>
              <w:spacing w:after="0"/>
            </w:pPr>
            <w:r>
              <w:rPr>
                <w:sz w:val="18"/>
              </w:rPr>
              <w:t>L2</w:t>
            </w:r>
          </w:p>
        </w:tc>
        <w:tc>
          <w:tcPr>
            <w:tcW w:type="dxa" w:w="1871"/>
            <w:vAlign w:val="top"/>
            <w:tcMar>
              <w:top w:w="90" w:type="dxa"/>
              <w:start w:w="100" w:type="dxa"/>
              <w:bottom w:w="90" w:type="dxa"/>
              <w:end w:w="100" w:type="dxa"/>
            </w:tcMar>
          </w:tcPr>
          <w:p>
            <w:pPr>
              <w:spacing w:after="0"/>
            </w:pPr>
            <w:r>
              <w:rPr>
                <w:sz w:val="18"/>
              </w:rPr>
              <w:t>3</w:t>
            </w:r>
          </w:p>
        </w:tc>
        <w:tc>
          <w:tcPr>
            <w:tcW w:type="dxa" w:w="1984"/>
            <w:vAlign w:val="top"/>
            <w:tcMar>
              <w:top w:w="90" w:type="dxa"/>
              <w:start w:w="100" w:type="dxa"/>
              <w:bottom w:w="90" w:type="dxa"/>
              <w:end w:w="100" w:type="dxa"/>
            </w:tcMar>
          </w:tcPr>
          <w:p>
            <w:pPr>
              <w:spacing w:after="0"/>
            </w:pPr>
            <w:r>
              <w:rPr>
                <w:sz w:val="18"/>
              </w:rPr>
              <w:t>279</w:t>
            </w:r>
          </w:p>
        </w:tc>
        <w:tc>
          <w:tcPr>
            <w:tcW w:type="dxa" w:w="3288"/>
            <w:vAlign w:val="top"/>
            <w:tcMar>
              <w:top w:w="90" w:type="dxa"/>
              <w:start w:w="100" w:type="dxa"/>
              <w:bottom w:w="90" w:type="dxa"/>
              <w:end w:w="100" w:type="dxa"/>
            </w:tcMar>
          </w:tcPr>
          <w:p>
            <w:pPr>
              <w:spacing w:after="0"/>
            </w:pPr>
            <w:r>
              <w:rPr>
                <w:sz w:val="18"/>
              </w:rPr>
              <w:t>6.54%</w:t>
            </w:r>
          </w:p>
        </w:tc>
      </w:tr>
      <w:tr>
        <w:trPr>
          <w:cantSplit/>
        </w:trPr>
        <w:tc>
          <w:tcPr>
            <w:tcW w:type="dxa" w:w="1417"/>
            <w:vAlign w:val="top"/>
            <w:tcMar>
              <w:top w:w="90" w:type="dxa"/>
              <w:start w:w="100" w:type="dxa"/>
              <w:bottom w:w="90" w:type="dxa"/>
              <w:end w:w="100" w:type="dxa"/>
            </w:tcMar>
          </w:tcPr>
          <w:p>
            <w:pPr>
              <w:spacing w:after="0"/>
            </w:pPr>
            <w:r>
              <w:rPr>
                <w:sz w:val="18"/>
              </w:rPr>
              <w:t>L3</w:t>
            </w:r>
          </w:p>
        </w:tc>
        <w:tc>
          <w:tcPr>
            <w:tcW w:type="dxa" w:w="1871"/>
            <w:vAlign w:val="top"/>
            <w:tcMar>
              <w:top w:w="90" w:type="dxa"/>
              <w:start w:w="100" w:type="dxa"/>
              <w:bottom w:w="90" w:type="dxa"/>
              <w:end w:w="100" w:type="dxa"/>
            </w:tcMar>
          </w:tcPr>
          <w:p>
            <w:pPr>
              <w:spacing w:after="0"/>
            </w:pPr>
            <w:r>
              <w:rPr>
                <w:sz w:val="18"/>
              </w:rPr>
              <w:t>23</w:t>
            </w:r>
          </w:p>
        </w:tc>
        <w:tc>
          <w:tcPr>
            <w:tcW w:type="dxa" w:w="1984"/>
            <w:vAlign w:val="top"/>
            <w:tcMar>
              <w:top w:w="90" w:type="dxa"/>
              <w:start w:w="100" w:type="dxa"/>
              <w:bottom w:w="90" w:type="dxa"/>
              <w:end w:w="100" w:type="dxa"/>
            </w:tcMar>
          </w:tcPr>
          <w:p>
            <w:pPr>
              <w:spacing w:after="0"/>
            </w:pPr>
            <w:r>
              <w:rPr>
                <w:sz w:val="18"/>
              </w:rPr>
              <w:t>949</w:t>
            </w:r>
          </w:p>
        </w:tc>
        <w:tc>
          <w:tcPr>
            <w:tcW w:type="dxa" w:w="3288"/>
            <w:vAlign w:val="top"/>
            <w:tcMar>
              <w:top w:w="90" w:type="dxa"/>
              <w:start w:w="100" w:type="dxa"/>
              <w:bottom w:w="90" w:type="dxa"/>
              <w:end w:w="100" w:type="dxa"/>
            </w:tcMar>
          </w:tcPr>
          <w:p>
            <w:pPr>
              <w:spacing w:after="0"/>
            </w:pPr>
            <w:r>
              <w:rPr>
                <w:sz w:val="18"/>
              </w:rPr>
              <w:t>22.26%</w:t>
            </w:r>
          </w:p>
        </w:tc>
      </w:tr>
    </w:tbl>
    <w:p/>
    <w:p>
      <w:pPr>
        <w:pStyle w:val="Heading1"/>
        <w:keepNext/>
      </w:pPr>
      <w:r>
        <w:t>13.5 Using names to create station presence</w:t>
      </w:r>
    </w:p>
    <w:p>
      <w:r>
        <w:t>Once columns are grouped by station, a station-presence indicator can be created. The project uses date columns because an observed date is direct evidence of a recorded measurement at that station. The same grouping supports station completeness, feature counts, line summaries, flow signatures, product-family clustering, and station-level reports.</w:t>
      </w:r>
    </w:p>
    <w:p>
      <w:r>
        <w:rPr>
          <w:b/>
          <w:color w:val="1F4E79"/>
        </w:rPr>
        <w:t>Grouping columns by station</w:t>
      </w:r>
    </w:p>
    <w:tbl>
      <w:tblPr>
        <w:tblW w:type="auto" w:w="0"/>
        <w:jc w:val="center"/>
        <w:tblLook w:firstColumn="1" w:firstRow="1" w:lastColumn="0" w:lastRow="0" w:noHBand="0" w:noVBand="1" w:val="04A0"/>
      </w:tblPr>
      <w:tblGrid>
        <w:gridCol w:w="9525"/>
      </w:tblGrid>
      <w:tr>
        <w:trPr>
          <w:cantSplit/>
        </w:trPr>
        <w:tc>
          <w:tcPr>
            <w:tcW w:type="dxa" w:w="9525"/>
            <w:shd w:fill="F2F2F2"/>
            <w:tcMar>
              <w:top w:w="160" w:type="dxa"/>
              <w:start w:w="180" w:type="dxa"/>
              <w:bottom w:w="160" w:type="dxa"/>
              <w:end w:w="180" w:type="dxa"/>
            </w:tcMar>
          </w:tcPr>
          <w:p>
            <w:pPr>
              <w:spacing w:after="0"/>
            </w:pPr>
            <w:r>
              <w:rPr>
                <w:rFonts w:ascii="Consolas" w:hAnsi="Consolas" w:eastAsia="Consolas"/>
                <w:sz w:val="17"/>
              </w:rPr>
              <w:t>from collections import defaultdict</w:t>
            </w:r>
            <w:r>
              <w:br/>
            </w:r>
            <w:r>
              <w:rPr>
                <w:rFonts w:ascii="Consolas" w:hAnsi="Consolas" w:eastAsia="Consolas"/>
                <w:sz w:val="17"/>
              </w:rPr>
            </w:r>
            <w:r>
              <w:br/>
            </w:r>
            <w:r>
              <w:rPr>
                <w:rFonts w:ascii="Consolas" w:hAnsi="Consolas" w:eastAsia="Consolas"/>
                <w:sz w:val="17"/>
              </w:rPr>
              <w:t>station_to_date_columns = defaultdict(list)</w:t>
            </w:r>
            <w:r>
              <w:br/>
            </w:r>
            <w:r>
              <w:rPr>
                <w:rFonts w:ascii="Consolas" w:hAnsi="Consolas" w:eastAsia="Consolas"/>
                <w:sz w:val="17"/>
              </w:rPr>
              <w:t>for column in date_columns:</w:t>
            </w:r>
            <w:r>
              <w:br/>
            </w:r>
            <w:r>
              <w:rPr>
                <w:rFonts w:ascii="Consolas" w:hAnsi="Consolas" w:eastAsia="Consolas"/>
                <w:sz w:val="17"/>
              </w:rPr>
              <w:t xml:space="preserve">    meta = parse_feature(column, "date")</w:t>
            </w:r>
            <w:r>
              <w:br/>
            </w:r>
            <w:r>
              <w:rPr>
                <w:rFonts w:ascii="Consolas" w:hAnsi="Consolas" w:eastAsia="Consolas"/>
                <w:sz w:val="17"/>
              </w:rPr>
              <w:t xml:space="preserve">    station_to_date_columns[meta["station_key"]].append(column)</w:t>
            </w:r>
            <w:r>
              <w:br/>
            </w:r>
            <w:r>
              <w:rPr>
                <w:rFonts w:ascii="Consolas" w:hAnsi="Consolas" w:eastAsia="Consolas"/>
                <w:sz w:val="17"/>
              </w:rPr>
            </w:r>
            <w:r>
              <w:br/>
            </w:r>
            <w:r>
              <w:rPr>
                <w:rFonts w:ascii="Consolas" w:hAnsi="Consolas" w:eastAsia="Consolas"/>
                <w:sz w:val="17"/>
              </w:rPr>
              <w:t>for station_key, columns in station_to_date_columns.items():</w:t>
            </w:r>
            <w:r>
              <w:br/>
            </w:r>
            <w:r>
              <w:rPr>
                <w:rFonts w:ascii="Consolas" w:hAnsi="Consolas" w:eastAsia="Consolas"/>
                <w:sz w:val="17"/>
              </w:rPr>
              <w:t xml:space="preserve">    flow[f"present_{station_key}"] = dates[columns].notna().any(axis=1)</w:t>
            </w:r>
          </w:p>
        </w:tc>
      </w:tr>
    </w:tbl>
    <w:p/>
    <w:p>
      <w:pPr>
        <w:pStyle w:val="Heading1"/>
        <w:keepNext/>
      </w:pPr>
      <w:r>
        <w:t>13.6 Naming collisions and data types</w:t>
      </w:r>
    </w:p>
    <w:p>
      <w:r>
        <w:t>Numerical and categorical files can contain feature columns with the same structural pattern. The data type must therefore be stored separately in metadata. A complete unique key for the feature registry may combine data_type and feature name. Date features use D rather than F, but the station key remains the same.</w:t>
      </w:r>
    </w:p>
    <w:p>
      <w:pPr>
        <w:pStyle w:val="Heading1"/>
        <w:keepNext/>
      </w:pPr>
      <w:r>
        <w:t>13.7 Validation rules</w:t>
      </w:r>
    </w:p>
    <w:p>
      <w:pPr>
        <w:ind w:left="369" w:hanging="255"/>
      </w:pPr>
      <w:r>
        <w:t>1.  Exclude non-feature columns such as Id and Response before applying the regex.</w:t>
      </w:r>
    </w:p>
    <w:p>
      <w:pPr>
        <w:ind w:left="369" w:hanging="255"/>
      </w:pPr>
      <w:r>
        <w:t>2.  Reject unexpected names instead of silently assigning incorrect metadata.</w:t>
      </w:r>
    </w:p>
    <w:p>
      <w:pPr>
        <w:ind w:left="369" w:hanging="255"/>
      </w:pPr>
      <w:r>
        <w:t>3.  Verify that line and station values match the known dataset inventory.</w:t>
      </w:r>
    </w:p>
    <w:p>
      <w:pPr>
        <w:ind w:left="369" w:hanging="255"/>
      </w:pPr>
      <w:r>
        <w:t>4.  Record data type from the source file rather than inferring it only from F.</w:t>
      </w:r>
    </w:p>
    <w:p>
      <w:pPr>
        <w:ind w:left="369" w:hanging="255"/>
      </w:pPr>
      <w:r>
        <w:t>5.  Compare train and test feature sets and flag missing or extra columns.</w:t>
      </w:r>
    </w:p>
    <w:p>
      <w:pPr>
        <w:ind w:left="369" w:hanging="255"/>
      </w:pPr>
      <w:r>
        <w:t>6.  Store the parser version so future schema changes are traceable.</w:t>
      </w:r>
    </w:p>
    <w:p>
      <w:pPr>
        <w:pStyle w:val="Heading1"/>
        <w:keepNext/>
      </w:pPr>
      <w:r>
        <w:t>13.8 Reader practice</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rPr>
          <w:tblHeader/>
          <w:cantSplit/>
        </w:trPr>
        <w:tc>
          <w:tcPr>
            <w:tcW w:type="dxa" w:w="2268"/>
            <w:shd w:fill="1F4E79"/>
            <w:vAlign w:val="center"/>
          </w:tcPr>
          <w:p>
            <w:r>
              <w:rPr>
                <w:b/>
                <w:color w:val="FFFFFF"/>
                <w:sz w:val="19"/>
              </w:rPr>
              <w:t>Feature name</w:t>
            </w:r>
          </w:p>
        </w:tc>
        <w:tc>
          <w:tcPr>
            <w:tcW w:type="dxa" w:w="850"/>
            <w:shd w:fill="1F4E79"/>
            <w:vAlign w:val="center"/>
          </w:tcPr>
          <w:p>
            <w:r>
              <w:rPr>
                <w:b/>
                <w:color w:val="FFFFFF"/>
                <w:sz w:val="19"/>
              </w:rPr>
              <w:t>Line</w:t>
            </w:r>
          </w:p>
        </w:tc>
        <w:tc>
          <w:tcPr>
            <w:tcW w:type="dxa" w:w="1134"/>
            <w:shd w:fill="1F4E79"/>
            <w:vAlign w:val="center"/>
          </w:tcPr>
          <w:p>
            <w:r>
              <w:rPr>
                <w:b/>
                <w:color w:val="FFFFFF"/>
                <w:sz w:val="19"/>
              </w:rPr>
              <w:t>Station</w:t>
            </w:r>
          </w:p>
        </w:tc>
        <w:tc>
          <w:tcPr>
            <w:tcW w:type="dxa" w:w="1247"/>
            <w:shd w:fill="1F4E79"/>
            <w:vAlign w:val="center"/>
          </w:tcPr>
          <w:p>
            <w:r>
              <w:rPr>
                <w:b/>
                <w:color w:val="FFFFFF"/>
                <w:sz w:val="19"/>
              </w:rPr>
              <w:t>Kind</w:t>
            </w:r>
          </w:p>
        </w:tc>
        <w:tc>
          <w:tcPr>
            <w:tcW w:type="dxa" w:w="1247"/>
            <w:shd w:fill="1F4E79"/>
            <w:vAlign w:val="center"/>
          </w:tcPr>
          <w:p>
            <w:r>
              <w:rPr>
                <w:b/>
                <w:color w:val="FFFFFF"/>
                <w:sz w:val="19"/>
              </w:rPr>
              <w:t>Number</w:t>
            </w:r>
          </w:p>
        </w:tc>
        <w:tc>
          <w:tcPr>
            <w:tcW w:type="dxa" w:w="1984"/>
            <w:shd w:fill="1F4E79"/>
            <w:vAlign w:val="center"/>
          </w:tcPr>
          <w:p>
            <w:r>
              <w:rPr>
                <w:b/>
                <w:color w:val="FFFFFF"/>
                <w:sz w:val="19"/>
              </w:rPr>
              <w:t>Station key</w:t>
            </w:r>
          </w:p>
        </w:tc>
      </w:tr>
      <w:tr>
        <w:trPr>
          <w:cantSplit/>
        </w:trPr>
        <w:tc>
          <w:tcPr>
            <w:tcW w:type="dxa" w:w="2268"/>
            <w:vAlign w:val="top"/>
            <w:tcMar>
              <w:top w:w="90" w:type="dxa"/>
              <w:start w:w="100" w:type="dxa"/>
              <w:bottom w:w="90" w:type="dxa"/>
              <w:end w:w="100" w:type="dxa"/>
            </w:tcMar>
          </w:tcPr>
          <w:p>
            <w:pPr>
              <w:spacing w:after="0"/>
            </w:pPr>
            <w:r>
              <w:rPr>
                <w:sz w:val="18"/>
              </w:rPr>
              <w:t>L0_S0_F0</w:t>
            </w:r>
          </w:p>
        </w:tc>
        <w:tc>
          <w:tcPr>
            <w:tcW w:type="dxa" w:w="850"/>
            <w:vAlign w:val="top"/>
            <w:tcMar>
              <w:top w:w="90" w:type="dxa"/>
              <w:start w:w="100" w:type="dxa"/>
              <w:bottom w:w="90" w:type="dxa"/>
              <w:end w:w="100" w:type="dxa"/>
            </w:tcMar>
          </w:tcPr>
          <w:p>
            <w:pPr>
              <w:spacing w:after="0"/>
            </w:pPr>
            <w:r>
              <w:rPr>
                <w:sz w:val="18"/>
              </w:rPr>
              <w:t>0</w:t>
            </w:r>
          </w:p>
        </w:tc>
        <w:tc>
          <w:tcPr>
            <w:tcW w:type="dxa" w:w="1134"/>
            <w:vAlign w:val="top"/>
            <w:tcMar>
              <w:top w:w="90" w:type="dxa"/>
              <w:start w:w="100" w:type="dxa"/>
              <w:bottom w:w="90" w:type="dxa"/>
              <w:end w:w="100" w:type="dxa"/>
            </w:tcMar>
          </w:tcPr>
          <w:p>
            <w:pPr>
              <w:spacing w:after="0"/>
            </w:pPr>
            <w:r>
              <w:rPr>
                <w:sz w:val="18"/>
              </w:rPr>
              <w:t>0</w:t>
            </w:r>
          </w:p>
        </w:tc>
        <w:tc>
          <w:tcPr>
            <w:tcW w:type="dxa" w:w="1247"/>
            <w:vAlign w:val="top"/>
            <w:tcMar>
              <w:top w:w="90" w:type="dxa"/>
              <w:start w:w="100" w:type="dxa"/>
              <w:bottom w:w="90" w:type="dxa"/>
              <w:end w:w="100" w:type="dxa"/>
            </w:tcMar>
          </w:tcPr>
          <w:p>
            <w:pPr>
              <w:spacing w:after="0"/>
            </w:pPr>
            <w:r>
              <w:rPr>
                <w:sz w:val="18"/>
              </w:rPr>
              <w:t>Feature</w:t>
            </w:r>
          </w:p>
        </w:tc>
        <w:tc>
          <w:tcPr>
            <w:tcW w:type="dxa" w:w="1247"/>
            <w:vAlign w:val="top"/>
            <w:tcMar>
              <w:top w:w="90" w:type="dxa"/>
              <w:start w:w="100" w:type="dxa"/>
              <w:bottom w:w="90" w:type="dxa"/>
              <w:end w:w="100" w:type="dxa"/>
            </w:tcMar>
          </w:tcPr>
          <w:p>
            <w:pPr>
              <w:spacing w:after="0"/>
            </w:pPr>
            <w:r>
              <w:rPr>
                <w:sz w:val="18"/>
              </w:rPr>
              <w:t>0</w:t>
            </w:r>
          </w:p>
        </w:tc>
        <w:tc>
          <w:tcPr>
            <w:tcW w:type="dxa" w:w="1984"/>
            <w:vAlign w:val="top"/>
            <w:tcMar>
              <w:top w:w="90" w:type="dxa"/>
              <w:start w:w="100" w:type="dxa"/>
              <w:bottom w:w="90" w:type="dxa"/>
              <w:end w:w="100" w:type="dxa"/>
            </w:tcMar>
          </w:tcPr>
          <w:p>
            <w:pPr>
              <w:spacing w:after="0"/>
            </w:pPr>
            <w:r>
              <w:rPr>
                <w:sz w:val="18"/>
              </w:rPr>
              <w:t>L0_S0</w:t>
            </w:r>
          </w:p>
        </w:tc>
      </w:tr>
      <w:tr>
        <w:trPr>
          <w:cantSplit/>
        </w:trPr>
        <w:tc>
          <w:tcPr>
            <w:tcW w:type="dxa" w:w="2268"/>
            <w:vAlign w:val="top"/>
            <w:tcMar>
              <w:top w:w="90" w:type="dxa"/>
              <w:start w:w="100" w:type="dxa"/>
              <w:bottom w:w="90" w:type="dxa"/>
              <w:end w:w="100" w:type="dxa"/>
            </w:tcMar>
          </w:tcPr>
          <w:p>
            <w:pPr>
              <w:spacing w:after="0"/>
            </w:pPr>
            <w:r>
              <w:rPr>
                <w:sz w:val="18"/>
              </w:rPr>
              <w:t>L0_S0_D1</w:t>
            </w:r>
          </w:p>
        </w:tc>
        <w:tc>
          <w:tcPr>
            <w:tcW w:type="dxa" w:w="850"/>
            <w:vAlign w:val="top"/>
            <w:tcMar>
              <w:top w:w="90" w:type="dxa"/>
              <w:start w:w="100" w:type="dxa"/>
              <w:bottom w:w="90" w:type="dxa"/>
              <w:end w:w="100" w:type="dxa"/>
            </w:tcMar>
          </w:tcPr>
          <w:p>
            <w:pPr>
              <w:spacing w:after="0"/>
            </w:pPr>
            <w:r>
              <w:rPr>
                <w:sz w:val="18"/>
              </w:rPr>
              <w:t>0</w:t>
            </w:r>
          </w:p>
        </w:tc>
        <w:tc>
          <w:tcPr>
            <w:tcW w:type="dxa" w:w="1134"/>
            <w:vAlign w:val="top"/>
            <w:tcMar>
              <w:top w:w="90" w:type="dxa"/>
              <w:start w:w="100" w:type="dxa"/>
              <w:bottom w:w="90" w:type="dxa"/>
              <w:end w:w="100" w:type="dxa"/>
            </w:tcMar>
          </w:tcPr>
          <w:p>
            <w:pPr>
              <w:spacing w:after="0"/>
            </w:pPr>
            <w:r>
              <w:rPr>
                <w:sz w:val="18"/>
              </w:rPr>
              <w:t>0</w:t>
            </w:r>
          </w:p>
        </w:tc>
        <w:tc>
          <w:tcPr>
            <w:tcW w:type="dxa" w:w="1247"/>
            <w:vAlign w:val="top"/>
            <w:tcMar>
              <w:top w:w="90" w:type="dxa"/>
              <w:start w:w="100" w:type="dxa"/>
              <w:bottom w:w="90" w:type="dxa"/>
              <w:end w:w="100" w:type="dxa"/>
            </w:tcMar>
          </w:tcPr>
          <w:p>
            <w:pPr>
              <w:spacing w:after="0"/>
            </w:pPr>
            <w:r>
              <w:rPr>
                <w:sz w:val="18"/>
              </w:rPr>
              <w:t>Date</w:t>
            </w:r>
          </w:p>
        </w:tc>
        <w:tc>
          <w:tcPr>
            <w:tcW w:type="dxa" w:w="1247"/>
            <w:vAlign w:val="top"/>
            <w:tcMar>
              <w:top w:w="90" w:type="dxa"/>
              <w:start w:w="100" w:type="dxa"/>
              <w:bottom w:w="90" w:type="dxa"/>
              <w:end w:w="100" w:type="dxa"/>
            </w:tcMar>
          </w:tcPr>
          <w:p>
            <w:pPr>
              <w:spacing w:after="0"/>
            </w:pPr>
            <w:r>
              <w:rPr>
                <w:sz w:val="18"/>
              </w:rPr>
              <w:t>1</w:t>
            </w:r>
          </w:p>
        </w:tc>
        <w:tc>
          <w:tcPr>
            <w:tcW w:type="dxa" w:w="1984"/>
            <w:vAlign w:val="top"/>
            <w:tcMar>
              <w:top w:w="90" w:type="dxa"/>
              <w:start w:w="100" w:type="dxa"/>
              <w:bottom w:w="90" w:type="dxa"/>
              <w:end w:w="100" w:type="dxa"/>
            </w:tcMar>
          </w:tcPr>
          <w:p>
            <w:pPr>
              <w:spacing w:after="0"/>
            </w:pPr>
            <w:r>
              <w:rPr>
                <w:sz w:val="18"/>
              </w:rPr>
              <w:t>L0_S0</w:t>
            </w:r>
          </w:p>
        </w:tc>
      </w:tr>
      <w:tr>
        <w:trPr>
          <w:cantSplit/>
        </w:trPr>
        <w:tc>
          <w:tcPr>
            <w:tcW w:type="dxa" w:w="2268"/>
            <w:vAlign w:val="top"/>
            <w:tcMar>
              <w:top w:w="90" w:type="dxa"/>
              <w:start w:w="100" w:type="dxa"/>
              <w:bottom w:w="90" w:type="dxa"/>
              <w:end w:w="100" w:type="dxa"/>
            </w:tcMar>
          </w:tcPr>
          <w:p>
            <w:pPr>
              <w:spacing w:after="0"/>
            </w:pPr>
            <w:r>
              <w:rPr>
                <w:sz w:val="18"/>
              </w:rPr>
              <w:t>L1_S24_F1525</w:t>
            </w:r>
          </w:p>
        </w:tc>
        <w:tc>
          <w:tcPr>
            <w:tcW w:type="dxa" w:w="850"/>
            <w:vAlign w:val="top"/>
            <w:tcMar>
              <w:top w:w="90" w:type="dxa"/>
              <w:start w:w="100" w:type="dxa"/>
              <w:bottom w:w="90" w:type="dxa"/>
              <w:end w:w="100" w:type="dxa"/>
            </w:tcMar>
          </w:tcPr>
          <w:p>
            <w:pPr>
              <w:spacing w:after="0"/>
            </w:pPr>
            <w:r>
              <w:rPr>
                <w:sz w:val="18"/>
              </w:rPr>
              <w:t>1</w:t>
            </w:r>
          </w:p>
        </w:tc>
        <w:tc>
          <w:tcPr>
            <w:tcW w:type="dxa" w:w="1134"/>
            <w:vAlign w:val="top"/>
            <w:tcMar>
              <w:top w:w="90" w:type="dxa"/>
              <w:start w:w="100" w:type="dxa"/>
              <w:bottom w:w="90" w:type="dxa"/>
              <w:end w:w="100" w:type="dxa"/>
            </w:tcMar>
          </w:tcPr>
          <w:p>
            <w:pPr>
              <w:spacing w:after="0"/>
            </w:pPr>
            <w:r>
              <w:rPr>
                <w:sz w:val="18"/>
              </w:rPr>
              <w:t>24</w:t>
            </w:r>
          </w:p>
        </w:tc>
        <w:tc>
          <w:tcPr>
            <w:tcW w:type="dxa" w:w="1247"/>
            <w:vAlign w:val="top"/>
            <w:tcMar>
              <w:top w:w="90" w:type="dxa"/>
              <w:start w:w="100" w:type="dxa"/>
              <w:bottom w:w="90" w:type="dxa"/>
              <w:end w:w="100" w:type="dxa"/>
            </w:tcMar>
          </w:tcPr>
          <w:p>
            <w:pPr>
              <w:spacing w:after="0"/>
            </w:pPr>
            <w:r>
              <w:rPr>
                <w:sz w:val="18"/>
              </w:rPr>
              <w:t>Feature</w:t>
            </w:r>
          </w:p>
        </w:tc>
        <w:tc>
          <w:tcPr>
            <w:tcW w:type="dxa" w:w="1247"/>
            <w:vAlign w:val="top"/>
            <w:tcMar>
              <w:top w:w="90" w:type="dxa"/>
              <w:start w:w="100" w:type="dxa"/>
              <w:bottom w:w="90" w:type="dxa"/>
              <w:end w:w="100" w:type="dxa"/>
            </w:tcMar>
          </w:tcPr>
          <w:p>
            <w:pPr>
              <w:spacing w:after="0"/>
            </w:pPr>
            <w:r>
              <w:rPr>
                <w:sz w:val="18"/>
              </w:rPr>
              <w:t>1525</w:t>
            </w:r>
          </w:p>
        </w:tc>
        <w:tc>
          <w:tcPr>
            <w:tcW w:type="dxa" w:w="1984"/>
            <w:vAlign w:val="top"/>
            <w:tcMar>
              <w:top w:w="90" w:type="dxa"/>
              <w:start w:w="100" w:type="dxa"/>
              <w:bottom w:w="90" w:type="dxa"/>
              <w:end w:w="100" w:type="dxa"/>
            </w:tcMar>
          </w:tcPr>
          <w:p>
            <w:pPr>
              <w:spacing w:after="0"/>
            </w:pPr>
            <w:r>
              <w:rPr>
                <w:sz w:val="18"/>
              </w:rPr>
              <w:t>L1_S24</w:t>
            </w:r>
          </w:p>
        </w:tc>
      </w:tr>
      <w:tr>
        <w:trPr>
          <w:cantSplit/>
        </w:trPr>
        <w:tc>
          <w:tcPr>
            <w:tcW w:type="dxa" w:w="2268"/>
            <w:vAlign w:val="top"/>
            <w:tcMar>
              <w:top w:w="90" w:type="dxa"/>
              <w:start w:w="100" w:type="dxa"/>
              <w:bottom w:w="90" w:type="dxa"/>
              <w:end w:w="100" w:type="dxa"/>
            </w:tcMar>
          </w:tcPr>
          <w:p>
            <w:pPr>
              <w:spacing w:after="0"/>
            </w:pPr>
            <w:r>
              <w:rPr>
                <w:sz w:val="18"/>
              </w:rPr>
              <w:t>L2_S26_D3098</w:t>
            </w:r>
          </w:p>
        </w:tc>
        <w:tc>
          <w:tcPr>
            <w:tcW w:type="dxa" w:w="850"/>
            <w:vAlign w:val="top"/>
            <w:tcMar>
              <w:top w:w="90" w:type="dxa"/>
              <w:start w:w="100" w:type="dxa"/>
              <w:bottom w:w="90" w:type="dxa"/>
              <w:end w:w="100" w:type="dxa"/>
            </w:tcMar>
          </w:tcPr>
          <w:p>
            <w:pPr>
              <w:spacing w:after="0"/>
            </w:pPr>
            <w:r>
              <w:rPr>
                <w:sz w:val="18"/>
              </w:rPr>
              <w:t>2</w:t>
            </w:r>
          </w:p>
        </w:tc>
        <w:tc>
          <w:tcPr>
            <w:tcW w:type="dxa" w:w="1134"/>
            <w:vAlign w:val="top"/>
            <w:tcMar>
              <w:top w:w="90" w:type="dxa"/>
              <w:start w:w="100" w:type="dxa"/>
              <w:bottom w:w="90" w:type="dxa"/>
              <w:end w:w="100" w:type="dxa"/>
            </w:tcMar>
          </w:tcPr>
          <w:p>
            <w:pPr>
              <w:spacing w:after="0"/>
            </w:pPr>
            <w:r>
              <w:rPr>
                <w:sz w:val="18"/>
              </w:rPr>
              <w:t>26</w:t>
            </w:r>
          </w:p>
        </w:tc>
        <w:tc>
          <w:tcPr>
            <w:tcW w:type="dxa" w:w="1247"/>
            <w:vAlign w:val="top"/>
            <w:tcMar>
              <w:top w:w="90" w:type="dxa"/>
              <w:start w:w="100" w:type="dxa"/>
              <w:bottom w:w="90" w:type="dxa"/>
              <w:end w:w="100" w:type="dxa"/>
            </w:tcMar>
          </w:tcPr>
          <w:p>
            <w:pPr>
              <w:spacing w:after="0"/>
            </w:pPr>
            <w:r>
              <w:rPr>
                <w:sz w:val="18"/>
              </w:rPr>
              <w:t>Date</w:t>
            </w:r>
          </w:p>
        </w:tc>
        <w:tc>
          <w:tcPr>
            <w:tcW w:type="dxa" w:w="1247"/>
            <w:vAlign w:val="top"/>
            <w:tcMar>
              <w:top w:w="90" w:type="dxa"/>
              <w:start w:w="100" w:type="dxa"/>
              <w:bottom w:w="90" w:type="dxa"/>
              <w:end w:w="100" w:type="dxa"/>
            </w:tcMar>
          </w:tcPr>
          <w:p>
            <w:pPr>
              <w:spacing w:after="0"/>
            </w:pPr>
            <w:r>
              <w:rPr>
                <w:sz w:val="18"/>
              </w:rPr>
              <w:t>3098</w:t>
            </w:r>
          </w:p>
        </w:tc>
        <w:tc>
          <w:tcPr>
            <w:tcW w:type="dxa" w:w="1984"/>
            <w:vAlign w:val="top"/>
            <w:tcMar>
              <w:top w:w="90" w:type="dxa"/>
              <w:start w:w="100" w:type="dxa"/>
              <w:bottom w:w="90" w:type="dxa"/>
              <w:end w:w="100" w:type="dxa"/>
            </w:tcMar>
          </w:tcPr>
          <w:p>
            <w:pPr>
              <w:spacing w:after="0"/>
            </w:pPr>
            <w:r>
              <w:rPr>
                <w:sz w:val="18"/>
              </w:rPr>
              <w:t>L2_S26</w:t>
            </w:r>
          </w:p>
        </w:tc>
      </w:tr>
      <w:tr>
        <w:trPr>
          <w:cantSplit/>
        </w:trPr>
        <w:tc>
          <w:tcPr>
            <w:tcW w:type="dxa" w:w="2268"/>
            <w:vAlign w:val="top"/>
            <w:tcMar>
              <w:top w:w="90" w:type="dxa"/>
              <w:start w:w="100" w:type="dxa"/>
              <w:bottom w:w="90" w:type="dxa"/>
              <w:end w:w="100" w:type="dxa"/>
            </w:tcMar>
          </w:tcPr>
          <w:p>
            <w:pPr>
              <w:spacing w:after="0"/>
            </w:pPr>
            <w:r>
              <w:rPr>
                <w:sz w:val="18"/>
              </w:rPr>
              <w:t>L3_S36_F3939</w:t>
            </w:r>
          </w:p>
        </w:tc>
        <w:tc>
          <w:tcPr>
            <w:tcW w:type="dxa" w:w="850"/>
            <w:vAlign w:val="top"/>
            <w:tcMar>
              <w:top w:w="90" w:type="dxa"/>
              <w:start w:w="100" w:type="dxa"/>
              <w:bottom w:w="90" w:type="dxa"/>
              <w:end w:w="100" w:type="dxa"/>
            </w:tcMar>
          </w:tcPr>
          <w:p>
            <w:pPr>
              <w:spacing w:after="0"/>
            </w:pPr>
            <w:r>
              <w:rPr>
                <w:sz w:val="18"/>
              </w:rPr>
              <w:t>3</w:t>
            </w:r>
          </w:p>
        </w:tc>
        <w:tc>
          <w:tcPr>
            <w:tcW w:type="dxa" w:w="1134"/>
            <w:vAlign w:val="top"/>
            <w:tcMar>
              <w:top w:w="90" w:type="dxa"/>
              <w:start w:w="100" w:type="dxa"/>
              <w:bottom w:w="90" w:type="dxa"/>
              <w:end w:w="100" w:type="dxa"/>
            </w:tcMar>
          </w:tcPr>
          <w:p>
            <w:pPr>
              <w:spacing w:after="0"/>
            </w:pPr>
            <w:r>
              <w:rPr>
                <w:sz w:val="18"/>
              </w:rPr>
              <w:t>36</w:t>
            </w:r>
          </w:p>
        </w:tc>
        <w:tc>
          <w:tcPr>
            <w:tcW w:type="dxa" w:w="1247"/>
            <w:vAlign w:val="top"/>
            <w:tcMar>
              <w:top w:w="90" w:type="dxa"/>
              <w:start w:w="100" w:type="dxa"/>
              <w:bottom w:w="90" w:type="dxa"/>
              <w:end w:w="100" w:type="dxa"/>
            </w:tcMar>
          </w:tcPr>
          <w:p>
            <w:pPr>
              <w:spacing w:after="0"/>
            </w:pPr>
            <w:r>
              <w:rPr>
                <w:sz w:val="18"/>
              </w:rPr>
              <w:t>Feature</w:t>
            </w:r>
          </w:p>
        </w:tc>
        <w:tc>
          <w:tcPr>
            <w:tcW w:type="dxa" w:w="1247"/>
            <w:vAlign w:val="top"/>
            <w:tcMar>
              <w:top w:w="90" w:type="dxa"/>
              <w:start w:w="100" w:type="dxa"/>
              <w:bottom w:w="90" w:type="dxa"/>
              <w:end w:w="100" w:type="dxa"/>
            </w:tcMar>
          </w:tcPr>
          <w:p>
            <w:pPr>
              <w:spacing w:after="0"/>
            </w:pPr>
            <w:r>
              <w:rPr>
                <w:sz w:val="18"/>
              </w:rPr>
              <w:t>3939</w:t>
            </w:r>
          </w:p>
        </w:tc>
        <w:tc>
          <w:tcPr>
            <w:tcW w:type="dxa" w:w="1984"/>
            <w:vAlign w:val="top"/>
            <w:tcMar>
              <w:top w:w="90" w:type="dxa"/>
              <w:start w:w="100" w:type="dxa"/>
              <w:bottom w:w="90" w:type="dxa"/>
              <w:end w:w="100" w:type="dxa"/>
            </w:tcMar>
          </w:tcPr>
          <w:p>
            <w:pPr>
              <w:spacing w:after="0"/>
            </w:pPr>
            <w:r>
              <w:rPr>
                <w:sz w:val="18"/>
              </w:rPr>
              <w:t>L3_S36</w:t>
            </w:r>
          </w:p>
        </w:tc>
      </w:tr>
    </w:tbl>
    <w:p/>
    <w:tbl>
      <w:tblPr>
        <w:tblW w:type="auto" w:w="0"/>
        <w:jc w:val="center"/>
        <w:tblLook w:firstColumn="1" w:firstRow="1" w:lastColumn="0" w:lastRow="0" w:noHBand="0" w:noVBand="1" w:val="04A0"/>
      </w:tblPr>
      <w:tblGrid>
        <w:gridCol w:w="9525"/>
      </w:tblGrid>
      <w:tr>
        <w:trPr>
          <w:cantSplit/>
        </w:trPr>
        <w:tc>
          <w:tcPr>
            <w:tcW w:type="dxa" w:w="9525"/>
            <w:shd w:fill="FCE4D6"/>
            <w:tcMar>
              <w:top w:w="180" w:type="dxa"/>
              <w:start w:w="220" w:type="dxa"/>
              <w:bottom w:w="180" w:type="dxa"/>
              <w:end w:w="220" w:type="dxa"/>
            </w:tcMar>
          </w:tcPr>
          <w:p>
            <w:r>
              <w:rPr>
                <w:b/>
                <w:color w:val="1F4E79"/>
                <w:sz w:val="21"/>
              </w:rPr>
              <w:t>Do not infer production sequence from station number alone</w:t>
              <w:br/>
            </w:r>
            <w:r>
              <w:rPr>
                <w:sz w:val="21"/>
              </w:rPr>
              <w:t>S36 has a higher number than S29, but the station number is an encoded identifier. Route order should be derived from observed relative timestamps or documented process information, not from numeric sorting alone.</w:t>
            </w:r>
          </w:p>
        </w:tc>
      </w:tr>
    </w:tbl>
    <w:p>
      <w:pPr>
        <w:spacing w:after="0"/>
      </w:pPr>
    </w:p>
    <w:tbl>
      <w:tblPr>
        <w:tblW w:type="auto" w:w="0"/>
        <w:jc w:val="center"/>
        <w:tblLook w:firstColumn="1" w:firstRow="1" w:lastColumn="0" w:lastRow="0" w:noHBand="0" w:noVBand="1" w:val="04A0"/>
      </w:tblPr>
      <w:tblGrid>
        <w:gridCol w:w="9525"/>
      </w:tblGrid>
      <w:tr>
        <w:trPr>
          <w:cantSplit/>
        </w:trPr>
        <w:tc>
          <w:tcPr>
            <w:tcW w:type="dxa" w:w="9525"/>
            <w:shd w:fill="FCE4D6"/>
            <w:tcMar>
              <w:top w:w="180" w:type="dxa"/>
              <w:start w:w="220" w:type="dxa"/>
              <w:bottom w:w="180" w:type="dxa"/>
              <w:end w:w="220" w:type="dxa"/>
            </w:tcMar>
          </w:tcPr>
          <w:p>
            <w:r>
              <w:rPr>
                <w:b/>
                <w:color w:val="1F4E79"/>
                <w:sz w:val="21"/>
              </w:rPr>
              <w:t>Common beginner mistakes</w:t>
              <w:br/>
            </w:r>
            <w:r>
              <w:rPr>
                <w:sz w:val="21"/>
              </w:rPr>
              <w:t>• Including Id and Response in feature-name parsing.</w:t>
              <w:br/>
              <w:t>• Assuming F means numerical; categorical columns also use F names.</w:t>
              <w:br/>
              <w:t>• Sorting stations by station number and calling it the true route.</w:t>
              <w:br/>
              <w:t>• Using feature count as a measure of physical station importance.</w:t>
              <w:br/>
              <w:t>• Failing to compare train and test schemas.</w:t>
            </w:r>
          </w:p>
        </w:tc>
      </w:tr>
    </w:tbl>
    <w:p>
      <w:pPr>
        <w:spacing w:after="0"/>
      </w:pPr>
    </w:p>
    <w:p>
      <w:pPr>
        <w:pStyle w:val="Heading2"/>
        <w:keepNext/>
      </w:pPr>
      <w:r>
        <w:t>Review questions</w:t>
      </w:r>
    </w:p>
    <w:p>
      <w:pPr>
        <w:ind w:left="369" w:hanging="255"/>
      </w:pPr>
      <w:r>
        <w:t>1.  What do L, S, F, and D represent?</w:t>
      </w:r>
    </w:p>
    <w:p>
      <w:pPr>
        <w:ind w:left="369" w:hanging="255"/>
      </w:pPr>
      <w:r>
        <w:t>2.  Why must data_type be stored separately for F columns?</w:t>
      </w:r>
    </w:p>
    <w:p>
      <w:pPr>
        <w:ind w:left="369" w:hanging="255"/>
      </w:pPr>
      <w:r>
        <w:t>3.  What is a station key?</w:t>
      </w:r>
    </w:p>
    <w:p>
      <w:pPr>
        <w:ind w:left="369" w:hanging="255"/>
      </w:pPr>
      <w:r>
        <w:t>4.  How does parsing support station-presence engineering?</w:t>
      </w:r>
    </w:p>
    <w:p>
      <w:pPr>
        <w:ind w:left="369" w:hanging="255"/>
      </w:pPr>
      <w:r>
        <w:t>5.  Why should unexpected feature names raise an error?</w:t>
      </w:r>
    </w:p>
    <w:p>
      <w:pPr>
        <w:pStyle w:val="Heading2"/>
        <w:keepNext/>
      </w:pPr>
      <w:r>
        <w:t>Practice exercise</w:t>
      </w:r>
    </w:p>
    <w:p>
      <w:r>
        <w:t>Write pseudocode that reads only CSV headers, builds a metadata table for all feature families, and outputs feature counts by line, station, and data type. Include validation for Id, Response, and malformed names.</w:t>
      </w:r>
    </w:p>
    <w:tbl>
      <w:tblPr>
        <w:tblW w:type="auto" w:w="0"/>
        <w:jc w:val="center"/>
        <w:tblLook w:firstColumn="1" w:firstRow="1" w:lastColumn="0" w:lastRow="0" w:noHBand="0" w:noVBand="1" w:val="04A0"/>
      </w:tblPr>
      <w:tblGrid>
        <w:gridCol w:w="9525"/>
      </w:tblGrid>
      <w:tr>
        <w:trPr>
          <w:cantSplit/>
        </w:trPr>
        <w:tc>
          <w:tcPr>
            <w:tcW w:type="dxa" w:w="9525"/>
            <w:shd w:fill="E2F0D9"/>
            <w:tcMar>
              <w:top w:w="180" w:type="dxa"/>
              <w:start w:w="220" w:type="dxa"/>
              <w:bottom w:w="180" w:type="dxa"/>
              <w:end w:w="220" w:type="dxa"/>
            </w:tcMar>
          </w:tcPr>
          <w:p>
            <w:r>
              <w:rPr>
                <w:b/>
                <w:color w:val="1F4E79"/>
                <w:sz w:val="21"/>
              </w:rPr>
              <w:t>Chapter summary</w:t>
              <w:br/>
            </w:r>
            <w:r>
              <w:rPr>
                <w:sz w:val="21"/>
              </w:rPr>
              <w:t>• The naming convention provides a machine-readable map of lines, stations, feature types, and identifiers.</w:t>
              <w:br/>
              <w:t>• A regex parser converts thousands of column names into structured metadata.</w:t>
              <w:br/>
              <w:t>• Metadata enables grouping, completeness analysis, route inference, and feature registries.</w:t>
              <w:br/>
              <w:t>• Station numbers are identifiers, not guaranteed process order.</w:t>
              <w:br/>
              <w:t>• Schema validation is essential before modeling or serving.</w:t>
            </w:r>
          </w:p>
        </w:tc>
      </w:tr>
    </w:tbl>
    <w:p>
      <w:pPr>
        <w:spacing w:after="0"/>
      </w:pPr>
    </w:p>
    <w:p>
      <w:r>
        <w:br w:type="page"/>
      </w:r>
    </w:p>
    <w:p>
      <w:pPr>
        <w:pStyle w:val="Title"/>
      </w:pPr>
      <w:r>
        <w:t>Chapter 14: Dataset Limitations</w:t>
      </w:r>
    </w:p>
    <w:tbl>
      <w:tblPr>
        <w:tblW w:type="auto" w:w="0"/>
        <w:jc w:val="center"/>
        <w:tblLook w:firstColumn="1" w:firstRow="1" w:lastColumn="0" w:lastRow="0" w:noHBand="0" w:noVBand="1" w:val="04A0"/>
      </w:tblPr>
      <w:tblGrid>
        <w:gridCol w:w="9525"/>
      </w:tblGrid>
      <w:tr>
        <w:trPr>
          <w:cantSplit/>
        </w:trPr>
        <w:tc>
          <w:tcPr>
            <w:tcW w:type="dxa" w:w="9525"/>
            <w:shd w:fill="E4DFEC"/>
            <w:tcMar>
              <w:top w:w="180" w:type="dxa"/>
              <w:start w:w="220" w:type="dxa"/>
              <w:bottom w:w="180" w:type="dxa"/>
              <w:end w:w="220" w:type="dxa"/>
            </w:tcMar>
          </w:tcPr>
          <w:p>
            <w:r>
              <w:rPr>
                <w:b/>
                <w:color w:val="1F4E79"/>
                <w:sz w:val="21"/>
              </w:rPr>
              <w:t>Learning objectives</w:t>
              <w:br/>
            </w:r>
            <w:r>
              <w:rPr>
                <w:sz w:val="21"/>
              </w:rPr>
              <w:t>By the end of this chapter, the reader should be able to:</w:t>
              <w:br/>
              <w:t>• identify the major technical, statistical, engineering, and operational limitations</w:t>
              <w:br/>
              <w:t>• explain why benchmark validation is not live-factory validation</w:t>
              <w:br/>
              <w:t>• recognize missing context, leakage, drift, and external-validity risks</w:t>
              <w:br/>
              <w:t>• match each limitation to a practical mitigation</w:t>
              <w:br/>
              <w:t>• state defensible project claims</w:t>
            </w:r>
          </w:p>
        </w:tc>
      </w:tr>
    </w:tbl>
    <w:p>
      <w:pPr>
        <w:spacing w:after="0"/>
      </w:pPr>
    </w:p>
    <w:p>
      <w:pPr>
        <w:pStyle w:val="Heading1"/>
        <w:keepNext/>
      </w:pPr>
      <w:r>
        <w:t>14.1 Every dataset defines a boundary</w:t>
      </w:r>
    </w:p>
    <w:p>
      <w:r>
        <w:t>A strong project does not hide limitations. It explains what the data allows, what remains uncertain, and what evidence would be required next. The Bosch dataset is unusually valuable because it is large, industrial, high-dimensional, sparse, and difficult. The same properties also create important boundaries.</w:t>
      </w:r>
    </w:p>
    <w:p>
      <w:pPr>
        <w:jc w:val="center"/>
      </w:pPr>
      <w:r>
        <w:drawing>
          <wp:inline xmlns:a="http://schemas.openxmlformats.org/drawingml/2006/main" xmlns:pic="http://schemas.openxmlformats.org/drawingml/2006/picture">
            <wp:extent cx="6126480" cy="3335528"/>
            <wp:docPr id="10" name="Picture 10"/>
            <wp:cNvGraphicFramePr>
              <a:graphicFrameLocks noChangeAspect="1"/>
            </wp:cNvGraphicFramePr>
            <a:graphic>
              <a:graphicData uri="http://schemas.openxmlformats.org/drawingml/2006/picture">
                <pic:pic>
                  <pic:nvPicPr>
                    <pic:cNvPr id="0" name="figure_14_1_limitations.png"/>
                    <pic:cNvPicPr/>
                  </pic:nvPicPr>
                  <pic:blipFill>
                    <a:blip r:embed="rId20"/>
                    <a:stretch>
                      <a:fillRect/>
                    </a:stretch>
                  </pic:blipFill>
                  <pic:spPr>
                    <a:xfrm>
                      <a:off x="0" y="0"/>
                      <a:ext cx="6126480" cy="3335528"/>
                    </a:xfrm>
                    <a:prstGeom prst="rect"/>
                  </pic:spPr>
                </pic:pic>
              </a:graphicData>
            </a:graphic>
          </wp:inline>
        </w:drawing>
      </w:r>
    </w:p>
    <w:p>
      <w:pPr>
        <w:pStyle w:val="Caption"/>
        <w:jc w:val="center"/>
      </w:pPr>
      <w:r>
        <w:t>Figure 14.1 - The public dataset supports a rich benchmark but not full live-factory validation.</w:t>
      </w:r>
    </w:p>
    <w:p>
      <w:pPr>
        <w:pStyle w:val="Heading1"/>
        <w:keepNext/>
      </w:pPr>
      <w:r>
        <w:t>14.2 Anonymized physical meaning</w:t>
      </w:r>
    </w:p>
    <w:p>
      <w:r>
        <w:t>The largest limitation is the absence of engineering definitions. A model can rank features and stations, but the analyst cannot determine the real sensor, test, specification, or failure mechanism. This limits causal analysis, action design, safety review, and communication with real process owners.</w:t>
      </w:r>
    </w:p>
    <w:p>
      <w:pPr>
        <w:pStyle w:val="Heading1"/>
        <w:keepNext/>
      </w:pPr>
      <w:r>
        <w:t>14.3 Historical and static data</w:t>
      </w:r>
    </w:p>
    <w:p>
      <w:r>
        <w:t>The competition data is a fixed historical snapshot released in 2016. It cannot show whether current machines, products, suppliers, software, maintenance practices, or inspection rules have changed. A model that performs on this snapshot may degrade under future production conditions, a problem known as concept drift or data drift.</w:t>
      </w:r>
    </w:p>
    <w:p>
      <w:pPr>
        <w:pStyle w:val="Heading1"/>
        <w:keepNext/>
      </w:pPr>
      <w:r>
        <w:t>14.4 Hidden test labels</w:t>
      </w:r>
    </w:p>
    <w:p>
      <w:r>
        <w:t>Kaggle test labels are not available to the project. A leaderboard score can be obtained only by submission, and the private test set cannot be used for detailed error analysis. Local validation must therefore be carefully designed, preserved, and documented. Repeatedly adjusting the model to the same validation set can overfit it even when the test labels remain hidden.</w:t>
      </w:r>
    </w:p>
    <w:p>
      <w:pPr>
        <w:pStyle w:val="Heading1"/>
        <w:keepNext/>
      </w:pPr>
      <w:r>
        <w:t>14.5 Severe class imbalance</w:t>
      </w:r>
    </w:p>
    <w:p>
      <w:r>
        <w:t>With only 0.5811% failures, model evaluation is statistically and operationally difficult. Small changes in false positives and false negatives can strongly affect MCC. Rare product families or categories may contain very few failures, making their observed rates unstable. Random sampling can accidentally create validation folds with different risk compositions.</w:t>
      </w:r>
    </w:p>
    <w:p>
      <w:pPr>
        <w:pStyle w:val="Heading1"/>
        <w:keepNext/>
      </w:pPr>
      <w:r>
        <w:t>14.6 Ambiguous missingness</w:t>
      </w:r>
    </w:p>
    <w:p>
      <w:r>
        <w:t>Missing values may represent routes, non-applicable tests, sensor gaps, logging gaps, or hidden product structure. The dataset does not provide a missing-reason code. Models can use missingness predictively, but engineering actions based on missingness require confirmation.</w:t>
      </w:r>
    </w:p>
    <w:p>
      <w:pPr>
        <w:pStyle w:val="Heading1"/>
        <w:keepNext/>
      </w:pPr>
      <w:r>
        <w:t>14.7 Relative timestamps are not a full event log</w:t>
      </w:r>
    </w:p>
    <w:p>
      <w:r>
        <w:t>Date values record relative times for measurements, but the dataset is not a complete MES event log. It does not explicitly provide operation start, operation end, queue entry, queue exit, planned duration, downtime code, or transport event. Consequently, process-mining outputs are observational reconstructions and monitoring hypotheses.</w:t>
      </w:r>
    </w:p>
    <w:p>
      <w:pPr>
        <w:pStyle w:val="Heading1"/>
        <w:keepNext/>
      </w:pPr>
      <w:r>
        <w:t>14.8 Competition-specific ordering effects</w:t>
      </w:r>
    </w:p>
    <w:p>
      <w:r>
        <w:t>Public solutions exploited the fact that train and test products were interleaved within a common historical production sequence. Neighboring known failures could help predict nearby test products. This can greatly improve benchmark scores but may use information that is unavailable for a future part. The project correctly separates these research features from production-safe claims [9].</w:t>
      </w:r>
    </w:p>
    <w:p>
      <w:pPr>
        <w:pStyle w:val="Heading1"/>
        <w:keepNext/>
      </w:pPr>
      <w:r>
        <w:t>14.9 No business decision or cost matrix</w:t>
      </w:r>
    </w:p>
    <w:p>
      <w:r>
        <w:t>The dataset does not define the action taken after a high-risk prediction, the cost of additional inspection, the cost of a missed failure, inspection capacity, safety severity, or customer impact. Therefore, an optimal business threshold cannot be derived from MCC alone. The dashboard business-impact page is a scenario tool, not verified savings.</w:t>
      </w:r>
    </w:p>
    <w:p>
      <w:pPr>
        <w:pStyle w:val="Heading1"/>
        <w:keepNext/>
      </w:pPr>
      <w:r>
        <w:t>14.10 No live systems or operational feedback</w:t>
      </w:r>
    </w:p>
    <w:p>
      <w:r>
        <w:t>The public project is not connected to MES, SCADA, PLC, historian, quality, maintenance, or identity systems. It cannot measure real scoring latency, system availability, operator acceptance, alert fatigue, intervention outcomes, or live drift. The implemented Docker, API, registry, audit log, tests, and rollback demonstrate local production engineering, but factory readiness remains partial.</w:t>
      </w:r>
    </w:p>
    <w:p>
      <w:pPr>
        <w:pStyle w:val="Heading1"/>
        <w:keepNext/>
      </w:pPr>
      <w:r>
        <w:t>14.11 Limitation and mitigation matrix</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2154"/>
            <w:shd w:fill="1F4E79"/>
            <w:vAlign w:val="center"/>
          </w:tcPr>
          <w:p>
            <w:r>
              <w:rPr>
                <w:b/>
                <w:color w:val="FFFFFF"/>
                <w:sz w:val="19"/>
              </w:rPr>
              <w:t>Limitation</w:t>
            </w:r>
          </w:p>
        </w:tc>
        <w:tc>
          <w:tcPr>
            <w:tcW w:type="dxa" w:w="3288"/>
            <w:shd w:fill="1F4E79"/>
            <w:vAlign w:val="center"/>
          </w:tcPr>
          <w:p>
            <w:r>
              <w:rPr>
                <w:b/>
                <w:color w:val="FFFFFF"/>
                <w:sz w:val="19"/>
              </w:rPr>
              <w:t>Current project mitigation</w:t>
            </w:r>
          </w:p>
        </w:tc>
        <w:tc>
          <w:tcPr>
            <w:tcW w:type="dxa" w:w="3288"/>
            <w:shd w:fill="1F4E79"/>
            <w:vAlign w:val="center"/>
          </w:tcPr>
          <w:p>
            <w:r>
              <w:rPr>
                <w:b/>
                <w:color w:val="FFFFFF"/>
                <w:sz w:val="19"/>
              </w:rPr>
              <w:t>What still requires factory access</w:t>
            </w:r>
          </w:p>
        </w:tc>
      </w:tr>
      <w:tr>
        <w:trPr>
          <w:cantSplit/>
        </w:trPr>
        <w:tc>
          <w:tcPr>
            <w:tcW w:type="dxa" w:w="2154"/>
            <w:vAlign w:val="top"/>
            <w:tcMar>
              <w:top w:w="90" w:type="dxa"/>
              <w:start w:w="100" w:type="dxa"/>
              <w:bottom w:w="90" w:type="dxa"/>
              <w:end w:w="100" w:type="dxa"/>
            </w:tcMar>
          </w:tcPr>
          <w:p>
            <w:pPr>
              <w:spacing w:after="0"/>
            </w:pPr>
            <w:r>
              <w:rPr>
                <w:sz w:val="15"/>
              </w:rPr>
              <w:t>Anonymous features</w:t>
            </w:r>
          </w:p>
        </w:tc>
        <w:tc>
          <w:tcPr>
            <w:tcW w:type="dxa" w:w="3288"/>
            <w:vAlign w:val="top"/>
            <w:tcMar>
              <w:top w:w="90" w:type="dxa"/>
              <w:start w:w="100" w:type="dxa"/>
              <w:bottom w:w="90" w:type="dxa"/>
              <w:end w:w="100" w:type="dxa"/>
            </w:tcMar>
          </w:tcPr>
          <w:p>
            <w:pPr>
              <w:spacing w:after="0"/>
            </w:pPr>
            <w:r>
              <w:rPr>
                <w:sz w:val="15"/>
              </w:rPr>
              <w:t>Structural metadata and careful predictive wording</w:t>
            </w:r>
          </w:p>
        </w:tc>
        <w:tc>
          <w:tcPr>
            <w:tcW w:type="dxa" w:w="3288"/>
            <w:vAlign w:val="top"/>
            <w:tcMar>
              <w:top w:w="90" w:type="dxa"/>
              <w:start w:w="100" w:type="dxa"/>
              <w:bottom w:w="90" w:type="dxa"/>
              <w:end w:w="100" w:type="dxa"/>
            </w:tcMar>
          </w:tcPr>
          <w:p>
            <w:pPr>
              <w:spacing w:after="0"/>
            </w:pPr>
            <w:r>
              <w:rPr>
                <w:sz w:val="15"/>
              </w:rPr>
              <w:t>Feature dictionary, units, operations, owners</w:t>
            </w:r>
          </w:p>
        </w:tc>
      </w:tr>
      <w:tr>
        <w:trPr>
          <w:cantSplit/>
        </w:trPr>
        <w:tc>
          <w:tcPr>
            <w:tcW w:type="dxa" w:w="2154"/>
            <w:vAlign w:val="top"/>
            <w:tcMar>
              <w:top w:w="90" w:type="dxa"/>
              <w:start w:w="100" w:type="dxa"/>
              <w:bottom w:w="90" w:type="dxa"/>
              <w:end w:w="100" w:type="dxa"/>
            </w:tcMar>
          </w:tcPr>
          <w:p>
            <w:pPr>
              <w:spacing w:after="0"/>
            </w:pPr>
            <w:r>
              <w:rPr>
                <w:sz w:val="15"/>
              </w:rPr>
              <w:t>Historical snapshot</w:t>
            </w:r>
          </w:p>
        </w:tc>
        <w:tc>
          <w:tcPr>
            <w:tcW w:type="dxa" w:w="3288"/>
            <w:vAlign w:val="top"/>
            <w:tcMar>
              <w:top w:w="90" w:type="dxa"/>
              <w:start w:w="100" w:type="dxa"/>
              <w:bottom w:w="90" w:type="dxa"/>
              <w:end w:w="100" w:type="dxa"/>
            </w:tcMar>
          </w:tcPr>
          <w:p>
            <w:pPr>
              <w:spacing w:after="0"/>
            </w:pPr>
            <w:r>
              <w:rPr>
                <w:sz w:val="15"/>
              </w:rPr>
              <w:t>Validation splits and documented limitations</w:t>
            </w:r>
          </w:p>
        </w:tc>
        <w:tc>
          <w:tcPr>
            <w:tcW w:type="dxa" w:w="3288"/>
            <w:vAlign w:val="top"/>
            <w:tcMar>
              <w:top w:w="90" w:type="dxa"/>
              <w:start w:w="100" w:type="dxa"/>
              <w:bottom w:w="90" w:type="dxa"/>
              <w:end w:w="100" w:type="dxa"/>
            </w:tcMar>
          </w:tcPr>
          <w:p>
            <w:pPr>
              <w:spacing w:after="0"/>
            </w:pPr>
            <w:r>
              <w:rPr>
                <w:sz w:val="15"/>
              </w:rPr>
              <w:t>Current data and time-based shadow evaluation</w:t>
            </w:r>
          </w:p>
        </w:tc>
      </w:tr>
      <w:tr>
        <w:trPr>
          <w:cantSplit/>
        </w:trPr>
        <w:tc>
          <w:tcPr>
            <w:tcW w:type="dxa" w:w="2154"/>
            <w:vAlign w:val="top"/>
            <w:tcMar>
              <w:top w:w="90" w:type="dxa"/>
              <w:start w:w="100" w:type="dxa"/>
              <w:bottom w:w="90" w:type="dxa"/>
              <w:end w:w="100" w:type="dxa"/>
            </w:tcMar>
          </w:tcPr>
          <w:p>
            <w:pPr>
              <w:spacing w:after="0"/>
            </w:pPr>
            <w:r>
              <w:rPr>
                <w:sz w:val="15"/>
              </w:rPr>
              <w:t>Hidden test labels</w:t>
            </w:r>
          </w:p>
        </w:tc>
        <w:tc>
          <w:tcPr>
            <w:tcW w:type="dxa" w:w="3288"/>
            <w:vAlign w:val="top"/>
            <w:tcMar>
              <w:top w:w="90" w:type="dxa"/>
              <w:start w:w="100" w:type="dxa"/>
              <w:bottom w:w="90" w:type="dxa"/>
              <w:end w:w="100" w:type="dxa"/>
            </w:tcMar>
          </w:tcPr>
          <w:p>
            <w:pPr>
              <w:spacing w:after="0"/>
            </w:pPr>
            <w:r>
              <w:rPr>
                <w:sz w:val="15"/>
              </w:rPr>
              <w:t>Internal labelled holdout and model card</w:t>
            </w:r>
          </w:p>
        </w:tc>
        <w:tc>
          <w:tcPr>
            <w:tcW w:type="dxa" w:w="3288"/>
            <w:vAlign w:val="top"/>
            <w:tcMar>
              <w:top w:w="90" w:type="dxa"/>
              <w:start w:w="100" w:type="dxa"/>
              <w:bottom w:w="90" w:type="dxa"/>
              <w:end w:w="100" w:type="dxa"/>
            </w:tcMar>
          </w:tcPr>
          <w:p>
            <w:pPr>
              <w:spacing w:after="0"/>
            </w:pPr>
            <w:r>
              <w:rPr>
                <w:sz w:val="15"/>
              </w:rPr>
              <w:t>Independent current-factory labels</w:t>
            </w:r>
          </w:p>
        </w:tc>
      </w:tr>
      <w:tr>
        <w:trPr>
          <w:cantSplit/>
        </w:trPr>
        <w:tc>
          <w:tcPr>
            <w:tcW w:type="dxa" w:w="2154"/>
            <w:vAlign w:val="top"/>
            <w:tcMar>
              <w:top w:w="90" w:type="dxa"/>
              <w:start w:w="100" w:type="dxa"/>
              <w:bottom w:w="90" w:type="dxa"/>
              <w:end w:w="100" w:type="dxa"/>
            </w:tcMar>
          </w:tcPr>
          <w:p>
            <w:pPr>
              <w:spacing w:after="0"/>
            </w:pPr>
            <w:r>
              <w:rPr>
                <w:sz w:val="15"/>
              </w:rPr>
              <w:t>Class imbalance</w:t>
            </w:r>
          </w:p>
        </w:tc>
        <w:tc>
          <w:tcPr>
            <w:tcW w:type="dxa" w:w="3288"/>
            <w:vAlign w:val="top"/>
            <w:tcMar>
              <w:top w:w="90" w:type="dxa"/>
              <w:start w:w="100" w:type="dxa"/>
              <w:bottom w:w="90" w:type="dxa"/>
              <w:end w:w="100" w:type="dxa"/>
            </w:tcMar>
          </w:tcPr>
          <w:p>
            <w:pPr>
              <w:spacing w:after="0"/>
            </w:pPr>
            <w:r>
              <w:rPr>
                <w:sz w:val="15"/>
              </w:rPr>
              <w:t>MCC, precision, recall, PR-AUC, threshold tuning</w:t>
            </w:r>
          </w:p>
        </w:tc>
        <w:tc>
          <w:tcPr>
            <w:tcW w:type="dxa" w:w="3288"/>
            <w:vAlign w:val="top"/>
            <w:tcMar>
              <w:top w:w="90" w:type="dxa"/>
              <w:start w:w="100" w:type="dxa"/>
              <w:bottom w:w="90" w:type="dxa"/>
              <w:end w:w="100" w:type="dxa"/>
            </w:tcMar>
          </w:tcPr>
          <w:p>
            <w:pPr>
              <w:spacing w:after="0"/>
            </w:pPr>
            <w:r>
              <w:rPr>
                <w:sz w:val="15"/>
              </w:rPr>
              <w:t>Cost and capacity-based operating threshold</w:t>
            </w:r>
          </w:p>
        </w:tc>
      </w:tr>
      <w:tr>
        <w:trPr>
          <w:cantSplit/>
        </w:trPr>
        <w:tc>
          <w:tcPr>
            <w:tcW w:type="dxa" w:w="2154"/>
            <w:vAlign w:val="top"/>
            <w:tcMar>
              <w:top w:w="90" w:type="dxa"/>
              <w:start w:w="100" w:type="dxa"/>
              <w:bottom w:w="90" w:type="dxa"/>
              <w:end w:w="100" w:type="dxa"/>
            </w:tcMar>
          </w:tcPr>
          <w:p>
            <w:pPr>
              <w:spacing w:after="0"/>
            </w:pPr>
            <w:r>
              <w:rPr>
                <w:sz w:val="15"/>
              </w:rPr>
              <w:t>Ambiguous missingness</w:t>
            </w:r>
          </w:p>
        </w:tc>
        <w:tc>
          <w:tcPr>
            <w:tcW w:type="dxa" w:w="3288"/>
            <w:vAlign w:val="top"/>
            <w:tcMar>
              <w:top w:w="90" w:type="dxa"/>
              <w:start w:w="100" w:type="dxa"/>
              <w:bottom w:w="90" w:type="dxa"/>
              <w:end w:w="100" w:type="dxa"/>
            </w:tcMar>
          </w:tcPr>
          <w:p>
            <w:pPr>
              <w:spacing w:after="0"/>
            </w:pPr>
            <w:r>
              <w:rPr>
                <w:sz w:val="15"/>
              </w:rPr>
              <w:t>Presence features and missingness-aware models</w:t>
            </w:r>
          </w:p>
        </w:tc>
        <w:tc>
          <w:tcPr>
            <w:tcW w:type="dxa" w:w="3288"/>
            <w:vAlign w:val="top"/>
            <w:tcMar>
              <w:top w:w="90" w:type="dxa"/>
              <w:start w:w="100" w:type="dxa"/>
              <w:bottom w:w="90" w:type="dxa"/>
              <w:end w:w="100" w:type="dxa"/>
            </w:tcMar>
          </w:tcPr>
          <w:p>
            <w:pPr>
              <w:spacing w:after="0"/>
            </w:pPr>
            <w:r>
              <w:rPr>
                <w:sz w:val="15"/>
              </w:rPr>
              <w:t>Missing-reason codes and route confirmation</w:t>
            </w:r>
          </w:p>
        </w:tc>
      </w:tr>
      <w:tr>
        <w:trPr>
          <w:cantSplit/>
        </w:trPr>
        <w:tc>
          <w:tcPr>
            <w:tcW w:type="dxa" w:w="2154"/>
            <w:vAlign w:val="top"/>
            <w:tcMar>
              <w:top w:w="90" w:type="dxa"/>
              <w:start w:w="100" w:type="dxa"/>
              <w:bottom w:w="90" w:type="dxa"/>
              <w:end w:w="100" w:type="dxa"/>
            </w:tcMar>
          </w:tcPr>
          <w:p>
            <w:pPr>
              <w:spacing w:after="0"/>
            </w:pPr>
            <w:r>
              <w:rPr>
                <w:sz w:val="15"/>
              </w:rPr>
              <w:t>Relative dates</w:t>
            </w:r>
          </w:p>
        </w:tc>
        <w:tc>
          <w:tcPr>
            <w:tcW w:type="dxa" w:w="3288"/>
            <w:vAlign w:val="top"/>
            <w:tcMar>
              <w:top w:w="90" w:type="dxa"/>
              <w:start w:w="100" w:type="dxa"/>
              <w:bottom w:w="90" w:type="dxa"/>
              <w:end w:w="100" w:type="dxa"/>
            </w:tcMar>
          </w:tcPr>
          <w:p>
            <w:pPr>
              <w:spacing w:after="0"/>
            </w:pPr>
            <w:r>
              <w:rPr>
                <w:sz w:val="15"/>
              </w:rPr>
              <w:t>Reader-friendly temporal names</w:t>
            </w:r>
          </w:p>
        </w:tc>
        <w:tc>
          <w:tcPr>
            <w:tcW w:type="dxa" w:w="3288"/>
            <w:vAlign w:val="top"/>
            <w:tcMar>
              <w:top w:w="90" w:type="dxa"/>
              <w:start w:w="100" w:type="dxa"/>
              <w:bottom w:w="90" w:type="dxa"/>
              <w:end w:w="100" w:type="dxa"/>
            </w:tcMar>
          </w:tcPr>
          <w:p>
            <w:pPr>
              <w:spacing w:after="0"/>
            </w:pPr>
            <w:r>
              <w:rPr>
                <w:sz w:val="15"/>
              </w:rPr>
              <w:t>MES event definitions and verified durations</w:t>
            </w:r>
          </w:p>
        </w:tc>
      </w:tr>
      <w:tr>
        <w:trPr>
          <w:cantSplit/>
        </w:trPr>
        <w:tc>
          <w:tcPr>
            <w:tcW w:type="dxa" w:w="2154"/>
            <w:vAlign w:val="top"/>
            <w:tcMar>
              <w:top w:w="90" w:type="dxa"/>
              <w:start w:w="100" w:type="dxa"/>
              <w:bottom w:w="90" w:type="dxa"/>
              <w:end w:w="100" w:type="dxa"/>
            </w:tcMar>
          </w:tcPr>
          <w:p>
            <w:pPr>
              <w:spacing w:after="0"/>
            </w:pPr>
            <w:r>
              <w:rPr>
                <w:sz w:val="15"/>
              </w:rPr>
              <w:t>Order leakage</w:t>
            </w:r>
          </w:p>
        </w:tc>
        <w:tc>
          <w:tcPr>
            <w:tcW w:type="dxa" w:w="3288"/>
            <w:vAlign w:val="top"/>
            <w:tcMar>
              <w:top w:w="90" w:type="dxa"/>
              <w:start w:w="100" w:type="dxa"/>
              <w:bottom w:w="90" w:type="dxa"/>
              <w:end w:w="100" w:type="dxa"/>
            </w:tcMar>
          </w:tcPr>
          <w:p>
            <w:pPr>
              <w:spacing w:after="0"/>
            </w:pPr>
            <w:r>
              <w:rPr>
                <w:sz w:val="15"/>
              </w:rPr>
              <w:t>Separate research-only leaderboard model</w:t>
            </w:r>
          </w:p>
        </w:tc>
        <w:tc>
          <w:tcPr>
            <w:tcW w:type="dxa" w:w="3288"/>
            <w:vAlign w:val="top"/>
            <w:tcMar>
              <w:top w:w="90" w:type="dxa"/>
              <w:start w:w="100" w:type="dxa"/>
              <w:bottom w:w="90" w:type="dxa"/>
              <w:end w:w="100" w:type="dxa"/>
            </w:tcMar>
          </w:tcPr>
          <w:p>
            <w:pPr>
              <w:spacing w:after="0"/>
            </w:pPr>
            <w:r>
              <w:rPr>
                <w:sz w:val="15"/>
              </w:rPr>
              <w:t>Point-in-time serving design</w:t>
            </w:r>
          </w:p>
        </w:tc>
      </w:tr>
      <w:tr>
        <w:trPr>
          <w:cantSplit/>
        </w:trPr>
        <w:tc>
          <w:tcPr>
            <w:tcW w:type="dxa" w:w="2154"/>
            <w:vAlign w:val="top"/>
            <w:tcMar>
              <w:top w:w="90" w:type="dxa"/>
              <w:start w:w="100" w:type="dxa"/>
              <w:bottom w:w="90" w:type="dxa"/>
              <w:end w:w="100" w:type="dxa"/>
            </w:tcMar>
          </w:tcPr>
          <w:p>
            <w:pPr>
              <w:spacing w:after="0"/>
            </w:pPr>
            <w:r>
              <w:rPr>
                <w:sz w:val="15"/>
              </w:rPr>
              <w:t>No live feedback</w:t>
            </w:r>
          </w:p>
        </w:tc>
        <w:tc>
          <w:tcPr>
            <w:tcW w:type="dxa" w:w="3288"/>
            <w:vAlign w:val="top"/>
            <w:tcMar>
              <w:top w:w="90" w:type="dxa"/>
              <w:start w:w="100" w:type="dxa"/>
              <w:bottom w:w="90" w:type="dxa"/>
              <w:end w:w="100" w:type="dxa"/>
            </w:tcMar>
          </w:tcPr>
          <w:p>
            <w:pPr>
              <w:spacing w:after="0"/>
            </w:pPr>
            <w:r>
              <w:rPr>
                <w:sz w:val="15"/>
              </w:rPr>
              <w:t>Local API, logging, registry, golden tests</w:t>
            </w:r>
          </w:p>
        </w:tc>
        <w:tc>
          <w:tcPr>
            <w:tcW w:type="dxa" w:w="3288"/>
            <w:vAlign w:val="top"/>
            <w:tcMar>
              <w:top w:w="90" w:type="dxa"/>
              <w:start w:w="100" w:type="dxa"/>
              <w:bottom w:w="90" w:type="dxa"/>
              <w:end w:w="100" w:type="dxa"/>
            </w:tcMar>
          </w:tcPr>
          <w:p>
            <w:pPr>
              <w:spacing w:after="0"/>
            </w:pPr>
            <w:r>
              <w:rPr>
                <w:sz w:val="15"/>
              </w:rPr>
              <w:t>Monitoring platform, owners, alerts, retraining</w:t>
            </w:r>
          </w:p>
        </w:tc>
      </w:tr>
    </w:tbl>
    <w:p/>
    <w:p>
      <w:pPr>
        <w:pStyle w:val="Heading1"/>
        <w:keepNext/>
      </w:pPr>
      <w:r>
        <w:t>14.12 Defensible maturity statement</w:t>
      </w:r>
    </w:p>
    <w:tbl>
      <w:tblPr>
        <w:tblW w:type="auto" w:w="0"/>
        <w:jc w:val="center"/>
        <w:tblLook w:firstColumn="1" w:firstRow="1" w:lastColumn="0" w:lastRow="0" w:noHBand="0" w:noVBand="1" w:val="04A0"/>
      </w:tblPr>
      <w:tblGrid>
        <w:gridCol w:w="9525"/>
      </w:tblGrid>
      <w:tr>
        <w:trPr>
          <w:cantSplit/>
        </w:trPr>
        <w:tc>
          <w:tcPr>
            <w:tcW w:type="dxa" w:w="9525"/>
            <w:shd w:fill="E2F0D9"/>
            <w:tcMar>
              <w:top w:w="180" w:type="dxa"/>
              <w:start w:w="220" w:type="dxa"/>
              <w:bottom w:w="180" w:type="dxa"/>
              <w:end w:w="220" w:type="dxa"/>
            </w:tcMar>
          </w:tcPr>
          <w:p>
            <w:r>
              <w:rPr>
                <w:b/>
                <w:color w:val="1F4E79"/>
                <w:sz w:val="21"/>
              </w:rPr>
              <w:t>Recommended project claim</w:t>
              <w:br/>
            </w:r>
            <w:r>
              <w:rPr>
                <w:sz w:val="21"/>
              </w:rPr>
              <w:t>“This is an advanced portfolio-grade manufacturing analytics and machine-learning POC built on the historical anonymized Bosch Kaggle dataset. It demonstrates an end-to-end analytics workflow and local production-serving controls, but it is not validated as a live Bosch factory deployment.”</w:t>
            </w:r>
          </w:p>
        </w:tc>
      </w:tr>
    </w:tbl>
    <w:p>
      <w:pPr>
        <w:spacing w:after="0"/>
      </w:pPr>
    </w:p>
    <w:tbl>
      <w:tblPr>
        <w:tblW w:type="auto" w:w="0"/>
        <w:jc w:val="center"/>
        <w:tblLook w:firstColumn="1" w:firstRow="1" w:lastColumn="0" w:lastRow="0" w:noHBand="0" w:noVBand="1" w:val="04A0"/>
      </w:tblPr>
      <w:tblGrid>
        <w:gridCol w:w="9525"/>
      </w:tblGrid>
      <w:tr>
        <w:trPr>
          <w:cantSplit/>
        </w:trPr>
        <w:tc>
          <w:tcPr>
            <w:tcW w:type="dxa" w:w="9525"/>
            <w:shd w:fill="FCE4D6"/>
            <w:tcMar>
              <w:top w:w="180" w:type="dxa"/>
              <w:start w:w="220" w:type="dxa"/>
              <w:bottom w:w="180" w:type="dxa"/>
              <w:end w:w="220" w:type="dxa"/>
            </w:tcMar>
          </w:tcPr>
          <w:p>
            <w:r>
              <w:rPr>
                <w:b/>
                <w:color w:val="1F4E79"/>
                <w:sz w:val="21"/>
              </w:rPr>
              <w:t>Common beginner mistakes</w:t>
              <w:br/>
            </w:r>
            <w:r>
              <w:rPr>
                <w:sz w:val="21"/>
              </w:rPr>
              <w:t>• Calling the project a real-time Bosch production system.</w:t>
              <w:br/>
              <w:t>• Reporting scenario savings as achieved business savings.</w:t>
              <w:br/>
              <w:t>• Describing inferred measurement gaps as verified downtime.</w:t>
              <w:br/>
              <w:t>• Using a competition leak feature as the official future-factory model.</w:t>
              <w:br/>
              <w:t>• Ignoring product, process, and calendar changes since the historical data was collected.</w:t>
            </w:r>
          </w:p>
        </w:tc>
      </w:tr>
    </w:tbl>
    <w:p>
      <w:pPr>
        <w:spacing w:after="0"/>
      </w:pPr>
    </w:p>
    <w:p>
      <w:pPr>
        <w:pStyle w:val="Heading2"/>
        <w:keepNext/>
      </w:pPr>
      <w:r>
        <w:t>Review questions</w:t>
      </w:r>
    </w:p>
    <w:p>
      <w:pPr>
        <w:ind w:left="369" w:hanging="255"/>
      </w:pPr>
      <w:r>
        <w:t>1.  Why does anonymization limit root-cause analysis?</w:t>
      </w:r>
    </w:p>
    <w:p>
      <w:pPr>
        <w:ind w:left="369" w:hanging="255"/>
      </w:pPr>
      <w:r>
        <w:t>2.  What is concept drift?</w:t>
      </w:r>
    </w:p>
    <w:p>
      <w:pPr>
        <w:ind w:left="369" w:hanging="255"/>
      </w:pPr>
      <w:r>
        <w:t>3.  Why can repeated validation-set use create overfitting?</w:t>
      </w:r>
    </w:p>
    <w:p>
      <w:pPr>
        <w:ind w:left="369" w:hanging="255"/>
      </w:pPr>
      <w:r>
        <w:t>4.  What information is missing for a business threshold?</w:t>
      </w:r>
    </w:p>
    <w:p>
      <w:pPr>
        <w:ind w:left="369" w:hanging="255"/>
      </w:pPr>
      <w:r>
        <w:t>5.  Which production controls can be demonstrated locally, and which require a factory?</w:t>
      </w:r>
    </w:p>
    <w:p>
      <w:pPr>
        <w:pStyle w:val="Heading2"/>
        <w:keepNext/>
      </w:pPr>
      <w:r>
        <w:t>Practice exercise</w:t>
      </w:r>
    </w:p>
    <w:p>
      <w:r>
        <w:t>Create a two-column risk register for this dataset. Include at least ten risks and one mitigation for each. Classify each mitigation as implementable with the public dataset or requiring factory access.</w:t>
      </w:r>
    </w:p>
    <w:tbl>
      <w:tblPr>
        <w:tblW w:type="auto" w:w="0"/>
        <w:jc w:val="center"/>
        <w:tblLook w:firstColumn="1" w:firstRow="1" w:lastColumn="0" w:lastRow="0" w:noHBand="0" w:noVBand="1" w:val="04A0"/>
      </w:tblPr>
      <w:tblGrid>
        <w:gridCol w:w="9525"/>
      </w:tblGrid>
      <w:tr>
        <w:trPr>
          <w:cantSplit/>
        </w:trPr>
        <w:tc>
          <w:tcPr>
            <w:tcW w:type="dxa" w:w="9525"/>
            <w:shd w:fill="E2F0D9"/>
            <w:tcMar>
              <w:top w:w="180" w:type="dxa"/>
              <w:start w:w="220" w:type="dxa"/>
              <w:bottom w:w="180" w:type="dxa"/>
              <w:end w:w="220" w:type="dxa"/>
            </w:tcMar>
          </w:tcPr>
          <w:p>
            <w:r>
              <w:rPr>
                <w:b/>
                <w:color w:val="1F4E79"/>
                <w:sz w:val="21"/>
              </w:rPr>
              <w:t>Chapter summary</w:t>
              <w:br/>
            </w:r>
            <w:r>
              <w:rPr>
                <w:sz w:val="21"/>
              </w:rPr>
              <w:t>• The dataset is a strong benchmark with clear limits on physical and operational interpretation.</w:t>
              <w:br/>
              <w:t>• Historical performance does not establish current or future factory performance.</w:t>
              <w:br/>
              <w:t>• Class imbalance, missingness, hidden labels, and ordering effects require disciplined validation.</w:t>
              <w:br/>
              <w:t>• Business decisions need cost, capacity, safety, and stakeholder context.</w:t>
              <w:br/>
              <w:t>• The correct claim is an advanced POC reference, not a live Bosch deployment.</w:t>
            </w:r>
          </w:p>
        </w:tc>
      </w:tr>
    </w:tbl>
    <w:p>
      <w:pPr>
        <w:spacing w:after="0"/>
      </w:pPr>
    </w:p>
    <w:p>
      <w:r>
        <w:br w:type="page"/>
      </w:r>
    </w:p>
    <w:p>
      <w:pPr>
        <w:pStyle w:val="Title"/>
      </w:pPr>
      <w:r>
        <w:t>Chapter 15: Manufacturing Interpretation</w:t>
      </w:r>
    </w:p>
    <w:tbl>
      <w:tblPr>
        <w:tblW w:type="auto" w:w="0"/>
        <w:jc w:val="center"/>
        <w:tblLook w:firstColumn="1" w:firstRow="1" w:lastColumn="0" w:lastRow="0" w:noHBand="0" w:noVBand="1" w:val="04A0"/>
      </w:tblPr>
      <w:tblGrid>
        <w:gridCol w:w="9525"/>
      </w:tblGrid>
      <w:tr>
        <w:trPr>
          <w:cantSplit/>
        </w:trPr>
        <w:tc>
          <w:tcPr>
            <w:tcW w:type="dxa" w:w="9525"/>
            <w:shd w:fill="E4DFEC"/>
            <w:tcMar>
              <w:top w:w="180" w:type="dxa"/>
              <w:start w:w="220" w:type="dxa"/>
              <w:bottom w:w="180" w:type="dxa"/>
              <w:end w:w="220" w:type="dxa"/>
            </w:tcMar>
          </w:tcPr>
          <w:p>
            <w:r>
              <w:rPr>
                <w:b/>
                <w:color w:val="1F4E79"/>
                <w:sz w:val="21"/>
              </w:rPr>
              <w:t>Learning objectives</w:t>
              <w:br/>
            </w:r>
            <w:r>
              <w:rPr>
                <w:sz w:val="21"/>
              </w:rPr>
              <w:t>By the end of this chapter, the reader should be able to:</w:t>
              <w:br/>
              <w:t>• apply an interpretation ladder from observed facts to confirmed causes</w:t>
              <w:br/>
              <w:t>• translate model features into reader-friendly manufacturing language</w:t>
              <w:br/>
              <w:t>• separate association, prediction, hypothesis, and causation</w:t>
              <w:br/>
              <w:t>• communicate findings to students, data scientists, engineers, and managers</w:t>
              <w:br/>
              <w:t>• design a validation process for future factory use</w:t>
            </w:r>
          </w:p>
        </w:tc>
      </w:tr>
    </w:tbl>
    <w:p>
      <w:pPr>
        <w:spacing w:after="0"/>
      </w:pPr>
    </w:p>
    <w:p>
      <w:pPr>
        <w:pStyle w:val="Heading1"/>
        <w:keepNext/>
      </w:pPr>
      <w:r>
        <w:t>15.1 Why interpretation is the central skill</w:t>
      </w:r>
    </w:p>
    <w:p>
      <w:r>
        <w:t>The Bosch dataset makes it easy to produce impressive charts and difficult to explain them correctly. The best interpretation is neither too weak nor too confident. It should state the observed evidence, the analytical result, the plausible manufacturing hypothesis, and the missing confirmation.</w:t>
      </w:r>
    </w:p>
    <w:p>
      <w:pPr>
        <w:jc w:val="center"/>
      </w:pPr>
      <w:r>
        <w:drawing>
          <wp:inline xmlns:a="http://schemas.openxmlformats.org/drawingml/2006/main" xmlns:pic="http://schemas.openxmlformats.org/drawingml/2006/picture">
            <wp:extent cx="6126480" cy="3335528"/>
            <wp:docPr id="11" name="Picture 11"/>
            <wp:cNvGraphicFramePr>
              <a:graphicFrameLocks noChangeAspect="1"/>
            </wp:cNvGraphicFramePr>
            <a:graphic>
              <a:graphicData uri="http://schemas.openxmlformats.org/drawingml/2006/picture">
                <pic:pic>
                  <pic:nvPicPr>
                    <pic:cNvPr id="0" name="figure_15_1_interpretation_ladder.png"/>
                    <pic:cNvPicPr/>
                  </pic:nvPicPr>
                  <pic:blipFill>
                    <a:blip r:embed="rId21"/>
                    <a:stretch>
                      <a:fillRect/>
                    </a:stretch>
                  </pic:blipFill>
                  <pic:spPr>
                    <a:xfrm>
                      <a:off x="0" y="0"/>
                      <a:ext cx="6126480" cy="3335528"/>
                    </a:xfrm>
                    <a:prstGeom prst="rect"/>
                  </pic:spPr>
                </pic:pic>
              </a:graphicData>
            </a:graphic>
          </wp:inline>
        </w:drawing>
      </w:r>
    </w:p>
    <w:p>
      <w:pPr>
        <w:pStyle w:val="Caption"/>
        <w:jc w:val="center"/>
      </w:pPr>
      <w:r>
        <w:t>Figure 15.1 - Move upward from observed facts to confirmed causes only when additional evidence supports the step.</w:t>
      </w:r>
    </w:p>
    <w:p>
      <w:pPr>
        <w:pStyle w:val="Heading1"/>
        <w:keepNext/>
      </w:pPr>
      <w:r>
        <w:t>15.2 Four interpretation levels</w:t>
      </w:r>
    </w:p>
    <w:tbl>
      <w:tblPr>
        <w:tblStyle w:val="TableGrid"/>
        <w:tblW w:type="auto" w:w="0"/>
        <w:jc w:val="center"/>
        <w:tblLook w:firstColumn="1" w:firstRow="1" w:lastColumn="0" w:lastRow="0" w:noHBand="0" w:noVBand="1" w:val="04A0"/>
      </w:tblPr>
      <w:tblGrid>
        <w:gridCol w:w="2381"/>
        <w:gridCol w:w="2381"/>
        <w:gridCol w:w="2381"/>
        <w:gridCol w:w="2381"/>
      </w:tblGrid>
      <w:tr>
        <w:trPr>
          <w:tblHeader/>
          <w:cantSplit/>
        </w:trPr>
        <w:tc>
          <w:tcPr>
            <w:tcW w:type="dxa" w:w="1814"/>
            <w:shd w:fill="1F4E79"/>
            <w:vAlign w:val="center"/>
          </w:tcPr>
          <w:p>
            <w:r>
              <w:rPr>
                <w:b/>
                <w:color w:val="FFFFFF"/>
                <w:sz w:val="19"/>
              </w:rPr>
              <w:t>Level</w:t>
            </w:r>
          </w:p>
        </w:tc>
        <w:tc>
          <w:tcPr>
            <w:tcW w:type="dxa" w:w="2551"/>
            <w:shd w:fill="1F4E79"/>
            <w:vAlign w:val="center"/>
          </w:tcPr>
          <w:p>
            <w:r>
              <w:rPr>
                <w:b/>
                <w:color w:val="FFFFFF"/>
                <w:sz w:val="19"/>
              </w:rPr>
              <w:t>Question</w:t>
            </w:r>
          </w:p>
        </w:tc>
        <w:tc>
          <w:tcPr>
            <w:tcW w:type="dxa" w:w="2268"/>
            <w:shd w:fill="1F4E79"/>
            <w:vAlign w:val="center"/>
          </w:tcPr>
          <w:p>
            <w:r>
              <w:rPr>
                <w:b/>
                <w:color w:val="FFFFFF"/>
                <w:sz w:val="19"/>
              </w:rPr>
              <w:t>Evidence available from public data?</w:t>
            </w:r>
          </w:p>
        </w:tc>
        <w:tc>
          <w:tcPr>
            <w:tcW w:type="dxa" w:w="2551"/>
            <w:shd w:fill="1F4E79"/>
            <w:vAlign w:val="center"/>
          </w:tcPr>
          <w:p>
            <w:r>
              <w:rPr>
                <w:b/>
                <w:color w:val="FFFFFF"/>
                <w:sz w:val="19"/>
              </w:rPr>
              <w:t>Example</w:t>
            </w:r>
          </w:p>
        </w:tc>
      </w:tr>
      <w:tr>
        <w:trPr>
          <w:cantSplit/>
        </w:trPr>
        <w:tc>
          <w:tcPr>
            <w:tcW w:type="dxa" w:w="1814"/>
            <w:vAlign w:val="top"/>
            <w:tcMar>
              <w:top w:w="90" w:type="dxa"/>
              <w:start w:w="100" w:type="dxa"/>
              <w:bottom w:w="90" w:type="dxa"/>
              <w:end w:w="100" w:type="dxa"/>
            </w:tcMar>
          </w:tcPr>
          <w:p>
            <w:pPr>
              <w:spacing w:after="0"/>
            </w:pPr>
            <w:r>
              <w:rPr>
                <w:sz w:val="16"/>
              </w:rPr>
              <w:t>Observed fact</w:t>
            </w:r>
          </w:p>
        </w:tc>
        <w:tc>
          <w:tcPr>
            <w:tcW w:type="dxa" w:w="2551"/>
            <w:vAlign w:val="top"/>
            <w:tcMar>
              <w:top w:w="90" w:type="dxa"/>
              <w:start w:w="100" w:type="dxa"/>
              <w:bottom w:w="90" w:type="dxa"/>
              <w:end w:w="100" w:type="dxa"/>
            </w:tcMar>
          </w:tcPr>
          <w:p>
            <w:pPr>
              <w:spacing w:after="0"/>
            </w:pPr>
            <w:r>
              <w:rPr>
                <w:sz w:val="16"/>
              </w:rPr>
              <w:t>What is recorded?</w:t>
            </w:r>
          </w:p>
        </w:tc>
        <w:tc>
          <w:tcPr>
            <w:tcW w:type="dxa" w:w="2268"/>
            <w:vAlign w:val="top"/>
            <w:tcMar>
              <w:top w:w="90" w:type="dxa"/>
              <w:start w:w="100" w:type="dxa"/>
              <w:bottom w:w="90" w:type="dxa"/>
              <w:end w:w="100" w:type="dxa"/>
            </w:tcMar>
          </w:tcPr>
          <w:p>
            <w:pPr>
              <w:spacing w:after="0"/>
            </w:pPr>
            <w:r>
              <w:rPr>
                <w:sz w:val="16"/>
              </w:rPr>
              <w:t>Yes</w:t>
            </w:r>
          </w:p>
        </w:tc>
        <w:tc>
          <w:tcPr>
            <w:tcW w:type="dxa" w:w="2551"/>
            <w:vAlign w:val="top"/>
            <w:tcMar>
              <w:top w:w="90" w:type="dxa"/>
              <w:start w:w="100" w:type="dxa"/>
              <w:bottom w:w="90" w:type="dxa"/>
              <w:end w:w="100" w:type="dxa"/>
            </w:tcMar>
          </w:tcPr>
          <w:p>
            <w:pPr>
              <w:spacing w:after="0"/>
            </w:pPr>
            <w:r>
              <w:rPr>
                <w:sz w:val="16"/>
              </w:rPr>
              <w:t>A date value is present at L3_S36.</w:t>
            </w:r>
          </w:p>
        </w:tc>
      </w:tr>
      <w:tr>
        <w:trPr>
          <w:cantSplit/>
        </w:trPr>
        <w:tc>
          <w:tcPr>
            <w:tcW w:type="dxa" w:w="1814"/>
            <w:vAlign w:val="top"/>
            <w:tcMar>
              <w:top w:w="90" w:type="dxa"/>
              <w:start w:w="100" w:type="dxa"/>
              <w:bottom w:w="90" w:type="dxa"/>
              <w:end w:w="100" w:type="dxa"/>
            </w:tcMar>
          </w:tcPr>
          <w:p>
            <w:pPr>
              <w:spacing w:after="0"/>
            </w:pPr>
            <w:r>
              <w:rPr>
                <w:sz w:val="16"/>
              </w:rPr>
              <w:t>Analytical finding</w:t>
            </w:r>
          </w:p>
        </w:tc>
        <w:tc>
          <w:tcPr>
            <w:tcW w:type="dxa" w:w="2551"/>
            <w:vAlign w:val="top"/>
            <w:tcMar>
              <w:top w:w="90" w:type="dxa"/>
              <w:start w:w="100" w:type="dxa"/>
              <w:bottom w:w="90" w:type="dxa"/>
              <w:end w:w="100" w:type="dxa"/>
            </w:tcMar>
          </w:tcPr>
          <w:p>
            <w:pPr>
              <w:spacing w:after="0"/>
            </w:pPr>
            <w:r>
              <w:rPr>
                <w:sz w:val="16"/>
              </w:rPr>
              <w:t>What pattern is measured?</w:t>
            </w:r>
          </w:p>
        </w:tc>
        <w:tc>
          <w:tcPr>
            <w:tcW w:type="dxa" w:w="2268"/>
            <w:vAlign w:val="top"/>
            <w:tcMar>
              <w:top w:w="90" w:type="dxa"/>
              <w:start w:w="100" w:type="dxa"/>
              <w:bottom w:w="90" w:type="dxa"/>
              <w:end w:w="100" w:type="dxa"/>
            </w:tcMar>
          </w:tcPr>
          <w:p>
            <w:pPr>
              <w:spacing w:after="0"/>
            </w:pPr>
            <w:r>
              <w:rPr>
                <w:sz w:val="16"/>
              </w:rPr>
              <w:t>Yes, with validation</w:t>
            </w:r>
          </w:p>
        </w:tc>
        <w:tc>
          <w:tcPr>
            <w:tcW w:type="dxa" w:w="2551"/>
            <w:vAlign w:val="top"/>
            <w:tcMar>
              <w:top w:w="90" w:type="dxa"/>
              <w:start w:w="100" w:type="dxa"/>
              <w:bottom w:w="90" w:type="dxa"/>
              <w:end w:w="100" w:type="dxa"/>
            </w:tcMar>
          </w:tcPr>
          <w:p>
            <w:pPr>
              <w:spacing w:after="0"/>
            </w:pPr>
            <w:r>
              <w:rPr>
                <w:sz w:val="16"/>
              </w:rPr>
              <w:t>L3_S36 presence has a higher observed failure rate.</w:t>
            </w:r>
          </w:p>
        </w:tc>
      </w:tr>
      <w:tr>
        <w:trPr>
          <w:cantSplit/>
        </w:trPr>
        <w:tc>
          <w:tcPr>
            <w:tcW w:type="dxa" w:w="1814"/>
            <w:vAlign w:val="top"/>
            <w:tcMar>
              <w:top w:w="90" w:type="dxa"/>
              <w:start w:w="100" w:type="dxa"/>
              <w:bottom w:w="90" w:type="dxa"/>
              <w:end w:w="100" w:type="dxa"/>
            </w:tcMar>
          </w:tcPr>
          <w:p>
            <w:pPr>
              <w:spacing w:after="0"/>
            </w:pPr>
            <w:r>
              <w:rPr>
                <w:sz w:val="16"/>
              </w:rPr>
              <w:t>Engineering hypothesis</w:t>
            </w:r>
          </w:p>
        </w:tc>
        <w:tc>
          <w:tcPr>
            <w:tcW w:type="dxa" w:w="2551"/>
            <w:vAlign w:val="top"/>
            <w:tcMar>
              <w:top w:w="90" w:type="dxa"/>
              <w:start w:w="100" w:type="dxa"/>
              <w:bottom w:w="90" w:type="dxa"/>
              <w:end w:w="100" w:type="dxa"/>
            </w:tcMar>
          </w:tcPr>
          <w:p>
            <w:pPr>
              <w:spacing w:after="0"/>
            </w:pPr>
            <w:r>
              <w:rPr>
                <w:sz w:val="16"/>
              </w:rPr>
              <w:t>What hidden condition might explain it?</w:t>
            </w:r>
          </w:p>
        </w:tc>
        <w:tc>
          <w:tcPr>
            <w:tcW w:type="dxa" w:w="2268"/>
            <w:vAlign w:val="top"/>
            <w:tcMar>
              <w:top w:w="90" w:type="dxa"/>
              <w:start w:w="100" w:type="dxa"/>
              <w:bottom w:w="90" w:type="dxa"/>
              <w:end w:w="100" w:type="dxa"/>
            </w:tcMar>
          </w:tcPr>
          <w:p>
            <w:pPr>
              <w:spacing w:after="0"/>
            </w:pPr>
            <w:r>
              <w:rPr>
                <w:sz w:val="16"/>
              </w:rPr>
              <w:t>Partly</w:t>
            </w:r>
          </w:p>
        </w:tc>
        <w:tc>
          <w:tcPr>
            <w:tcW w:type="dxa" w:w="2551"/>
            <w:vAlign w:val="top"/>
            <w:tcMar>
              <w:top w:w="90" w:type="dxa"/>
              <w:start w:w="100" w:type="dxa"/>
              <w:bottom w:w="90" w:type="dxa"/>
              <w:end w:w="100" w:type="dxa"/>
            </w:tcMar>
          </w:tcPr>
          <w:p>
            <w:pPr>
              <w:spacing w:after="0"/>
            </w:pPr>
            <w:r>
              <w:rPr>
                <w:sz w:val="16"/>
              </w:rPr>
              <w:t>Route or product-family differences may be involved.</w:t>
            </w:r>
          </w:p>
        </w:tc>
      </w:tr>
      <w:tr>
        <w:trPr>
          <w:cantSplit/>
        </w:trPr>
        <w:tc>
          <w:tcPr>
            <w:tcW w:type="dxa" w:w="1814"/>
            <w:vAlign w:val="top"/>
            <w:tcMar>
              <w:top w:w="90" w:type="dxa"/>
              <w:start w:w="100" w:type="dxa"/>
              <w:bottom w:w="90" w:type="dxa"/>
              <w:end w:w="100" w:type="dxa"/>
            </w:tcMar>
          </w:tcPr>
          <w:p>
            <w:pPr>
              <w:spacing w:after="0"/>
            </w:pPr>
            <w:r>
              <w:rPr>
                <w:sz w:val="16"/>
              </w:rPr>
              <w:t>Confirmed cause</w:t>
            </w:r>
          </w:p>
        </w:tc>
        <w:tc>
          <w:tcPr>
            <w:tcW w:type="dxa" w:w="2551"/>
            <w:vAlign w:val="top"/>
            <w:tcMar>
              <w:top w:w="90" w:type="dxa"/>
              <w:start w:w="100" w:type="dxa"/>
              <w:bottom w:w="90" w:type="dxa"/>
              <w:end w:w="100" w:type="dxa"/>
            </w:tcMar>
          </w:tcPr>
          <w:p>
            <w:pPr>
              <w:spacing w:after="0"/>
            </w:pPr>
            <w:r>
              <w:rPr>
                <w:sz w:val="16"/>
              </w:rPr>
              <w:t>What physically caused the failure?</w:t>
            </w:r>
          </w:p>
        </w:tc>
        <w:tc>
          <w:tcPr>
            <w:tcW w:type="dxa" w:w="2268"/>
            <w:vAlign w:val="top"/>
            <w:tcMar>
              <w:top w:w="90" w:type="dxa"/>
              <w:start w:w="100" w:type="dxa"/>
              <w:bottom w:w="90" w:type="dxa"/>
              <w:end w:w="100" w:type="dxa"/>
            </w:tcMar>
          </w:tcPr>
          <w:p>
            <w:pPr>
              <w:spacing w:after="0"/>
            </w:pPr>
            <w:r>
              <w:rPr>
                <w:sz w:val="16"/>
              </w:rPr>
              <w:t>No</w:t>
            </w:r>
          </w:p>
        </w:tc>
        <w:tc>
          <w:tcPr>
            <w:tcW w:type="dxa" w:w="2551"/>
            <w:vAlign w:val="top"/>
            <w:tcMar>
              <w:top w:w="90" w:type="dxa"/>
              <w:start w:w="100" w:type="dxa"/>
              <w:bottom w:w="90" w:type="dxa"/>
              <w:end w:w="100" w:type="dxa"/>
            </w:tcMar>
          </w:tcPr>
          <w:p>
            <w:pPr>
              <w:spacing w:after="0"/>
            </w:pPr>
            <w:r>
              <w:rPr>
                <w:sz w:val="16"/>
              </w:rPr>
              <w:t>Requires engineering records and controlled evidence.</w:t>
            </w:r>
          </w:p>
        </w:tc>
      </w:tr>
    </w:tbl>
    <w:p/>
    <w:p>
      <w:pPr>
        <w:pStyle w:val="Heading1"/>
        <w:keepNext/>
      </w:pPr>
      <w:r>
        <w:t>15.3 Interpreting raw feature values</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2268"/>
            <w:shd w:fill="1F4E79"/>
            <w:vAlign w:val="center"/>
          </w:tcPr>
          <w:p>
            <w:r>
              <w:rPr>
                <w:b/>
                <w:color w:val="FFFFFF"/>
                <w:sz w:val="19"/>
              </w:rPr>
              <w:t>Raw evidence</w:t>
            </w:r>
          </w:p>
        </w:tc>
        <w:tc>
          <w:tcPr>
            <w:tcW w:type="dxa" w:w="3515"/>
            <w:shd w:fill="1F4E79"/>
            <w:vAlign w:val="center"/>
          </w:tcPr>
          <w:p>
            <w:r>
              <w:rPr>
                <w:b/>
                <w:color w:val="FFFFFF"/>
                <w:sz w:val="19"/>
              </w:rPr>
              <w:t>Safe statement</w:t>
            </w:r>
          </w:p>
        </w:tc>
        <w:tc>
          <w:tcPr>
            <w:tcW w:type="dxa" w:w="3118"/>
            <w:shd w:fill="1F4E79"/>
            <w:vAlign w:val="center"/>
          </w:tcPr>
          <w:p>
            <w:r>
              <w:rPr>
                <w:b/>
                <w:color w:val="FFFFFF"/>
                <w:sz w:val="19"/>
              </w:rPr>
              <w:t>Unsafe statement</w:t>
            </w:r>
          </w:p>
        </w:tc>
      </w:tr>
      <w:tr>
        <w:trPr>
          <w:cantSplit/>
        </w:trPr>
        <w:tc>
          <w:tcPr>
            <w:tcW w:type="dxa" w:w="2268"/>
            <w:vAlign w:val="top"/>
            <w:tcMar>
              <w:top w:w="90" w:type="dxa"/>
              <w:start w:w="100" w:type="dxa"/>
              <w:bottom w:w="90" w:type="dxa"/>
              <w:end w:w="100" w:type="dxa"/>
            </w:tcMar>
          </w:tcPr>
          <w:p>
            <w:pPr>
              <w:spacing w:after="0"/>
            </w:pPr>
            <w:r>
              <w:rPr>
                <w:sz w:val="15"/>
              </w:rPr>
              <w:t>L3_S36_F3939 is high</w:t>
            </w:r>
          </w:p>
        </w:tc>
        <w:tc>
          <w:tcPr>
            <w:tcW w:type="dxa" w:w="3515"/>
            <w:vAlign w:val="top"/>
            <w:tcMar>
              <w:top w:w="90" w:type="dxa"/>
              <w:start w:w="100" w:type="dxa"/>
              <w:bottom w:w="90" w:type="dxa"/>
              <w:end w:w="100" w:type="dxa"/>
            </w:tcMar>
          </w:tcPr>
          <w:p>
            <w:pPr>
              <w:spacing w:after="0"/>
            </w:pPr>
            <w:r>
              <w:rPr>
                <w:sz w:val="15"/>
              </w:rPr>
              <w:t>The anonymous numerical value is high relative to its observed distribution.</w:t>
            </w:r>
          </w:p>
        </w:tc>
        <w:tc>
          <w:tcPr>
            <w:tcW w:type="dxa" w:w="3118"/>
            <w:vAlign w:val="top"/>
            <w:tcMar>
              <w:top w:w="90" w:type="dxa"/>
              <w:start w:w="100" w:type="dxa"/>
              <w:bottom w:w="90" w:type="dxa"/>
              <w:end w:w="100" w:type="dxa"/>
            </w:tcMar>
          </w:tcPr>
          <w:p>
            <w:pPr>
              <w:spacing w:after="0"/>
            </w:pPr>
            <w:r>
              <w:rPr>
                <w:sz w:val="15"/>
              </w:rPr>
              <w:t>Station 36 temperature is too high.</w:t>
            </w:r>
          </w:p>
        </w:tc>
      </w:tr>
      <w:tr>
        <w:trPr>
          <w:cantSplit/>
        </w:trPr>
        <w:tc>
          <w:tcPr>
            <w:tcW w:type="dxa" w:w="2268"/>
            <w:vAlign w:val="top"/>
            <w:tcMar>
              <w:top w:w="90" w:type="dxa"/>
              <w:start w:w="100" w:type="dxa"/>
              <w:bottom w:w="90" w:type="dxa"/>
              <w:end w:w="100" w:type="dxa"/>
            </w:tcMar>
          </w:tcPr>
          <w:p>
            <w:pPr>
              <w:spacing w:after="0"/>
            </w:pPr>
            <w:r>
              <w:rPr>
                <w:sz w:val="15"/>
              </w:rPr>
              <w:t>L1_S24_F1525 = T3</w:t>
            </w:r>
          </w:p>
        </w:tc>
        <w:tc>
          <w:tcPr>
            <w:tcW w:type="dxa" w:w="3515"/>
            <w:vAlign w:val="top"/>
            <w:tcMar>
              <w:top w:w="90" w:type="dxa"/>
              <w:start w:w="100" w:type="dxa"/>
              <w:bottom w:w="90" w:type="dxa"/>
              <w:end w:w="100" w:type="dxa"/>
            </w:tcMar>
          </w:tcPr>
          <w:p>
            <w:pPr>
              <w:spacing w:after="0"/>
            </w:pPr>
            <w:r>
              <w:rPr>
                <w:sz w:val="15"/>
              </w:rPr>
              <w:t>The part has anonymous category T3 for this feature.</w:t>
            </w:r>
          </w:p>
        </w:tc>
        <w:tc>
          <w:tcPr>
            <w:tcW w:type="dxa" w:w="3118"/>
            <w:vAlign w:val="top"/>
            <w:tcMar>
              <w:top w:w="90" w:type="dxa"/>
              <w:start w:w="100" w:type="dxa"/>
              <w:bottom w:w="90" w:type="dxa"/>
              <w:end w:w="100" w:type="dxa"/>
            </w:tcMar>
          </w:tcPr>
          <w:p>
            <w:pPr>
              <w:spacing w:after="0"/>
            </w:pPr>
            <w:r>
              <w:rPr>
                <w:sz w:val="15"/>
              </w:rPr>
              <w:t>The machine used operating mode 3.</w:t>
            </w:r>
          </w:p>
        </w:tc>
      </w:tr>
      <w:tr>
        <w:trPr>
          <w:cantSplit/>
        </w:trPr>
        <w:tc>
          <w:tcPr>
            <w:tcW w:type="dxa" w:w="2268"/>
            <w:vAlign w:val="top"/>
            <w:tcMar>
              <w:top w:w="90" w:type="dxa"/>
              <w:start w:w="100" w:type="dxa"/>
              <w:bottom w:w="90" w:type="dxa"/>
              <w:end w:w="100" w:type="dxa"/>
            </w:tcMar>
          </w:tcPr>
          <w:p>
            <w:pPr>
              <w:spacing w:after="0"/>
            </w:pPr>
            <w:r>
              <w:rPr>
                <w:sz w:val="15"/>
              </w:rPr>
              <w:t>L2_S26 date values are present</w:t>
            </w:r>
          </w:p>
        </w:tc>
        <w:tc>
          <w:tcPr>
            <w:tcW w:type="dxa" w:w="3515"/>
            <w:vAlign w:val="top"/>
            <w:tcMar>
              <w:top w:w="90" w:type="dxa"/>
              <w:start w:w="100" w:type="dxa"/>
              <w:bottom w:w="90" w:type="dxa"/>
              <w:end w:w="100" w:type="dxa"/>
            </w:tcMar>
          </w:tcPr>
          <w:p>
            <w:pPr>
              <w:spacing w:after="0"/>
            </w:pPr>
            <w:r>
              <w:rPr>
                <w:sz w:val="15"/>
              </w:rPr>
              <w:t>Recorded measurements indicate observed presence at L2_S26.</w:t>
            </w:r>
          </w:p>
        </w:tc>
        <w:tc>
          <w:tcPr>
            <w:tcW w:type="dxa" w:w="3118"/>
            <w:vAlign w:val="top"/>
            <w:tcMar>
              <w:top w:w="90" w:type="dxa"/>
              <w:start w:w="100" w:type="dxa"/>
              <w:bottom w:w="90" w:type="dxa"/>
              <w:end w:w="100" w:type="dxa"/>
            </w:tcMar>
          </w:tcPr>
          <w:p>
            <w:pPr>
              <w:spacing w:after="0"/>
            </w:pPr>
            <w:r>
              <w:rPr>
                <w:sz w:val="15"/>
              </w:rPr>
              <w:t>The part definitely completed the official Station 26 operation.</w:t>
            </w:r>
          </w:p>
        </w:tc>
      </w:tr>
      <w:tr>
        <w:trPr>
          <w:cantSplit/>
        </w:trPr>
        <w:tc>
          <w:tcPr>
            <w:tcW w:type="dxa" w:w="2268"/>
            <w:vAlign w:val="top"/>
            <w:tcMar>
              <w:top w:w="90" w:type="dxa"/>
              <w:start w:w="100" w:type="dxa"/>
              <w:bottom w:w="90" w:type="dxa"/>
              <w:end w:w="100" w:type="dxa"/>
            </w:tcMar>
          </w:tcPr>
          <w:p>
            <w:pPr>
              <w:spacing w:after="0"/>
            </w:pPr>
            <w:r>
              <w:rPr>
                <w:sz w:val="15"/>
              </w:rPr>
              <w:t>A feature is missing</w:t>
            </w:r>
          </w:p>
        </w:tc>
        <w:tc>
          <w:tcPr>
            <w:tcW w:type="dxa" w:w="3515"/>
            <w:vAlign w:val="top"/>
            <w:tcMar>
              <w:top w:w="90" w:type="dxa"/>
              <w:start w:w="100" w:type="dxa"/>
              <w:bottom w:w="90" w:type="dxa"/>
              <w:end w:w="100" w:type="dxa"/>
            </w:tcMar>
          </w:tcPr>
          <w:p>
            <w:pPr>
              <w:spacing w:after="0"/>
            </w:pPr>
            <w:r>
              <w:rPr>
                <w:sz w:val="15"/>
              </w:rPr>
              <w:t>The measurement is unavailable for this row.</w:t>
            </w:r>
          </w:p>
        </w:tc>
        <w:tc>
          <w:tcPr>
            <w:tcW w:type="dxa" w:w="3118"/>
            <w:vAlign w:val="top"/>
            <w:tcMar>
              <w:top w:w="90" w:type="dxa"/>
              <w:start w:w="100" w:type="dxa"/>
              <w:bottom w:w="90" w:type="dxa"/>
              <w:end w:w="100" w:type="dxa"/>
            </w:tcMar>
          </w:tcPr>
          <w:p>
            <w:pPr>
              <w:spacing w:after="0"/>
            </w:pPr>
            <w:r>
              <w:rPr>
                <w:sz w:val="15"/>
              </w:rPr>
              <w:t>The sensor failed.</w:t>
            </w:r>
          </w:p>
        </w:tc>
      </w:tr>
    </w:tbl>
    <w:p/>
    <w:p>
      <w:pPr>
        <w:pStyle w:val="Heading1"/>
        <w:keepNext/>
      </w:pPr>
      <w:r>
        <w:t>15.4 Interpreting engineered temporal features</w:t>
      </w:r>
    </w:p>
    <w:p>
      <w:r>
        <w:t>The project changed dashboard labels to reduce ambiguity. This is an important example of responsible communication: internal model keys can remain stable while reader-facing labels become more accurate.</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1814"/>
            <w:shd w:fill="1F4E79"/>
            <w:vAlign w:val="center"/>
          </w:tcPr>
          <w:p>
            <w:r>
              <w:rPr>
                <w:b/>
                <w:color w:val="FFFFFF"/>
                <w:sz w:val="19"/>
              </w:rPr>
              <w:t>Internal key</w:t>
            </w:r>
          </w:p>
        </w:tc>
        <w:tc>
          <w:tcPr>
            <w:tcW w:type="dxa" w:w="2721"/>
            <w:shd w:fill="1F4E79"/>
            <w:vAlign w:val="center"/>
          </w:tcPr>
          <w:p>
            <w:r>
              <w:rPr>
                <w:b/>
                <w:color w:val="FFFFFF"/>
                <w:sz w:val="19"/>
              </w:rPr>
              <w:t>Dashboard label</w:t>
            </w:r>
          </w:p>
        </w:tc>
        <w:tc>
          <w:tcPr>
            <w:tcW w:type="dxa" w:w="4195"/>
            <w:shd w:fill="1F4E79"/>
            <w:vAlign w:val="center"/>
          </w:tcPr>
          <w:p>
            <w:r>
              <w:rPr>
                <w:b/>
                <w:color w:val="FFFFFF"/>
                <w:sz w:val="19"/>
              </w:rPr>
              <w:t>Recommended interpretation</w:t>
            </w:r>
          </w:p>
        </w:tc>
      </w:tr>
      <w:tr>
        <w:trPr>
          <w:cantSplit/>
        </w:trPr>
        <w:tc>
          <w:tcPr>
            <w:tcW w:type="dxa" w:w="1814"/>
            <w:vAlign w:val="top"/>
            <w:tcMar>
              <w:top w:w="90" w:type="dxa"/>
              <w:start w:w="100" w:type="dxa"/>
              <w:bottom w:w="90" w:type="dxa"/>
              <w:end w:w="100" w:type="dxa"/>
            </w:tcMar>
          </w:tcPr>
          <w:p>
            <w:pPr>
              <w:spacing w:after="0"/>
            </w:pPr>
            <w:r>
              <w:rPr>
                <w:sz w:val="18"/>
              </w:rPr>
              <w:t>start_time</w:t>
            </w:r>
          </w:p>
        </w:tc>
        <w:tc>
          <w:tcPr>
            <w:tcW w:type="dxa" w:w="2721"/>
            <w:vAlign w:val="top"/>
            <w:tcMar>
              <w:top w:w="90" w:type="dxa"/>
              <w:start w:w="100" w:type="dxa"/>
              <w:bottom w:w="90" w:type="dxa"/>
              <w:end w:w="100" w:type="dxa"/>
            </w:tcMar>
          </w:tcPr>
          <w:p>
            <w:pPr>
              <w:spacing w:after="0"/>
            </w:pPr>
            <w:r>
              <w:rPr>
                <w:sz w:val="18"/>
              </w:rPr>
              <w:t>Earliest Measurement Timestamp</w:t>
            </w:r>
          </w:p>
        </w:tc>
        <w:tc>
          <w:tcPr>
            <w:tcW w:type="dxa" w:w="4195"/>
            <w:vAlign w:val="top"/>
            <w:tcMar>
              <w:top w:w="90" w:type="dxa"/>
              <w:start w:w="100" w:type="dxa"/>
              <w:bottom w:w="90" w:type="dxa"/>
              <w:end w:w="100" w:type="dxa"/>
            </w:tcMar>
          </w:tcPr>
          <w:p>
            <w:pPr>
              <w:spacing w:after="0"/>
            </w:pPr>
            <w:r>
              <w:rPr>
                <w:sz w:val="18"/>
              </w:rPr>
              <w:t>The earliest relative timestamp recorded for the part</w:t>
            </w:r>
          </w:p>
        </w:tc>
      </w:tr>
      <w:tr>
        <w:trPr>
          <w:cantSplit/>
        </w:trPr>
        <w:tc>
          <w:tcPr>
            <w:tcW w:type="dxa" w:w="1814"/>
            <w:vAlign w:val="top"/>
            <w:tcMar>
              <w:top w:w="90" w:type="dxa"/>
              <w:start w:w="100" w:type="dxa"/>
              <w:bottom w:w="90" w:type="dxa"/>
              <w:end w:w="100" w:type="dxa"/>
            </w:tcMar>
          </w:tcPr>
          <w:p>
            <w:pPr>
              <w:spacing w:after="0"/>
            </w:pPr>
            <w:r>
              <w:rPr>
                <w:sz w:val="18"/>
              </w:rPr>
              <w:t>end_time</w:t>
            </w:r>
          </w:p>
        </w:tc>
        <w:tc>
          <w:tcPr>
            <w:tcW w:type="dxa" w:w="2721"/>
            <w:vAlign w:val="top"/>
            <w:tcMar>
              <w:top w:w="90" w:type="dxa"/>
              <w:start w:w="100" w:type="dxa"/>
              <w:bottom w:w="90" w:type="dxa"/>
              <w:end w:w="100" w:type="dxa"/>
            </w:tcMar>
          </w:tcPr>
          <w:p>
            <w:pPr>
              <w:spacing w:after="0"/>
            </w:pPr>
            <w:r>
              <w:rPr>
                <w:sz w:val="18"/>
              </w:rPr>
              <w:t>Latest Measurement Timestamp</w:t>
            </w:r>
          </w:p>
        </w:tc>
        <w:tc>
          <w:tcPr>
            <w:tcW w:type="dxa" w:w="4195"/>
            <w:vAlign w:val="top"/>
            <w:tcMar>
              <w:top w:w="90" w:type="dxa"/>
              <w:start w:w="100" w:type="dxa"/>
              <w:bottom w:w="90" w:type="dxa"/>
              <w:end w:w="100" w:type="dxa"/>
            </w:tcMar>
          </w:tcPr>
          <w:p>
            <w:pPr>
              <w:spacing w:after="0"/>
            </w:pPr>
            <w:r>
              <w:rPr>
                <w:sz w:val="18"/>
              </w:rPr>
              <w:t>The latest relative timestamp recorded for the part</w:t>
            </w:r>
          </w:p>
        </w:tc>
      </w:tr>
      <w:tr>
        <w:trPr>
          <w:cantSplit/>
        </w:trPr>
        <w:tc>
          <w:tcPr>
            <w:tcW w:type="dxa" w:w="1814"/>
            <w:vAlign w:val="top"/>
            <w:tcMar>
              <w:top w:w="90" w:type="dxa"/>
              <w:start w:w="100" w:type="dxa"/>
              <w:bottom w:w="90" w:type="dxa"/>
              <w:end w:w="100" w:type="dxa"/>
            </w:tcMar>
          </w:tcPr>
          <w:p>
            <w:pPr>
              <w:spacing w:after="0"/>
            </w:pPr>
            <w:r>
              <w:rPr>
                <w:sz w:val="18"/>
              </w:rPr>
              <w:t>cycle_time</w:t>
            </w:r>
          </w:p>
        </w:tc>
        <w:tc>
          <w:tcPr>
            <w:tcW w:type="dxa" w:w="2721"/>
            <w:vAlign w:val="top"/>
            <w:tcMar>
              <w:top w:w="90" w:type="dxa"/>
              <w:start w:w="100" w:type="dxa"/>
              <w:bottom w:w="90" w:type="dxa"/>
              <w:end w:w="100" w:type="dxa"/>
            </w:tcMar>
          </w:tcPr>
          <w:p>
            <w:pPr>
              <w:spacing w:after="0"/>
            </w:pPr>
            <w:r>
              <w:rPr>
                <w:sz w:val="18"/>
              </w:rPr>
              <w:t>Observed Measurement Span</w:t>
            </w:r>
          </w:p>
        </w:tc>
        <w:tc>
          <w:tcPr>
            <w:tcW w:type="dxa" w:w="4195"/>
            <w:vAlign w:val="top"/>
            <w:tcMar>
              <w:top w:w="90" w:type="dxa"/>
              <w:start w:w="100" w:type="dxa"/>
              <w:bottom w:w="90" w:type="dxa"/>
              <w:end w:w="100" w:type="dxa"/>
            </w:tcMar>
          </w:tcPr>
          <w:p>
            <w:pPr>
              <w:spacing w:after="0"/>
            </w:pPr>
            <w:r>
              <w:rPr>
                <w:sz w:val="18"/>
              </w:rPr>
              <w:t>The interval covered by observed measurements</w:t>
            </w:r>
          </w:p>
        </w:tc>
      </w:tr>
      <w:tr>
        <w:trPr>
          <w:cantSplit/>
        </w:trPr>
        <w:tc>
          <w:tcPr>
            <w:tcW w:type="dxa" w:w="1814"/>
            <w:vAlign w:val="top"/>
            <w:tcMar>
              <w:top w:w="90" w:type="dxa"/>
              <w:start w:w="100" w:type="dxa"/>
              <w:bottom w:w="90" w:type="dxa"/>
              <w:end w:w="100" w:type="dxa"/>
            </w:tcMar>
          </w:tcPr>
          <w:p>
            <w:pPr>
              <w:spacing w:after="0"/>
            </w:pPr>
            <w:r>
              <w:rPr>
                <w:sz w:val="18"/>
              </w:rPr>
              <w:t>waiting_time</w:t>
            </w:r>
          </w:p>
        </w:tc>
        <w:tc>
          <w:tcPr>
            <w:tcW w:type="dxa" w:w="2721"/>
            <w:vAlign w:val="top"/>
            <w:tcMar>
              <w:top w:w="90" w:type="dxa"/>
              <w:start w:w="100" w:type="dxa"/>
              <w:bottom w:w="90" w:type="dxa"/>
              <w:end w:w="100" w:type="dxa"/>
            </w:tcMar>
          </w:tcPr>
          <w:p>
            <w:pPr>
              <w:spacing w:after="0"/>
            </w:pPr>
            <w:r>
              <w:rPr>
                <w:sz w:val="18"/>
              </w:rPr>
              <w:t>Observed Measurement Gap</w:t>
            </w:r>
          </w:p>
        </w:tc>
        <w:tc>
          <w:tcPr>
            <w:tcW w:type="dxa" w:w="4195"/>
            <w:vAlign w:val="top"/>
            <w:tcMar>
              <w:top w:w="90" w:type="dxa"/>
              <w:start w:w="100" w:type="dxa"/>
              <w:bottom w:w="90" w:type="dxa"/>
              <w:end w:w="100" w:type="dxa"/>
            </w:tcMar>
          </w:tcPr>
          <w:p>
            <w:pPr>
              <w:spacing w:after="0"/>
            </w:pPr>
            <w:r>
              <w:rPr>
                <w:sz w:val="18"/>
              </w:rPr>
              <w:t>Positive gaps in the reconstructed observation sequence</w:t>
            </w:r>
          </w:p>
        </w:tc>
      </w:tr>
      <w:tr>
        <w:trPr>
          <w:cantSplit/>
        </w:trPr>
        <w:tc>
          <w:tcPr>
            <w:tcW w:type="dxa" w:w="1814"/>
            <w:vAlign w:val="top"/>
            <w:tcMar>
              <w:top w:w="90" w:type="dxa"/>
              <w:start w:w="100" w:type="dxa"/>
              <w:bottom w:w="90" w:type="dxa"/>
              <w:end w:w="100" w:type="dxa"/>
            </w:tcMar>
          </w:tcPr>
          <w:p>
            <w:pPr>
              <w:spacing w:after="0"/>
            </w:pPr>
            <w:r>
              <w:rPr>
                <w:sz w:val="18"/>
              </w:rPr>
              <w:t>delay_ratio</w:t>
            </w:r>
          </w:p>
        </w:tc>
        <w:tc>
          <w:tcPr>
            <w:tcW w:type="dxa" w:w="2721"/>
            <w:vAlign w:val="top"/>
            <w:tcMar>
              <w:top w:w="90" w:type="dxa"/>
              <w:start w:w="100" w:type="dxa"/>
              <w:bottom w:w="90" w:type="dxa"/>
              <w:end w:w="100" w:type="dxa"/>
            </w:tcMar>
          </w:tcPr>
          <w:p>
            <w:pPr>
              <w:spacing w:after="0"/>
            </w:pPr>
            <w:r>
              <w:rPr>
                <w:sz w:val="18"/>
              </w:rPr>
              <w:t>Relative Measurement-Gap Ratio</w:t>
            </w:r>
          </w:p>
        </w:tc>
        <w:tc>
          <w:tcPr>
            <w:tcW w:type="dxa" w:w="4195"/>
            <w:vAlign w:val="top"/>
            <w:tcMar>
              <w:top w:w="90" w:type="dxa"/>
              <w:start w:w="100" w:type="dxa"/>
              <w:bottom w:w="90" w:type="dxa"/>
              <w:end w:w="100" w:type="dxa"/>
            </w:tcMar>
          </w:tcPr>
          <w:p>
            <w:pPr>
              <w:spacing w:after="0"/>
            </w:pPr>
            <w:r>
              <w:rPr>
                <w:sz w:val="18"/>
              </w:rPr>
              <w:t>Gap total relative to observed measurement span</w:t>
            </w:r>
          </w:p>
        </w:tc>
      </w:tr>
    </w:tbl>
    <w:p/>
    <w:tbl>
      <w:tblPr>
        <w:tblW w:type="auto" w:w="0"/>
        <w:jc w:val="center"/>
        <w:tblLook w:firstColumn="1" w:firstRow="1" w:lastColumn="0" w:lastRow="0" w:noHBand="0" w:noVBand="1" w:val="04A0"/>
      </w:tblPr>
      <w:tblGrid>
        <w:gridCol w:w="9525"/>
      </w:tblGrid>
      <w:tr>
        <w:trPr>
          <w:cantSplit/>
        </w:trPr>
        <w:tc>
          <w:tcPr>
            <w:tcW w:type="dxa" w:w="9525"/>
            <w:shd w:fill="FFF2CC"/>
            <w:tcMar>
              <w:top w:w="180" w:type="dxa"/>
              <w:start w:w="220" w:type="dxa"/>
              <w:bottom w:w="180" w:type="dxa"/>
              <w:end w:w="220" w:type="dxa"/>
            </w:tcMar>
          </w:tcPr>
          <w:p>
            <w:r>
              <w:rPr>
                <w:b/>
                <w:color w:val="1F4E79"/>
                <w:sz w:val="21"/>
              </w:rPr>
              <w:t>Start-time example</w:t>
              <w:br/>
            </w:r>
            <w:r>
              <w:rPr>
                <w:sz w:val="21"/>
              </w:rPr>
              <w:t>High SHAP importance for Earliest Measurement Timestamp does not mean “starting late caused the failure.” It means the model found different failure probabilities across relative production windows. The signal may proxy for batch, machine state, route, product family, tool condition, or another hidden factor.</w:t>
            </w:r>
          </w:p>
        </w:tc>
      </w:tr>
    </w:tbl>
    <w:p>
      <w:pPr>
        <w:spacing w:after="0"/>
      </w:pPr>
    </w:p>
    <w:p>
      <w:pPr>
        <w:pStyle w:val="Heading1"/>
        <w:keepNext/>
      </w:pPr>
      <w:r>
        <w:t>15.5 Interpreting station presence and risk</w:t>
      </w:r>
    </w:p>
    <w:p>
      <w:r>
        <w:t>Phase 3 found that products with observed presence at L3_S32 had a much higher failure rate than the overall training population. This is a strong descriptive finding. However, the station may process a special product family or route that is inherently higher risk. The station presence may therefore be a marker rather than the cause.</w:t>
      </w:r>
    </w:p>
    <w:p>
      <w:pPr>
        <w:ind w:left="369" w:hanging="255"/>
      </w:pPr>
      <w:r>
        <w:t>1.  Observed fact: 24,543 training parts have recorded presence at L3_S32.</w:t>
      </w:r>
    </w:p>
    <w:p>
      <w:pPr>
        <w:ind w:left="369" w:hanging="255"/>
      </w:pPr>
      <w:r>
        <w:t>2.  Descriptive finding: 1,106 of those parts are failures, an observed rate of about 4.51%.</w:t>
      </w:r>
    </w:p>
    <w:p>
      <w:pPr>
        <w:ind w:left="369" w:hanging="255"/>
      </w:pPr>
      <w:r>
        <w:t>3.  Comparison: the overall training failure rate is about 0.58%, so the station-presence group has high lift.</w:t>
      </w:r>
    </w:p>
    <w:p>
      <w:pPr>
        <w:ind w:left="369" w:hanging="255"/>
      </w:pPr>
      <w:r>
        <w:t>4.  Hypotheses: product family, routing, test type, upstream condition, or the station itself may be involved.</w:t>
      </w:r>
    </w:p>
    <w:p>
      <w:pPr>
        <w:ind w:left="369" w:hanging="255"/>
      </w:pPr>
      <w:r>
        <w:t>5.  Required confirmation: actual operation, product mix, quality codes, maintenance records, and controlled engineering investigation.</w:t>
      </w:r>
    </w:p>
    <w:p>
      <w:pPr>
        <w:pStyle w:val="Heading1"/>
        <w:keepNext/>
      </w:pPr>
      <w:r>
        <w:t>15.6 SHAP interpretation</w:t>
      </w:r>
    </w:p>
    <w:p>
      <w:r>
        <w:t>SHAP answers a model question: how much did each input push a prediction higher or lower relative to a baseline? It does not answer a physical-causation question. A global SHAP chart ranks signals used across many predictions, while a local explanation describes one part. Both depend on the model, feature engineering, data sample, and correlation structure.</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6066"/>
            <w:shd w:fill="1F4E79"/>
            <w:vAlign w:val="center"/>
          </w:tcPr>
          <w:p>
            <w:r>
              <w:rPr>
                <w:b/>
                <w:color w:val="FFFFFF"/>
                <w:sz w:val="19"/>
              </w:rPr>
              <w:t>SHAP statement</w:t>
            </w:r>
          </w:p>
        </w:tc>
        <w:tc>
          <w:tcPr>
            <w:tcW w:type="dxa" w:w="2665"/>
            <w:shd w:fill="1F4E79"/>
            <w:vAlign w:val="center"/>
          </w:tcPr>
          <w:p>
            <w:r>
              <w:rPr>
                <w:b/>
                <w:color w:val="FFFFFF"/>
                <w:sz w:val="19"/>
              </w:rPr>
              <w:t>Status</w:t>
            </w:r>
          </w:p>
        </w:tc>
      </w:tr>
      <w:tr>
        <w:trPr>
          <w:cantSplit/>
        </w:trPr>
        <w:tc>
          <w:tcPr>
            <w:tcW w:type="dxa" w:w="6066"/>
            <w:vAlign w:val="top"/>
            <w:tcMar>
              <w:top w:w="90" w:type="dxa"/>
              <w:start w:w="100" w:type="dxa"/>
              <w:bottom w:w="90" w:type="dxa"/>
              <w:end w:w="100" w:type="dxa"/>
            </w:tcMar>
          </w:tcPr>
          <w:p>
            <w:pPr>
              <w:spacing w:after="0"/>
            </w:pPr>
            <w:r>
              <w:rPr>
                <w:sz w:val="18"/>
              </w:rPr>
              <w:t>“This feature had a large mean absolute SHAP value.”</w:t>
            </w:r>
          </w:p>
        </w:tc>
        <w:tc>
          <w:tcPr>
            <w:tcW w:type="dxa" w:w="2665"/>
            <w:vAlign w:val="top"/>
            <w:tcMar>
              <w:top w:w="90" w:type="dxa"/>
              <w:start w:w="100" w:type="dxa"/>
              <w:bottom w:w="90" w:type="dxa"/>
              <w:end w:w="100" w:type="dxa"/>
            </w:tcMar>
          </w:tcPr>
          <w:p>
            <w:pPr>
              <w:spacing w:after="0"/>
            </w:pPr>
            <w:r>
              <w:rPr>
                <w:sz w:val="18"/>
              </w:rPr>
              <w:t>Valid model-behavior statement</w:t>
            </w:r>
          </w:p>
        </w:tc>
      </w:tr>
      <w:tr>
        <w:trPr>
          <w:cantSplit/>
        </w:trPr>
        <w:tc>
          <w:tcPr>
            <w:tcW w:type="dxa" w:w="6066"/>
            <w:vAlign w:val="top"/>
            <w:tcMar>
              <w:top w:w="90" w:type="dxa"/>
              <w:start w:w="100" w:type="dxa"/>
              <w:bottom w:w="90" w:type="dxa"/>
              <w:end w:w="100" w:type="dxa"/>
            </w:tcMar>
          </w:tcPr>
          <w:p>
            <w:pPr>
              <w:spacing w:after="0"/>
            </w:pPr>
            <w:r>
              <w:rPr>
                <w:sz w:val="18"/>
              </w:rPr>
              <w:t>“This feature often pushed predicted risk upward.”</w:t>
            </w:r>
          </w:p>
        </w:tc>
        <w:tc>
          <w:tcPr>
            <w:tcW w:type="dxa" w:w="2665"/>
            <w:vAlign w:val="top"/>
            <w:tcMar>
              <w:top w:w="90" w:type="dxa"/>
              <w:start w:w="100" w:type="dxa"/>
              <w:bottom w:w="90" w:type="dxa"/>
              <w:end w:w="100" w:type="dxa"/>
            </w:tcMar>
          </w:tcPr>
          <w:p>
            <w:pPr>
              <w:spacing w:after="0"/>
            </w:pPr>
            <w:r>
              <w:rPr>
                <w:sz w:val="18"/>
              </w:rPr>
              <w:t>Valid if direction is supported by the analysis</w:t>
            </w:r>
          </w:p>
        </w:tc>
      </w:tr>
      <w:tr>
        <w:trPr>
          <w:cantSplit/>
        </w:trPr>
        <w:tc>
          <w:tcPr>
            <w:tcW w:type="dxa" w:w="6066"/>
            <w:vAlign w:val="top"/>
            <w:tcMar>
              <w:top w:w="90" w:type="dxa"/>
              <w:start w:w="100" w:type="dxa"/>
              <w:bottom w:w="90" w:type="dxa"/>
              <w:end w:w="100" w:type="dxa"/>
            </w:tcMar>
          </w:tcPr>
          <w:p>
            <w:pPr>
              <w:spacing w:after="0"/>
            </w:pPr>
            <w:r>
              <w:rPr>
                <w:sz w:val="18"/>
              </w:rPr>
              <w:t>“This station causes failures.”</w:t>
            </w:r>
          </w:p>
        </w:tc>
        <w:tc>
          <w:tcPr>
            <w:tcW w:type="dxa" w:w="2665"/>
            <w:vAlign w:val="top"/>
            <w:tcMar>
              <w:top w:w="90" w:type="dxa"/>
              <w:start w:w="100" w:type="dxa"/>
              <w:bottom w:w="90" w:type="dxa"/>
              <w:end w:w="100" w:type="dxa"/>
            </w:tcMar>
          </w:tcPr>
          <w:p>
            <w:pPr>
              <w:spacing w:after="0"/>
            </w:pPr>
            <w:r>
              <w:rPr>
                <w:sz w:val="18"/>
              </w:rPr>
              <w:t>Not established by SHAP</w:t>
            </w:r>
          </w:p>
        </w:tc>
      </w:tr>
      <w:tr>
        <w:trPr>
          <w:cantSplit/>
        </w:trPr>
        <w:tc>
          <w:tcPr>
            <w:tcW w:type="dxa" w:w="6066"/>
            <w:vAlign w:val="top"/>
            <w:tcMar>
              <w:top w:w="90" w:type="dxa"/>
              <w:start w:w="100" w:type="dxa"/>
              <w:bottom w:w="90" w:type="dxa"/>
              <w:end w:w="100" w:type="dxa"/>
            </w:tcMar>
          </w:tcPr>
          <w:p>
            <w:pPr>
              <w:spacing w:after="0"/>
            </w:pPr>
            <w:r>
              <w:rPr>
                <w:sz w:val="18"/>
              </w:rPr>
              <w:t>“Changing this feature will reduce failures.”</w:t>
            </w:r>
          </w:p>
        </w:tc>
        <w:tc>
          <w:tcPr>
            <w:tcW w:type="dxa" w:w="2665"/>
            <w:vAlign w:val="top"/>
            <w:tcMar>
              <w:top w:w="90" w:type="dxa"/>
              <w:start w:w="100" w:type="dxa"/>
              <w:bottom w:w="90" w:type="dxa"/>
              <w:end w:w="100" w:type="dxa"/>
            </w:tcMar>
          </w:tcPr>
          <w:p>
            <w:pPr>
              <w:spacing w:after="0"/>
            </w:pPr>
            <w:r>
              <w:rPr>
                <w:sz w:val="18"/>
              </w:rPr>
              <w:t>Intervention claim requiring causal evidence</w:t>
            </w:r>
          </w:p>
        </w:tc>
      </w:tr>
    </w:tbl>
    <w:p/>
    <w:p>
      <w:pPr>
        <w:pStyle w:val="Heading1"/>
        <w:keepNext/>
      </w:pPr>
      <w:r>
        <w:t>15.7 Audience-specific communication</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1757"/>
            <w:shd w:fill="1F4E79"/>
            <w:vAlign w:val="center"/>
          </w:tcPr>
          <w:p>
            <w:r>
              <w:rPr>
                <w:b/>
                <w:color w:val="FFFFFF"/>
                <w:sz w:val="19"/>
              </w:rPr>
              <w:t>Audience</w:t>
            </w:r>
          </w:p>
        </w:tc>
        <w:tc>
          <w:tcPr>
            <w:tcW w:type="dxa" w:w="3685"/>
            <w:shd w:fill="1F4E79"/>
            <w:vAlign w:val="center"/>
          </w:tcPr>
          <w:p>
            <w:r>
              <w:rPr>
                <w:b/>
                <w:color w:val="FFFFFF"/>
                <w:sz w:val="19"/>
              </w:rPr>
              <w:t>What to emphasize</w:t>
            </w:r>
          </w:p>
        </w:tc>
        <w:tc>
          <w:tcPr>
            <w:tcW w:type="dxa" w:w="3288"/>
            <w:shd w:fill="1F4E79"/>
            <w:vAlign w:val="center"/>
          </w:tcPr>
          <w:p>
            <w:r>
              <w:rPr>
                <w:b/>
                <w:color w:val="FFFFFF"/>
                <w:sz w:val="19"/>
              </w:rPr>
              <w:t>What to avoid</w:t>
            </w:r>
          </w:p>
        </w:tc>
      </w:tr>
      <w:tr>
        <w:trPr>
          <w:cantSplit/>
        </w:trPr>
        <w:tc>
          <w:tcPr>
            <w:tcW w:type="dxa" w:w="1757"/>
            <w:vAlign w:val="top"/>
            <w:tcMar>
              <w:top w:w="90" w:type="dxa"/>
              <w:start w:w="100" w:type="dxa"/>
              <w:bottom w:w="90" w:type="dxa"/>
              <w:end w:w="100" w:type="dxa"/>
            </w:tcMar>
          </w:tcPr>
          <w:p>
            <w:pPr>
              <w:spacing w:after="0"/>
            </w:pPr>
            <w:r>
              <w:rPr>
                <w:sz w:val="15"/>
              </w:rPr>
              <w:t>Student/fresher</w:t>
            </w:r>
          </w:p>
        </w:tc>
        <w:tc>
          <w:tcPr>
            <w:tcW w:type="dxa" w:w="3685"/>
            <w:vAlign w:val="top"/>
            <w:tcMar>
              <w:top w:w="90" w:type="dxa"/>
              <w:start w:w="100" w:type="dxa"/>
              <w:bottom w:w="90" w:type="dxa"/>
              <w:end w:w="100" w:type="dxa"/>
            </w:tcMar>
          </w:tcPr>
          <w:p>
            <w:pPr>
              <w:spacing w:after="0"/>
            </w:pPr>
            <w:r>
              <w:rPr>
                <w:sz w:val="15"/>
              </w:rPr>
              <w:t>Feature structure, sparsity, imbalance, and prediction-versus-causation</w:t>
            </w:r>
          </w:p>
        </w:tc>
        <w:tc>
          <w:tcPr>
            <w:tcW w:type="dxa" w:w="3288"/>
            <w:vAlign w:val="top"/>
            <w:tcMar>
              <w:top w:w="90" w:type="dxa"/>
              <w:start w:w="100" w:type="dxa"/>
              <w:bottom w:w="90" w:type="dxa"/>
              <w:end w:w="100" w:type="dxa"/>
            </w:tcMar>
          </w:tcPr>
          <w:p>
            <w:pPr>
              <w:spacing w:after="0"/>
            </w:pPr>
            <w:r>
              <w:rPr>
                <w:sz w:val="15"/>
              </w:rPr>
              <w:t>Overloading with factory acronyms without explanation</w:t>
            </w:r>
          </w:p>
        </w:tc>
      </w:tr>
      <w:tr>
        <w:trPr>
          <w:cantSplit/>
        </w:trPr>
        <w:tc>
          <w:tcPr>
            <w:tcW w:type="dxa" w:w="1757"/>
            <w:vAlign w:val="top"/>
            <w:tcMar>
              <w:top w:w="90" w:type="dxa"/>
              <w:start w:w="100" w:type="dxa"/>
              <w:bottom w:w="90" w:type="dxa"/>
              <w:end w:w="100" w:type="dxa"/>
            </w:tcMar>
          </w:tcPr>
          <w:p>
            <w:pPr>
              <w:spacing w:after="0"/>
            </w:pPr>
            <w:r>
              <w:rPr>
                <w:sz w:val="15"/>
              </w:rPr>
              <w:t>Data scientist</w:t>
            </w:r>
          </w:p>
        </w:tc>
        <w:tc>
          <w:tcPr>
            <w:tcW w:type="dxa" w:w="3685"/>
            <w:vAlign w:val="top"/>
            <w:tcMar>
              <w:top w:w="90" w:type="dxa"/>
              <w:start w:w="100" w:type="dxa"/>
              <w:bottom w:w="90" w:type="dxa"/>
              <w:end w:w="100" w:type="dxa"/>
            </w:tcMar>
          </w:tcPr>
          <w:p>
            <w:pPr>
              <w:spacing w:after="0"/>
            </w:pPr>
            <w:r>
              <w:rPr>
                <w:sz w:val="15"/>
              </w:rPr>
              <w:t>Validation design, leakage, feature availability, calibration, and uncertainty</w:t>
            </w:r>
          </w:p>
        </w:tc>
        <w:tc>
          <w:tcPr>
            <w:tcW w:type="dxa" w:w="3288"/>
            <w:vAlign w:val="top"/>
            <w:tcMar>
              <w:top w:w="90" w:type="dxa"/>
              <w:start w:w="100" w:type="dxa"/>
              <w:bottom w:w="90" w:type="dxa"/>
              <w:end w:w="100" w:type="dxa"/>
            </w:tcMar>
          </w:tcPr>
          <w:p>
            <w:pPr>
              <w:spacing w:after="0"/>
            </w:pPr>
            <w:r>
              <w:rPr>
                <w:sz w:val="15"/>
              </w:rPr>
              <w:t>Only reporting leaderboard score</w:t>
            </w:r>
          </w:p>
        </w:tc>
      </w:tr>
      <w:tr>
        <w:trPr>
          <w:cantSplit/>
        </w:trPr>
        <w:tc>
          <w:tcPr>
            <w:tcW w:type="dxa" w:w="1757"/>
            <w:vAlign w:val="top"/>
            <w:tcMar>
              <w:top w:w="90" w:type="dxa"/>
              <w:start w:w="100" w:type="dxa"/>
              <w:bottom w:w="90" w:type="dxa"/>
              <w:end w:w="100" w:type="dxa"/>
            </w:tcMar>
          </w:tcPr>
          <w:p>
            <w:pPr>
              <w:spacing w:after="0"/>
            </w:pPr>
            <w:r>
              <w:rPr>
                <w:sz w:val="15"/>
              </w:rPr>
              <w:t>Process engineer</w:t>
            </w:r>
          </w:p>
        </w:tc>
        <w:tc>
          <w:tcPr>
            <w:tcW w:type="dxa" w:w="3685"/>
            <w:vAlign w:val="top"/>
            <w:tcMar>
              <w:top w:w="90" w:type="dxa"/>
              <w:start w:w="100" w:type="dxa"/>
              <w:bottom w:w="90" w:type="dxa"/>
              <w:end w:w="100" w:type="dxa"/>
            </w:tcMar>
          </w:tcPr>
          <w:p>
            <w:pPr>
              <w:spacing w:after="0"/>
            </w:pPr>
            <w:r>
              <w:rPr>
                <w:sz w:val="15"/>
              </w:rPr>
              <w:t>Station, route, measurement pattern, support count, and evidence needed</w:t>
            </w:r>
          </w:p>
        </w:tc>
        <w:tc>
          <w:tcPr>
            <w:tcW w:type="dxa" w:w="3288"/>
            <w:vAlign w:val="top"/>
            <w:tcMar>
              <w:top w:w="90" w:type="dxa"/>
              <w:start w:w="100" w:type="dxa"/>
              <w:bottom w:w="90" w:type="dxa"/>
              <w:end w:w="100" w:type="dxa"/>
            </w:tcMar>
          </w:tcPr>
          <w:p>
            <w:pPr>
              <w:spacing w:after="0"/>
            </w:pPr>
            <w:r>
              <w:rPr>
                <w:sz w:val="15"/>
              </w:rPr>
              <w:t>Inventing units or operations</w:t>
            </w:r>
          </w:p>
        </w:tc>
      </w:tr>
      <w:tr>
        <w:trPr>
          <w:cantSplit/>
        </w:trPr>
        <w:tc>
          <w:tcPr>
            <w:tcW w:type="dxa" w:w="1757"/>
            <w:vAlign w:val="top"/>
            <w:tcMar>
              <w:top w:w="90" w:type="dxa"/>
              <w:start w:w="100" w:type="dxa"/>
              <w:bottom w:w="90" w:type="dxa"/>
              <w:end w:w="100" w:type="dxa"/>
            </w:tcMar>
          </w:tcPr>
          <w:p>
            <w:pPr>
              <w:spacing w:after="0"/>
            </w:pPr>
            <w:r>
              <w:rPr>
                <w:sz w:val="15"/>
              </w:rPr>
              <w:t>Plant manager</w:t>
            </w:r>
          </w:p>
        </w:tc>
        <w:tc>
          <w:tcPr>
            <w:tcW w:type="dxa" w:w="3685"/>
            <w:vAlign w:val="top"/>
            <w:tcMar>
              <w:top w:w="90" w:type="dxa"/>
              <w:start w:w="100" w:type="dxa"/>
              <w:bottom w:w="90" w:type="dxa"/>
              <w:end w:w="100" w:type="dxa"/>
            </w:tcMar>
          </w:tcPr>
          <w:p>
            <w:pPr>
              <w:spacing w:after="0"/>
            </w:pPr>
            <w:r>
              <w:rPr>
                <w:sz w:val="15"/>
              </w:rPr>
              <w:t>Decision supported, alert volume, risk trade-off, limitations, and next pilot step</w:t>
            </w:r>
          </w:p>
        </w:tc>
        <w:tc>
          <w:tcPr>
            <w:tcW w:type="dxa" w:w="3288"/>
            <w:vAlign w:val="top"/>
            <w:tcMar>
              <w:top w:w="90" w:type="dxa"/>
              <w:start w:w="100" w:type="dxa"/>
              <w:bottom w:w="90" w:type="dxa"/>
              <w:end w:w="100" w:type="dxa"/>
            </w:tcMar>
          </w:tcPr>
          <w:p>
            <w:pPr>
              <w:spacing w:after="0"/>
            </w:pPr>
            <w:r>
              <w:rPr>
                <w:sz w:val="15"/>
              </w:rPr>
              <w:t>Technical model detail without operational consequence</w:t>
            </w:r>
          </w:p>
        </w:tc>
      </w:tr>
      <w:tr>
        <w:trPr>
          <w:cantSplit/>
        </w:trPr>
        <w:tc>
          <w:tcPr>
            <w:tcW w:type="dxa" w:w="1757"/>
            <w:vAlign w:val="top"/>
            <w:tcMar>
              <w:top w:w="90" w:type="dxa"/>
              <w:start w:w="100" w:type="dxa"/>
              <w:bottom w:w="90" w:type="dxa"/>
              <w:end w:w="100" w:type="dxa"/>
            </w:tcMar>
          </w:tcPr>
          <w:p>
            <w:pPr>
              <w:spacing w:after="0"/>
            </w:pPr>
            <w:r>
              <w:rPr>
                <w:sz w:val="15"/>
              </w:rPr>
              <w:t>Governance reviewer</w:t>
            </w:r>
          </w:p>
        </w:tc>
        <w:tc>
          <w:tcPr>
            <w:tcW w:type="dxa" w:w="3685"/>
            <w:vAlign w:val="top"/>
            <w:tcMar>
              <w:top w:w="90" w:type="dxa"/>
              <w:start w:w="100" w:type="dxa"/>
              <w:bottom w:w="90" w:type="dxa"/>
              <w:end w:w="100" w:type="dxa"/>
            </w:tcMar>
          </w:tcPr>
          <w:p>
            <w:pPr>
              <w:spacing w:after="0"/>
            </w:pPr>
            <w:r>
              <w:rPr>
                <w:sz w:val="15"/>
              </w:rPr>
              <w:t>Data lineage, model card, controls, ownership, monitoring, and rollback</w:t>
            </w:r>
          </w:p>
        </w:tc>
        <w:tc>
          <w:tcPr>
            <w:tcW w:type="dxa" w:w="3288"/>
            <w:vAlign w:val="top"/>
            <w:tcMar>
              <w:top w:w="90" w:type="dxa"/>
              <w:start w:w="100" w:type="dxa"/>
              <w:bottom w:w="90" w:type="dxa"/>
              <w:end w:w="100" w:type="dxa"/>
            </w:tcMar>
          </w:tcPr>
          <w:p>
            <w:pPr>
              <w:spacing w:after="0"/>
            </w:pPr>
            <w:r>
              <w:rPr>
                <w:sz w:val="15"/>
              </w:rPr>
              <w:t>Claiming production approval from a public benchmark</w:t>
            </w:r>
          </w:p>
        </w:tc>
      </w:tr>
    </w:tbl>
    <w:p/>
    <w:p>
      <w:pPr>
        <w:pStyle w:val="Heading1"/>
        <w:keepNext/>
      </w:pPr>
      <w:r>
        <w:t>15.8 A future factory validation workflow</w:t>
      </w:r>
    </w:p>
    <w:p>
      <w:pPr>
        <w:ind w:left="369" w:hanging="255"/>
      </w:pPr>
      <w:r>
        <w:t>1.  Map each anonymous benchmark concept to real factory signals and approved definitions.</w:t>
      </w:r>
    </w:p>
    <w:p>
      <w:pPr>
        <w:ind w:left="369" w:hanging="255"/>
      </w:pPr>
      <w:r>
        <w:t>2.  Define the prediction moment, user, action, false-positive cost, and false-negative cost.</w:t>
      </w:r>
    </w:p>
    <w:p>
      <w:pPr>
        <w:ind w:left="369" w:hanging="255"/>
      </w:pPr>
      <w:r>
        <w:t>3.  Collect historical current-factory data with feature and label lineage.</w:t>
      </w:r>
    </w:p>
    <w:p>
      <w:pPr>
        <w:ind w:left="369" w:hanging="255"/>
      </w:pPr>
      <w:r>
        <w:t>4.  Use time-aware validation and a final untouched test period.</w:t>
      </w:r>
    </w:p>
    <w:p>
      <w:pPr>
        <w:ind w:left="369" w:hanging="255"/>
      </w:pPr>
      <w:r>
        <w:t>5.  Review important signals with process, quality, maintenance, and safety experts.</w:t>
      </w:r>
    </w:p>
    <w:p>
      <w:pPr>
        <w:ind w:left="369" w:hanging="255"/>
      </w:pPr>
      <w:r>
        <w:t>6.  Run shadow scoring without changing production decisions.</w:t>
      </w:r>
    </w:p>
    <w:p>
      <w:pPr>
        <w:ind w:left="369" w:hanging="255"/>
      </w:pPr>
      <w:r>
        <w:t>7.  Measure latency, drift, alert volume, operator feedback, and label delay.</w:t>
      </w:r>
    </w:p>
    <w:p>
      <w:pPr>
        <w:ind w:left="369" w:hanging="255"/>
      </w:pPr>
      <w:r>
        <w:t>8.  Conduct a controlled pilot with approved success and stop criteria.</w:t>
      </w:r>
    </w:p>
    <w:p>
      <w:pPr>
        <w:ind w:left="369" w:hanging="255"/>
      </w:pPr>
      <w:r>
        <w:t>9.  Promote gradually with monitoring, rollback, and documented ownership.</w:t>
      </w:r>
    </w:p>
    <w:p>
      <w:pPr>
        <w:pStyle w:val="Heading1"/>
        <w:keepNext/>
      </w:pPr>
      <w:r>
        <w:t>15.9 The Part II interpretation checklist</w:t>
      </w:r>
    </w:p>
    <w:p>
      <w:pPr>
        <w:pStyle w:val="ListBullet"/>
      </w:pPr>
      <w:r>
        <w:t>What exactly is observed in the raw data?</w:t>
      </w:r>
    </w:p>
    <w:p>
      <w:pPr>
        <w:pStyle w:val="ListBullet"/>
      </w:pPr>
      <w:r>
        <w:t>Is the statement descriptive, predictive, causal, or prescriptive?</w:t>
      </w:r>
    </w:p>
    <w:p>
      <w:pPr>
        <w:pStyle w:val="ListBullet"/>
      </w:pPr>
      <w:r>
        <w:t>Is the feature raw, engineered, or derived from labels/order?</w:t>
      </w:r>
    </w:p>
    <w:p>
      <w:pPr>
        <w:pStyle w:val="ListBullet"/>
      </w:pPr>
      <w:r>
        <w:t>Was the finding validated out of sample?</w:t>
      </w:r>
    </w:p>
    <w:p>
      <w:pPr>
        <w:pStyle w:val="ListBullet"/>
      </w:pPr>
      <w:r>
        <w:t>Is the feature available at prediction time?</w:t>
      </w:r>
    </w:p>
    <w:p>
      <w:pPr>
        <w:pStyle w:val="ListBullet"/>
      </w:pPr>
      <w:r>
        <w:t>Could product family, route, time, or missingness confound the result?</w:t>
      </w:r>
    </w:p>
    <w:p>
      <w:pPr>
        <w:pStyle w:val="ListBullet"/>
      </w:pPr>
      <w:r>
        <w:t>Does the wording imply an unknown sensor, unit, delay, or operation?</w:t>
      </w:r>
    </w:p>
    <w:p>
      <w:pPr>
        <w:pStyle w:val="ListBullet"/>
      </w:pPr>
      <w:r>
        <w:t>What engineering evidence is required before recommending action?</w:t>
      </w:r>
    </w:p>
    <w:tbl>
      <w:tblPr>
        <w:tblW w:type="auto" w:w="0"/>
        <w:jc w:val="center"/>
        <w:tblLook w:firstColumn="1" w:firstRow="1" w:lastColumn="0" w:lastRow="0" w:noHBand="0" w:noVBand="1" w:val="04A0"/>
      </w:tblPr>
      <w:tblGrid>
        <w:gridCol w:w="9525"/>
      </w:tblGrid>
      <w:tr>
        <w:trPr>
          <w:cantSplit/>
        </w:trPr>
        <w:tc>
          <w:tcPr>
            <w:tcW w:type="dxa" w:w="9525"/>
            <w:shd w:fill="E2F0D9"/>
            <w:tcMar>
              <w:top w:w="180" w:type="dxa"/>
              <w:start w:w="220" w:type="dxa"/>
              <w:bottom w:w="180" w:type="dxa"/>
              <w:end w:w="220" w:type="dxa"/>
            </w:tcMar>
          </w:tcPr>
          <w:p>
            <w:r>
              <w:rPr>
                <w:b/>
                <w:color w:val="1F4E79"/>
                <w:sz w:val="21"/>
              </w:rPr>
              <w:t>Final Part II principle</w:t>
              <w:br/>
            </w:r>
            <w:r>
              <w:rPr>
                <w:sz w:val="21"/>
              </w:rPr>
              <w:t>The public Bosch dataset is rich enough to teach sophisticated manufacturing analytics. A trustworthy analyst finds patterns and clearly explains their boundaries.</w:t>
            </w:r>
          </w:p>
        </w:tc>
      </w:tr>
    </w:tbl>
    <w:p>
      <w:pPr>
        <w:spacing w:after="0"/>
      </w:pPr>
    </w:p>
    <w:tbl>
      <w:tblPr>
        <w:tblW w:type="auto" w:w="0"/>
        <w:jc w:val="center"/>
        <w:tblLook w:firstColumn="1" w:firstRow="1" w:lastColumn="0" w:lastRow="0" w:noHBand="0" w:noVBand="1" w:val="04A0"/>
      </w:tblPr>
      <w:tblGrid>
        <w:gridCol w:w="9525"/>
      </w:tblGrid>
      <w:tr>
        <w:trPr>
          <w:cantSplit/>
        </w:trPr>
        <w:tc>
          <w:tcPr>
            <w:tcW w:type="dxa" w:w="9525"/>
            <w:shd w:fill="FCE4D6"/>
            <w:tcMar>
              <w:top w:w="180" w:type="dxa"/>
              <w:start w:w="220" w:type="dxa"/>
              <w:bottom w:w="180" w:type="dxa"/>
              <w:end w:w="220" w:type="dxa"/>
            </w:tcMar>
          </w:tcPr>
          <w:p>
            <w:r>
              <w:rPr>
                <w:b/>
                <w:color w:val="1F4E79"/>
                <w:sz w:val="21"/>
              </w:rPr>
              <w:t>Common beginner mistakes</w:t>
              <w:br/>
            </w:r>
            <w:r>
              <w:rPr>
                <w:sz w:val="21"/>
              </w:rPr>
              <w:t>• Using “root cause” when the evidence is SHAP importance or association.</w:t>
              <w:br/>
              <w:t>• Calling relative timestamps real production delays.</w:t>
              <w:br/>
              <w:t>• Ignoring product mix or route confounding in station-level failure rates.</w:t>
              <w:br/>
              <w:t>• Presenting an engineered feature name as though Bosch supplied it directly.</w:t>
              <w:br/>
              <w:t>• Giving the same explanation to an engineer and a business manager without adapting the message.</w:t>
            </w:r>
          </w:p>
        </w:tc>
      </w:tr>
    </w:tbl>
    <w:p>
      <w:pPr>
        <w:spacing w:after="0"/>
      </w:pPr>
    </w:p>
    <w:p>
      <w:pPr>
        <w:pStyle w:val="Heading2"/>
        <w:keepNext/>
      </w:pPr>
      <w:r>
        <w:t>Review questions</w:t>
      </w:r>
    </w:p>
    <w:p>
      <w:pPr>
        <w:ind w:left="369" w:hanging="255"/>
      </w:pPr>
      <w:r>
        <w:t>1.  What are the four levels of the interpretation ladder?</w:t>
      </w:r>
    </w:p>
    <w:p>
      <w:pPr>
        <w:ind w:left="369" w:hanging="255"/>
      </w:pPr>
      <w:r>
        <w:t>2.  How should start_time be explained to a dashboard reader?</w:t>
      </w:r>
    </w:p>
    <w:p>
      <w:pPr>
        <w:ind w:left="369" w:hanging="255"/>
      </w:pPr>
      <w:r>
        <w:t>3.  Why can a high-risk station be a marker rather than a cause?</w:t>
      </w:r>
    </w:p>
    <w:p>
      <w:pPr>
        <w:ind w:left="369" w:hanging="255"/>
      </w:pPr>
      <w:r>
        <w:t>4.  What does SHAP explain?</w:t>
      </w:r>
    </w:p>
    <w:p>
      <w:pPr>
        <w:ind w:left="369" w:hanging="255"/>
      </w:pPr>
      <w:r>
        <w:t>5.  What steps are required to convert this benchmark into a factory pilot?</w:t>
      </w:r>
    </w:p>
    <w:p>
      <w:pPr>
        <w:pStyle w:val="Heading2"/>
        <w:keepNext/>
      </w:pPr>
      <w:r>
        <w:t>Practice exercise</w:t>
      </w:r>
    </w:p>
    <w:p>
      <w:r>
        <w:t>Choose three findings from the project dashboard: one temporal, one station-level, and one numerical/categorical SHAP signal. For each, write an observed fact, an analytical finding, a manufacturing hypothesis, and the evidence needed for causal confirmation.</w:t>
      </w:r>
    </w:p>
    <w:tbl>
      <w:tblPr>
        <w:tblW w:type="auto" w:w="0"/>
        <w:jc w:val="center"/>
        <w:tblLook w:firstColumn="1" w:firstRow="1" w:lastColumn="0" w:lastRow="0" w:noHBand="0" w:noVBand="1" w:val="04A0"/>
      </w:tblPr>
      <w:tblGrid>
        <w:gridCol w:w="9525"/>
      </w:tblGrid>
      <w:tr>
        <w:trPr>
          <w:cantSplit/>
        </w:trPr>
        <w:tc>
          <w:tcPr>
            <w:tcW w:type="dxa" w:w="9525"/>
            <w:shd w:fill="E2F0D9"/>
            <w:tcMar>
              <w:top w:w="180" w:type="dxa"/>
              <w:start w:w="220" w:type="dxa"/>
              <w:bottom w:w="180" w:type="dxa"/>
              <w:end w:w="220" w:type="dxa"/>
            </w:tcMar>
          </w:tcPr>
          <w:p>
            <w:r>
              <w:rPr>
                <w:b/>
                <w:color w:val="1F4E79"/>
                <w:sz w:val="21"/>
              </w:rPr>
              <w:t>Chapter summary</w:t>
              <w:br/>
            </w:r>
            <w:r>
              <w:rPr>
                <w:sz w:val="21"/>
              </w:rPr>
              <w:t>• Good interpretation moves from observed facts to analytical findings, hypotheses, and confirmed causes.</w:t>
              <w:br/>
              <w:t>• Anonymous values and engineered timestamps require careful reader-facing language.</w:t>
              <w:br/>
              <w:t>• Station and feature associations can be strong without being causal.</w:t>
              <w:br/>
              <w:t>• SHAP explains model behavior, not physical failure mechanisms.</w:t>
              <w:br/>
              <w:t>• Future factory use requires mapped features, time-aware validation, engineering review, shadow scoring, and controlled rollout.</w:t>
            </w:r>
          </w:p>
        </w:tc>
      </w:tr>
    </w:tbl>
    <w:p>
      <w:pPr>
        <w:spacing w:after="0"/>
      </w:pPr>
    </w:p>
    <w:p>
      <w:r>
        <w:br w:type="page"/>
      </w:r>
    </w:p>
    <w:p>
      <w:pPr>
        <w:pStyle w:val="Title"/>
      </w:pPr>
      <w:r>
        <w:t>Part II Glossary</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2948"/>
            <w:shd w:fill="1F4E79"/>
            <w:vAlign w:val="center"/>
          </w:tcPr>
          <w:p>
            <w:r>
              <w:rPr>
                <w:b/>
                <w:color w:val="FFFFFF"/>
                <w:sz w:val="19"/>
              </w:rPr>
              <w:t>Term</w:t>
            </w:r>
          </w:p>
        </w:tc>
        <w:tc>
          <w:tcPr>
            <w:tcW w:type="dxa" w:w="5783"/>
            <w:shd w:fill="1F4E79"/>
            <w:vAlign w:val="center"/>
          </w:tcPr>
          <w:p>
            <w:r>
              <w:rPr>
                <w:b/>
                <w:color w:val="FFFFFF"/>
                <w:sz w:val="19"/>
              </w:rPr>
              <w:t>Meaning</w:t>
            </w:r>
          </w:p>
        </w:tc>
      </w:tr>
      <w:tr>
        <w:trPr>
          <w:cantSplit/>
        </w:trPr>
        <w:tc>
          <w:tcPr>
            <w:tcW w:type="dxa" w:w="2948"/>
            <w:vAlign w:val="top"/>
            <w:tcMar>
              <w:top w:w="90" w:type="dxa"/>
              <w:start w:w="100" w:type="dxa"/>
              <w:bottom w:w="90" w:type="dxa"/>
              <w:end w:w="100" w:type="dxa"/>
            </w:tcMar>
          </w:tcPr>
          <w:p>
            <w:pPr>
              <w:spacing w:after="0"/>
            </w:pPr>
            <w:r>
              <w:rPr>
                <w:sz w:val="17"/>
              </w:rPr>
              <w:t>Anonymous feature</w:t>
            </w:r>
          </w:p>
        </w:tc>
        <w:tc>
          <w:tcPr>
            <w:tcW w:type="dxa" w:w="5783"/>
            <w:vAlign w:val="top"/>
            <w:tcMar>
              <w:top w:w="90" w:type="dxa"/>
              <w:start w:w="100" w:type="dxa"/>
              <w:bottom w:w="90" w:type="dxa"/>
              <w:end w:w="100" w:type="dxa"/>
            </w:tcMar>
          </w:tcPr>
          <w:p>
            <w:pPr>
              <w:spacing w:after="0"/>
            </w:pPr>
            <w:r>
              <w:rPr>
                <w:sz w:val="17"/>
              </w:rPr>
              <w:t>A column whose structural identifier is available but whose physical engineering meaning is hidden.</w:t>
            </w:r>
          </w:p>
        </w:tc>
      </w:tr>
      <w:tr>
        <w:trPr>
          <w:cantSplit/>
        </w:trPr>
        <w:tc>
          <w:tcPr>
            <w:tcW w:type="dxa" w:w="2948"/>
            <w:vAlign w:val="top"/>
            <w:tcMar>
              <w:top w:w="90" w:type="dxa"/>
              <w:start w:w="100" w:type="dxa"/>
              <w:bottom w:w="90" w:type="dxa"/>
              <w:end w:w="100" w:type="dxa"/>
            </w:tcMar>
          </w:tcPr>
          <w:p>
            <w:pPr>
              <w:spacing w:after="0"/>
            </w:pPr>
            <w:r>
              <w:rPr>
                <w:sz w:val="17"/>
              </w:rPr>
              <w:t>Binary classification</w:t>
            </w:r>
          </w:p>
        </w:tc>
        <w:tc>
          <w:tcPr>
            <w:tcW w:type="dxa" w:w="5783"/>
            <w:vAlign w:val="top"/>
            <w:tcMar>
              <w:top w:w="90" w:type="dxa"/>
              <w:start w:w="100" w:type="dxa"/>
              <w:bottom w:w="90" w:type="dxa"/>
              <w:end w:w="100" w:type="dxa"/>
            </w:tcMar>
          </w:tcPr>
          <w:p>
            <w:pPr>
              <w:spacing w:after="0"/>
            </w:pPr>
            <w:r>
              <w:rPr>
                <w:sz w:val="17"/>
              </w:rPr>
              <w:t>A prediction problem with two classes, here Response 0 or 1.</w:t>
            </w:r>
          </w:p>
        </w:tc>
      </w:tr>
      <w:tr>
        <w:trPr>
          <w:cantSplit/>
        </w:trPr>
        <w:tc>
          <w:tcPr>
            <w:tcW w:type="dxa" w:w="2948"/>
            <w:vAlign w:val="top"/>
            <w:tcMar>
              <w:top w:w="90" w:type="dxa"/>
              <w:start w:w="100" w:type="dxa"/>
              <w:bottom w:w="90" w:type="dxa"/>
              <w:end w:w="100" w:type="dxa"/>
            </w:tcMar>
          </w:tcPr>
          <w:p>
            <w:pPr>
              <w:spacing w:after="0"/>
            </w:pPr>
            <w:r>
              <w:rPr>
                <w:sz w:val="17"/>
              </w:rPr>
              <w:t>Categorical feature</w:t>
            </w:r>
          </w:p>
        </w:tc>
        <w:tc>
          <w:tcPr>
            <w:tcW w:type="dxa" w:w="5783"/>
            <w:vAlign w:val="top"/>
            <w:tcMar>
              <w:top w:w="90" w:type="dxa"/>
              <w:start w:w="100" w:type="dxa"/>
              <w:bottom w:w="90" w:type="dxa"/>
              <w:end w:w="100" w:type="dxa"/>
            </w:tcMar>
          </w:tcPr>
          <w:p>
            <w:pPr>
              <w:spacing w:after="0"/>
            </w:pPr>
            <w:r>
              <w:rPr>
                <w:sz w:val="17"/>
              </w:rPr>
              <w:t>A feature containing discrete tokens or states rather than continuous numeric values.</w:t>
            </w:r>
          </w:p>
        </w:tc>
      </w:tr>
      <w:tr>
        <w:trPr>
          <w:cantSplit/>
        </w:trPr>
        <w:tc>
          <w:tcPr>
            <w:tcW w:type="dxa" w:w="2948"/>
            <w:vAlign w:val="top"/>
            <w:tcMar>
              <w:top w:w="90" w:type="dxa"/>
              <w:start w:w="100" w:type="dxa"/>
              <w:bottom w:w="90" w:type="dxa"/>
              <w:end w:w="100" w:type="dxa"/>
            </w:tcMar>
          </w:tcPr>
          <w:p>
            <w:pPr>
              <w:spacing w:after="0"/>
            </w:pPr>
            <w:r>
              <w:rPr>
                <w:sz w:val="17"/>
              </w:rPr>
              <w:t>Class imbalance</w:t>
            </w:r>
          </w:p>
        </w:tc>
        <w:tc>
          <w:tcPr>
            <w:tcW w:type="dxa" w:w="5783"/>
            <w:vAlign w:val="top"/>
            <w:tcMar>
              <w:top w:w="90" w:type="dxa"/>
              <w:start w:w="100" w:type="dxa"/>
              <w:bottom w:w="90" w:type="dxa"/>
              <w:end w:w="100" w:type="dxa"/>
            </w:tcMar>
          </w:tcPr>
          <w:p>
            <w:pPr>
              <w:spacing w:after="0"/>
            </w:pPr>
            <w:r>
              <w:rPr>
                <w:sz w:val="17"/>
              </w:rPr>
              <w:t>A target distribution in which one class is far less common than the other.</w:t>
            </w:r>
          </w:p>
        </w:tc>
      </w:tr>
      <w:tr>
        <w:trPr>
          <w:cantSplit/>
        </w:trPr>
        <w:tc>
          <w:tcPr>
            <w:tcW w:type="dxa" w:w="2948"/>
            <w:vAlign w:val="top"/>
            <w:tcMar>
              <w:top w:w="90" w:type="dxa"/>
              <w:start w:w="100" w:type="dxa"/>
              <w:bottom w:w="90" w:type="dxa"/>
              <w:end w:w="100" w:type="dxa"/>
            </w:tcMar>
          </w:tcPr>
          <w:p>
            <w:pPr>
              <w:spacing w:after="0"/>
            </w:pPr>
            <w:r>
              <w:rPr>
                <w:sz w:val="17"/>
              </w:rPr>
              <w:t>Competition-style feature</w:t>
            </w:r>
          </w:p>
        </w:tc>
        <w:tc>
          <w:tcPr>
            <w:tcW w:type="dxa" w:w="5783"/>
            <w:vAlign w:val="top"/>
            <w:tcMar>
              <w:top w:w="90" w:type="dxa"/>
              <w:start w:w="100" w:type="dxa"/>
              <w:bottom w:w="90" w:type="dxa"/>
              <w:end w:w="100" w:type="dxa"/>
            </w:tcMar>
          </w:tcPr>
          <w:p>
            <w:pPr>
              <w:spacing w:after="0"/>
            </w:pPr>
            <w:r>
              <w:rPr>
                <w:sz w:val="17"/>
              </w:rPr>
              <w:t>A feature useful for Kaggle scoring but not necessarily safe or available in future production.</w:t>
            </w:r>
          </w:p>
        </w:tc>
      </w:tr>
      <w:tr>
        <w:trPr>
          <w:cantSplit/>
        </w:trPr>
        <w:tc>
          <w:tcPr>
            <w:tcW w:type="dxa" w:w="2948"/>
            <w:vAlign w:val="top"/>
            <w:tcMar>
              <w:top w:w="90" w:type="dxa"/>
              <w:start w:w="100" w:type="dxa"/>
              <w:bottom w:w="90" w:type="dxa"/>
              <w:end w:w="100" w:type="dxa"/>
            </w:tcMar>
          </w:tcPr>
          <w:p>
            <w:pPr>
              <w:spacing w:after="0"/>
            </w:pPr>
            <w:r>
              <w:rPr>
                <w:sz w:val="17"/>
              </w:rPr>
              <w:t>Confusion matrix</w:t>
            </w:r>
          </w:p>
        </w:tc>
        <w:tc>
          <w:tcPr>
            <w:tcW w:type="dxa" w:w="5783"/>
            <w:vAlign w:val="top"/>
            <w:tcMar>
              <w:top w:w="90" w:type="dxa"/>
              <w:start w:w="100" w:type="dxa"/>
              <w:bottom w:w="90" w:type="dxa"/>
              <w:end w:w="100" w:type="dxa"/>
            </w:tcMar>
          </w:tcPr>
          <w:p>
            <w:pPr>
              <w:spacing w:after="0"/>
            </w:pPr>
            <w:r>
              <w:rPr>
                <w:sz w:val="17"/>
              </w:rPr>
              <w:t>Counts of true positives, false positives, true negatives, and false negatives.</w:t>
            </w:r>
          </w:p>
        </w:tc>
      </w:tr>
      <w:tr>
        <w:trPr>
          <w:cantSplit/>
        </w:trPr>
        <w:tc>
          <w:tcPr>
            <w:tcW w:type="dxa" w:w="2948"/>
            <w:vAlign w:val="top"/>
            <w:tcMar>
              <w:top w:w="90" w:type="dxa"/>
              <w:start w:w="100" w:type="dxa"/>
              <w:bottom w:w="90" w:type="dxa"/>
              <w:end w:w="100" w:type="dxa"/>
            </w:tcMar>
          </w:tcPr>
          <w:p>
            <w:pPr>
              <w:spacing w:after="0"/>
            </w:pPr>
            <w:r>
              <w:rPr>
                <w:sz w:val="17"/>
              </w:rPr>
              <w:t>Date feature</w:t>
            </w:r>
          </w:p>
        </w:tc>
        <w:tc>
          <w:tcPr>
            <w:tcW w:type="dxa" w:w="5783"/>
            <w:vAlign w:val="top"/>
            <w:tcMar>
              <w:top w:w="90" w:type="dxa"/>
              <w:start w:w="100" w:type="dxa"/>
              <w:bottom w:w="90" w:type="dxa"/>
              <w:end w:w="100" w:type="dxa"/>
            </w:tcMar>
          </w:tcPr>
          <w:p>
            <w:pPr>
              <w:spacing w:after="0"/>
            </w:pPr>
            <w:r>
              <w:rPr>
                <w:sz w:val="17"/>
              </w:rPr>
              <w:t>An anonymized relative timestamp associated with a measurement.</w:t>
            </w:r>
          </w:p>
        </w:tc>
      </w:tr>
      <w:tr>
        <w:trPr>
          <w:cantSplit/>
        </w:trPr>
        <w:tc>
          <w:tcPr>
            <w:tcW w:type="dxa" w:w="2948"/>
            <w:vAlign w:val="top"/>
            <w:tcMar>
              <w:top w:w="90" w:type="dxa"/>
              <w:start w:w="100" w:type="dxa"/>
              <w:bottom w:w="90" w:type="dxa"/>
              <w:end w:w="100" w:type="dxa"/>
            </w:tcMar>
          </w:tcPr>
          <w:p>
            <w:pPr>
              <w:spacing w:after="0"/>
            </w:pPr>
            <w:r>
              <w:rPr>
                <w:sz w:val="17"/>
              </w:rPr>
              <w:t>Data leakage</w:t>
            </w:r>
          </w:p>
        </w:tc>
        <w:tc>
          <w:tcPr>
            <w:tcW w:type="dxa" w:w="5783"/>
            <w:vAlign w:val="top"/>
            <w:tcMar>
              <w:top w:w="90" w:type="dxa"/>
              <w:start w:w="100" w:type="dxa"/>
              <w:bottom w:w="90" w:type="dxa"/>
              <w:end w:w="100" w:type="dxa"/>
            </w:tcMar>
          </w:tcPr>
          <w:p>
            <w:pPr>
              <w:spacing w:after="0"/>
            </w:pPr>
            <w:r>
              <w:rPr>
                <w:sz w:val="17"/>
              </w:rPr>
              <w:t>Use of information during training that would not legitimately be available when making a prediction.</w:t>
            </w:r>
          </w:p>
        </w:tc>
      </w:tr>
      <w:tr>
        <w:trPr>
          <w:cantSplit/>
        </w:trPr>
        <w:tc>
          <w:tcPr>
            <w:tcW w:type="dxa" w:w="2948"/>
            <w:vAlign w:val="top"/>
            <w:tcMar>
              <w:top w:w="90" w:type="dxa"/>
              <w:start w:w="100" w:type="dxa"/>
              <w:bottom w:w="90" w:type="dxa"/>
              <w:end w:w="100" w:type="dxa"/>
            </w:tcMar>
          </w:tcPr>
          <w:p>
            <w:pPr>
              <w:spacing w:after="0"/>
            </w:pPr>
            <w:r>
              <w:rPr>
                <w:sz w:val="17"/>
              </w:rPr>
              <w:t>Feature engineering</w:t>
            </w:r>
          </w:p>
        </w:tc>
        <w:tc>
          <w:tcPr>
            <w:tcW w:type="dxa" w:w="5783"/>
            <w:vAlign w:val="top"/>
            <w:tcMar>
              <w:top w:w="90" w:type="dxa"/>
              <w:start w:w="100" w:type="dxa"/>
              <w:bottom w:w="90" w:type="dxa"/>
              <w:end w:w="100" w:type="dxa"/>
            </w:tcMar>
          </w:tcPr>
          <w:p>
            <w:pPr>
              <w:spacing w:after="0"/>
            </w:pPr>
            <w:r>
              <w:rPr>
                <w:sz w:val="17"/>
              </w:rPr>
              <w:t>Creation of new model inputs from raw columns, such as station count or observed measurement span.</w:t>
            </w:r>
          </w:p>
        </w:tc>
      </w:tr>
      <w:tr>
        <w:trPr>
          <w:cantSplit/>
        </w:trPr>
        <w:tc>
          <w:tcPr>
            <w:tcW w:type="dxa" w:w="2948"/>
            <w:vAlign w:val="top"/>
            <w:tcMar>
              <w:top w:w="90" w:type="dxa"/>
              <w:start w:w="100" w:type="dxa"/>
              <w:bottom w:w="90" w:type="dxa"/>
              <w:end w:w="100" w:type="dxa"/>
            </w:tcMar>
          </w:tcPr>
          <w:p>
            <w:pPr>
              <w:spacing w:after="0"/>
            </w:pPr>
            <w:r>
              <w:rPr>
                <w:sz w:val="17"/>
              </w:rPr>
              <w:t>Feature registry</w:t>
            </w:r>
          </w:p>
        </w:tc>
        <w:tc>
          <w:tcPr>
            <w:tcW w:type="dxa" w:w="5783"/>
            <w:vAlign w:val="top"/>
            <w:tcMar>
              <w:top w:w="90" w:type="dxa"/>
              <w:start w:w="100" w:type="dxa"/>
              <w:bottom w:w="90" w:type="dxa"/>
              <w:end w:w="100" w:type="dxa"/>
            </w:tcMar>
          </w:tcPr>
          <w:p>
            <w:pPr>
              <w:spacing w:after="0"/>
            </w:pPr>
            <w:r>
              <w:rPr>
                <w:sz w:val="17"/>
              </w:rPr>
              <w:t>A governed record of feature definitions, sources, units, owners, ranges, and availability.</w:t>
            </w:r>
          </w:p>
        </w:tc>
      </w:tr>
      <w:tr>
        <w:trPr>
          <w:cantSplit/>
        </w:trPr>
        <w:tc>
          <w:tcPr>
            <w:tcW w:type="dxa" w:w="2948"/>
            <w:vAlign w:val="top"/>
            <w:tcMar>
              <w:top w:w="90" w:type="dxa"/>
              <w:start w:w="100" w:type="dxa"/>
              <w:bottom w:w="90" w:type="dxa"/>
              <w:end w:w="100" w:type="dxa"/>
            </w:tcMar>
          </w:tcPr>
          <w:p>
            <w:pPr>
              <w:spacing w:after="0"/>
            </w:pPr>
            <w:r>
              <w:rPr>
                <w:sz w:val="17"/>
              </w:rPr>
              <w:t>Id</w:t>
            </w:r>
          </w:p>
        </w:tc>
        <w:tc>
          <w:tcPr>
            <w:tcW w:type="dxa" w:w="5783"/>
            <w:vAlign w:val="top"/>
            <w:tcMar>
              <w:top w:w="90" w:type="dxa"/>
              <w:start w:w="100" w:type="dxa"/>
              <w:bottom w:w="90" w:type="dxa"/>
              <w:end w:w="100" w:type="dxa"/>
            </w:tcMar>
          </w:tcPr>
          <w:p>
            <w:pPr>
              <w:spacing w:after="0"/>
            </w:pPr>
            <w:r>
              <w:rPr>
                <w:sz w:val="17"/>
              </w:rPr>
              <w:t>The unique key for a manufactured part in the competition files.</w:t>
            </w:r>
          </w:p>
        </w:tc>
      </w:tr>
      <w:tr>
        <w:trPr>
          <w:cantSplit/>
        </w:trPr>
        <w:tc>
          <w:tcPr>
            <w:tcW w:type="dxa" w:w="2948"/>
            <w:vAlign w:val="top"/>
            <w:tcMar>
              <w:top w:w="90" w:type="dxa"/>
              <w:start w:w="100" w:type="dxa"/>
              <w:bottom w:w="90" w:type="dxa"/>
              <w:end w:w="100" w:type="dxa"/>
            </w:tcMar>
          </w:tcPr>
          <w:p>
            <w:pPr>
              <w:spacing w:after="0"/>
            </w:pPr>
            <w:r>
              <w:rPr>
                <w:sz w:val="17"/>
              </w:rPr>
              <w:t>MCC</w:t>
            </w:r>
          </w:p>
        </w:tc>
        <w:tc>
          <w:tcPr>
            <w:tcW w:type="dxa" w:w="5783"/>
            <w:vAlign w:val="top"/>
            <w:tcMar>
              <w:top w:w="90" w:type="dxa"/>
              <w:start w:w="100" w:type="dxa"/>
              <w:bottom w:w="90" w:type="dxa"/>
              <w:end w:w="100" w:type="dxa"/>
            </w:tcMar>
          </w:tcPr>
          <w:p>
            <w:pPr>
              <w:spacing w:after="0"/>
            </w:pPr>
            <w:r>
              <w:rPr>
                <w:sz w:val="17"/>
              </w:rPr>
              <w:t>Matthews Correlation Coefficient, the competition evaluation metric.</w:t>
            </w:r>
          </w:p>
        </w:tc>
      </w:tr>
      <w:tr>
        <w:trPr>
          <w:cantSplit/>
        </w:trPr>
        <w:tc>
          <w:tcPr>
            <w:tcW w:type="dxa" w:w="2948"/>
            <w:vAlign w:val="top"/>
            <w:tcMar>
              <w:top w:w="90" w:type="dxa"/>
              <w:start w:w="100" w:type="dxa"/>
              <w:bottom w:w="90" w:type="dxa"/>
              <w:end w:w="100" w:type="dxa"/>
            </w:tcMar>
          </w:tcPr>
          <w:p>
            <w:pPr>
              <w:spacing w:after="0"/>
            </w:pPr>
            <w:r>
              <w:rPr>
                <w:sz w:val="17"/>
              </w:rPr>
              <w:t>Missing indicator</w:t>
            </w:r>
          </w:p>
        </w:tc>
        <w:tc>
          <w:tcPr>
            <w:tcW w:type="dxa" w:w="5783"/>
            <w:vAlign w:val="top"/>
            <w:tcMar>
              <w:top w:w="90" w:type="dxa"/>
              <w:start w:w="100" w:type="dxa"/>
              <w:bottom w:w="90" w:type="dxa"/>
              <w:end w:w="100" w:type="dxa"/>
            </w:tcMar>
          </w:tcPr>
          <w:p>
            <w:pPr>
              <w:spacing w:after="0"/>
            </w:pPr>
            <w:r>
              <w:rPr>
                <w:sz w:val="17"/>
              </w:rPr>
              <w:t>A binary feature recording whether another value is absent.</w:t>
            </w:r>
          </w:p>
        </w:tc>
      </w:tr>
      <w:tr>
        <w:trPr>
          <w:cantSplit/>
        </w:trPr>
        <w:tc>
          <w:tcPr>
            <w:tcW w:type="dxa" w:w="2948"/>
            <w:vAlign w:val="top"/>
            <w:tcMar>
              <w:top w:w="90" w:type="dxa"/>
              <w:start w:w="100" w:type="dxa"/>
              <w:bottom w:w="90" w:type="dxa"/>
              <w:end w:w="100" w:type="dxa"/>
            </w:tcMar>
          </w:tcPr>
          <w:p>
            <w:pPr>
              <w:spacing w:after="0"/>
            </w:pPr>
            <w:r>
              <w:rPr>
                <w:sz w:val="17"/>
              </w:rPr>
              <w:t>Numerical feature</w:t>
            </w:r>
          </w:p>
        </w:tc>
        <w:tc>
          <w:tcPr>
            <w:tcW w:type="dxa" w:w="5783"/>
            <w:vAlign w:val="top"/>
            <w:tcMar>
              <w:top w:w="90" w:type="dxa"/>
              <w:start w:w="100" w:type="dxa"/>
              <w:bottom w:w="90" w:type="dxa"/>
              <w:end w:w="100" w:type="dxa"/>
            </w:tcMar>
          </w:tcPr>
          <w:p>
            <w:pPr>
              <w:spacing w:after="0"/>
            </w:pPr>
            <w:r>
              <w:rPr>
                <w:sz w:val="17"/>
              </w:rPr>
              <w:t>An anonymous numeric measurement or test result.</w:t>
            </w:r>
          </w:p>
        </w:tc>
      </w:tr>
      <w:tr>
        <w:trPr>
          <w:cantSplit/>
        </w:trPr>
        <w:tc>
          <w:tcPr>
            <w:tcW w:type="dxa" w:w="2948"/>
            <w:vAlign w:val="top"/>
            <w:tcMar>
              <w:top w:w="90" w:type="dxa"/>
              <w:start w:w="100" w:type="dxa"/>
              <w:bottom w:w="90" w:type="dxa"/>
              <w:end w:w="100" w:type="dxa"/>
            </w:tcMar>
          </w:tcPr>
          <w:p>
            <w:pPr>
              <w:spacing w:after="0"/>
            </w:pPr>
            <w:r>
              <w:rPr>
                <w:sz w:val="17"/>
              </w:rPr>
              <w:t>Observed Measurement Gap</w:t>
            </w:r>
          </w:p>
        </w:tc>
        <w:tc>
          <w:tcPr>
            <w:tcW w:type="dxa" w:w="5783"/>
            <w:vAlign w:val="top"/>
            <w:tcMar>
              <w:top w:w="90" w:type="dxa"/>
              <w:start w:w="100" w:type="dxa"/>
              <w:bottom w:w="90" w:type="dxa"/>
              <w:end w:w="100" w:type="dxa"/>
            </w:tcMar>
          </w:tcPr>
          <w:p>
            <w:pPr>
              <w:spacing w:after="0"/>
            </w:pPr>
            <w:r>
              <w:rPr>
                <w:sz w:val="17"/>
              </w:rPr>
              <w:t>A project label for a positive gap between reconstructed measurement observations; not a verified physical delay.</w:t>
            </w:r>
          </w:p>
        </w:tc>
      </w:tr>
      <w:tr>
        <w:trPr>
          <w:cantSplit/>
        </w:trPr>
        <w:tc>
          <w:tcPr>
            <w:tcW w:type="dxa" w:w="2948"/>
            <w:vAlign w:val="top"/>
            <w:tcMar>
              <w:top w:w="90" w:type="dxa"/>
              <w:start w:w="100" w:type="dxa"/>
              <w:bottom w:w="90" w:type="dxa"/>
              <w:end w:w="100" w:type="dxa"/>
            </w:tcMar>
          </w:tcPr>
          <w:p>
            <w:pPr>
              <w:spacing w:after="0"/>
            </w:pPr>
            <w:r>
              <w:rPr>
                <w:sz w:val="17"/>
              </w:rPr>
              <w:t>Observed Measurement Span</w:t>
            </w:r>
          </w:p>
        </w:tc>
        <w:tc>
          <w:tcPr>
            <w:tcW w:type="dxa" w:w="5783"/>
            <w:vAlign w:val="top"/>
            <w:tcMar>
              <w:top w:w="90" w:type="dxa"/>
              <w:start w:w="100" w:type="dxa"/>
              <w:bottom w:w="90" w:type="dxa"/>
              <w:end w:w="100" w:type="dxa"/>
            </w:tcMar>
          </w:tcPr>
          <w:p>
            <w:pPr>
              <w:spacing w:after="0"/>
            </w:pPr>
            <w:r>
              <w:rPr>
                <w:sz w:val="17"/>
              </w:rPr>
              <w:t>Latest minus earliest observed relative timestamp; not a verified official cycle time.</w:t>
            </w:r>
          </w:p>
        </w:tc>
      </w:tr>
      <w:tr>
        <w:trPr>
          <w:cantSplit/>
        </w:trPr>
        <w:tc>
          <w:tcPr>
            <w:tcW w:type="dxa" w:w="2948"/>
            <w:vAlign w:val="top"/>
            <w:tcMar>
              <w:top w:w="90" w:type="dxa"/>
              <w:start w:w="100" w:type="dxa"/>
              <w:bottom w:w="90" w:type="dxa"/>
              <w:end w:w="100" w:type="dxa"/>
            </w:tcMar>
          </w:tcPr>
          <w:p>
            <w:pPr>
              <w:spacing w:after="0"/>
            </w:pPr>
            <w:r>
              <w:rPr>
                <w:sz w:val="17"/>
              </w:rPr>
              <w:t>Out-of-fold encoding</w:t>
            </w:r>
          </w:p>
        </w:tc>
        <w:tc>
          <w:tcPr>
            <w:tcW w:type="dxa" w:w="5783"/>
            <w:vAlign w:val="top"/>
            <w:tcMar>
              <w:top w:w="90" w:type="dxa"/>
              <w:start w:w="100" w:type="dxa"/>
              <w:bottom w:w="90" w:type="dxa"/>
              <w:end w:w="100" w:type="dxa"/>
            </w:tcMar>
          </w:tcPr>
          <w:p>
            <w:pPr>
              <w:spacing w:after="0"/>
            </w:pPr>
            <w:r>
              <w:rPr>
                <w:sz w:val="17"/>
              </w:rPr>
              <w:t>A leakage-safe method in which encodings for each held-out fold are built from other folds.</w:t>
            </w:r>
          </w:p>
        </w:tc>
      </w:tr>
      <w:tr>
        <w:trPr>
          <w:cantSplit/>
        </w:trPr>
        <w:tc>
          <w:tcPr>
            <w:tcW w:type="dxa" w:w="2948"/>
            <w:vAlign w:val="top"/>
            <w:tcMar>
              <w:top w:w="90" w:type="dxa"/>
              <w:start w:w="100" w:type="dxa"/>
              <w:bottom w:w="90" w:type="dxa"/>
              <w:end w:w="100" w:type="dxa"/>
            </w:tcMar>
          </w:tcPr>
          <w:p>
            <w:pPr>
              <w:spacing w:after="0"/>
            </w:pPr>
            <w:r>
              <w:rPr>
                <w:sz w:val="17"/>
              </w:rPr>
              <w:t>Positive class</w:t>
            </w:r>
          </w:p>
        </w:tc>
        <w:tc>
          <w:tcPr>
            <w:tcW w:type="dxa" w:w="5783"/>
            <w:vAlign w:val="top"/>
            <w:tcMar>
              <w:top w:w="90" w:type="dxa"/>
              <w:start w:w="100" w:type="dxa"/>
              <w:bottom w:w="90" w:type="dxa"/>
              <w:end w:w="100" w:type="dxa"/>
            </w:tcMar>
          </w:tcPr>
          <w:p>
            <w:pPr>
              <w:spacing w:after="0"/>
            </w:pPr>
            <w:r>
              <w:rPr>
                <w:sz w:val="17"/>
              </w:rPr>
              <w:t>The rare failure class, Response = 1.</w:t>
            </w:r>
          </w:p>
        </w:tc>
      </w:tr>
      <w:tr>
        <w:trPr>
          <w:cantSplit/>
        </w:trPr>
        <w:tc>
          <w:tcPr>
            <w:tcW w:type="dxa" w:w="2948"/>
            <w:vAlign w:val="top"/>
            <w:tcMar>
              <w:top w:w="90" w:type="dxa"/>
              <w:start w:w="100" w:type="dxa"/>
              <w:bottom w:w="90" w:type="dxa"/>
              <w:end w:w="100" w:type="dxa"/>
            </w:tcMar>
          </w:tcPr>
          <w:p>
            <w:pPr>
              <w:spacing w:after="0"/>
            </w:pPr>
            <w:r>
              <w:rPr>
                <w:sz w:val="17"/>
              </w:rPr>
              <w:t>Response</w:t>
            </w:r>
          </w:p>
        </w:tc>
        <w:tc>
          <w:tcPr>
            <w:tcW w:type="dxa" w:w="5783"/>
            <w:vAlign w:val="top"/>
            <w:tcMar>
              <w:top w:w="90" w:type="dxa"/>
              <w:start w:w="100" w:type="dxa"/>
              <w:bottom w:w="90" w:type="dxa"/>
              <w:end w:w="100" w:type="dxa"/>
            </w:tcMar>
          </w:tcPr>
          <w:p>
            <w:pPr>
              <w:spacing w:after="0"/>
            </w:pPr>
            <w:r>
              <w:rPr>
                <w:sz w:val="17"/>
              </w:rPr>
              <w:t>The binary target stored in train_numeric.csv.</w:t>
            </w:r>
          </w:p>
        </w:tc>
      </w:tr>
      <w:tr>
        <w:trPr>
          <w:cantSplit/>
        </w:trPr>
        <w:tc>
          <w:tcPr>
            <w:tcW w:type="dxa" w:w="2948"/>
            <w:vAlign w:val="top"/>
            <w:tcMar>
              <w:top w:w="90" w:type="dxa"/>
              <w:start w:w="100" w:type="dxa"/>
              <w:bottom w:w="90" w:type="dxa"/>
              <w:end w:w="100" w:type="dxa"/>
            </w:tcMar>
          </w:tcPr>
          <w:p>
            <w:pPr>
              <w:spacing w:after="0"/>
            </w:pPr>
            <w:r>
              <w:rPr>
                <w:sz w:val="17"/>
              </w:rPr>
              <w:t>Schema</w:t>
            </w:r>
          </w:p>
        </w:tc>
        <w:tc>
          <w:tcPr>
            <w:tcW w:type="dxa" w:w="5783"/>
            <w:vAlign w:val="top"/>
            <w:tcMar>
              <w:top w:w="90" w:type="dxa"/>
              <w:start w:w="100" w:type="dxa"/>
              <w:bottom w:w="90" w:type="dxa"/>
              <w:end w:w="100" w:type="dxa"/>
            </w:tcMar>
          </w:tcPr>
          <w:p>
            <w:pPr>
              <w:spacing w:after="0"/>
            </w:pPr>
            <w:r>
              <w:rPr>
                <w:sz w:val="17"/>
              </w:rPr>
              <w:t>The expected columns, data types, names, and constraints of a dataset or model request.</w:t>
            </w:r>
          </w:p>
        </w:tc>
      </w:tr>
      <w:tr>
        <w:trPr>
          <w:cantSplit/>
        </w:trPr>
        <w:tc>
          <w:tcPr>
            <w:tcW w:type="dxa" w:w="2948"/>
            <w:vAlign w:val="top"/>
            <w:tcMar>
              <w:top w:w="90" w:type="dxa"/>
              <w:start w:w="100" w:type="dxa"/>
              <w:bottom w:w="90" w:type="dxa"/>
              <w:end w:w="100" w:type="dxa"/>
            </w:tcMar>
          </w:tcPr>
          <w:p>
            <w:pPr>
              <w:spacing w:after="0"/>
            </w:pPr>
            <w:r>
              <w:rPr>
                <w:sz w:val="17"/>
              </w:rPr>
              <w:t>Station key</w:t>
            </w:r>
          </w:p>
        </w:tc>
        <w:tc>
          <w:tcPr>
            <w:tcW w:type="dxa" w:w="5783"/>
            <w:vAlign w:val="top"/>
            <w:tcMar>
              <w:top w:w="90" w:type="dxa"/>
              <w:start w:w="100" w:type="dxa"/>
              <w:bottom w:w="90" w:type="dxa"/>
              <w:end w:w="100" w:type="dxa"/>
            </w:tcMar>
          </w:tcPr>
          <w:p>
            <w:pPr>
              <w:spacing w:after="0"/>
            </w:pPr>
            <w:r>
              <w:rPr>
                <w:sz w:val="17"/>
              </w:rPr>
              <w:t>A line-and-station identifier such as L3_S36.</w:t>
            </w:r>
          </w:p>
        </w:tc>
      </w:tr>
      <w:tr>
        <w:trPr>
          <w:cantSplit/>
        </w:trPr>
        <w:tc>
          <w:tcPr>
            <w:tcW w:type="dxa" w:w="2948"/>
            <w:vAlign w:val="top"/>
            <w:tcMar>
              <w:top w:w="90" w:type="dxa"/>
              <w:start w:w="100" w:type="dxa"/>
              <w:bottom w:w="90" w:type="dxa"/>
              <w:end w:w="100" w:type="dxa"/>
            </w:tcMar>
          </w:tcPr>
          <w:p>
            <w:pPr>
              <w:spacing w:after="0"/>
            </w:pPr>
            <w:r>
              <w:rPr>
                <w:sz w:val="17"/>
              </w:rPr>
              <w:t>Station presence</w:t>
            </w:r>
          </w:p>
        </w:tc>
        <w:tc>
          <w:tcPr>
            <w:tcW w:type="dxa" w:w="5783"/>
            <w:vAlign w:val="top"/>
            <w:tcMar>
              <w:top w:w="90" w:type="dxa"/>
              <w:start w:w="100" w:type="dxa"/>
              <w:bottom w:w="90" w:type="dxa"/>
              <w:end w:w="100" w:type="dxa"/>
            </w:tcMar>
          </w:tcPr>
          <w:p>
            <w:pPr>
              <w:spacing w:after="0"/>
            </w:pPr>
            <w:r>
              <w:rPr>
                <w:sz w:val="17"/>
              </w:rPr>
              <w:t>An inferred indicator that at least one measurement timestamp is observed for a station.</w:t>
            </w:r>
          </w:p>
        </w:tc>
      </w:tr>
      <w:tr>
        <w:trPr>
          <w:cantSplit/>
        </w:trPr>
        <w:tc>
          <w:tcPr>
            <w:tcW w:type="dxa" w:w="2948"/>
            <w:vAlign w:val="top"/>
            <w:tcMar>
              <w:top w:w="90" w:type="dxa"/>
              <w:start w:w="100" w:type="dxa"/>
              <w:bottom w:w="90" w:type="dxa"/>
              <w:end w:w="100" w:type="dxa"/>
            </w:tcMar>
          </w:tcPr>
          <w:p>
            <w:pPr>
              <w:spacing w:after="0"/>
            </w:pPr>
            <w:r>
              <w:rPr>
                <w:sz w:val="17"/>
              </w:rPr>
              <w:t>Target encoding</w:t>
            </w:r>
          </w:p>
        </w:tc>
        <w:tc>
          <w:tcPr>
            <w:tcW w:type="dxa" w:w="5783"/>
            <w:vAlign w:val="top"/>
            <w:tcMar>
              <w:top w:w="90" w:type="dxa"/>
              <w:start w:w="100" w:type="dxa"/>
              <w:bottom w:w="90" w:type="dxa"/>
              <w:end w:w="100" w:type="dxa"/>
            </w:tcMar>
          </w:tcPr>
          <w:p>
            <w:pPr>
              <w:spacing w:after="0"/>
            </w:pPr>
            <w:r>
              <w:rPr>
                <w:sz w:val="17"/>
              </w:rPr>
              <w:t>Replacement of a category by a target statistic calculated with leakage controls.</w:t>
            </w:r>
          </w:p>
        </w:tc>
      </w:tr>
      <w:tr>
        <w:trPr>
          <w:cantSplit/>
        </w:trPr>
        <w:tc>
          <w:tcPr>
            <w:tcW w:type="dxa" w:w="2948"/>
            <w:vAlign w:val="top"/>
            <w:tcMar>
              <w:top w:w="90" w:type="dxa"/>
              <w:start w:w="100" w:type="dxa"/>
              <w:bottom w:w="90" w:type="dxa"/>
              <w:end w:w="100" w:type="dxa"/>
            </w:tcMar>
          </w:tcPr>
          <w:p>
            <w:pPr>
              <w:spacing w:after="0"/>
            </w:pPr>
            <w:r>
              <w:rPr>
                <w:sz w:val="17"/>
              </w:rPr>
              <w:t>Temporal validation</w:t>
            </w:r>
          </w:p>
        </w:tc>
        <w:tc>
          <w:tcPr>
            <w:tcW w:type="dxa" w:w="5783"/>
            <w:vAlign w:val="top"/>
            <w:tcMar>
              <w:top w:w="90" w:type="dxa"/>
              <w:start w:w="100" w:type="dxa"/>
              <w:bottom w:w="90" w:type="dxa"/>
              <w:end w:w="100" w:type="dxa"/>
            </w:tcMar>
          </w:tcPr>
          <w:p>
            <w:pPr>
              <w:spacing w:after="0"/>
            </w:pPr>
            <w:r>
              <w:rPr>
                <w:sz w:val="17"/>
              </w:rPr>
              <w:t>Validation that trains on earlier data and evaluates on later data.</w:t>
            </w:r>
          </w:p>
        </w:tc>
      </w:tr>
      <w:tr>
        <w:trPr>
          <w:cantSplit/>
        </w:trPr>
        <w:tc>
          <w:tcPr>
            <w:tcW w:type="dxa" w:w="2948"/>
            <w:vAlign w:val="top"/>
            <w:tcMar>
              <w:top w:w="90" w:type="dxa"/>
              <w:start w:w="100" w:type="dxa"/>
              <w:bottom w:w="90" w:type="dxa"/>
              <w:end w:w="100" w:type="dxa"/>
            </w:tcMar>
          </w:tcPr>
          <w:p>
            <w:pPr>
              <w:spacing w:after="0"/>
            </w:pPr>
            <w:r>
              <w:rPr>
                <w:sz w:val="17"/>
              </w:rPr>
              <w:t>Unseen category</w:t>
            </w:r>
          </w:p>
        </w:tc>
        <w:tc>
          <w:tcPr>
            <w:tcW w:type="dxa" w:w="5783"/>
            <w:vAlign w:val="top"/>
            <w:tcMar>
              <w:top w:w="90" w:type="dxa"/>
              <w:start w:w="100" w:type="dxa"/>
              <w:bottom w:w="90" w:type="dxa"/>
              <w:end w:w="100" w:type="dxa"/>
            </w:tcMar>
          </w:tcPr>
          <w:p>
            <w:pPr>
              <w:spacing w:after="0"/>
            </w:pPr>
            <w:r>
              <w:rPr>
                <w:sz w:val="17"/>
              </w:rPr>
              <w:t>A category present during validation or scoring but absent from model training.</w:t>
            </w:r>
          </w:p>
        </w:tc>
      </w:tr>
    </w:tbl>
    <w:p/>
    <w:p>
      <w:r>
        <w:br w:type="page"/>
      </w:r>
    </w:p>
    <w:p>
      <w:pPr>
        <w:pStyle w:val="Title"/>
      </w:pPr>
      <w:r>
        <w:t>References</w:t>
      </w:r>
    </w:p>
    <w:p>
      <w:r>
        <w:rPr>
          <w:b/>
        </w:rPr>
        <w:t xml:space="preserve">[1] Kaggle. </w:t>
      </w:r>
      <w:r>
        <w:t xml:space="preserve">Bosch Production Line Performance - competition overview and evaluation. </w:t>
      </w:r>
      <w:hyperlink r:id="rId22">
        <w:r>
          <w:rPr>
            <w:color w:val="1F4E79"/>
            <w:u w:val="single"/>
          </w:rPr>
          <w:t>Source</w:t>
        </w:r>
      </w:hyperlink>
    </w:p>
    <w:p>
      <w:r>
        <w:rPr>
          <w:b/>
        </w:rPr>
        <w:t xml:space="preserve">[2] Kaggle. </w:t>
      </w:r>
      <w:r>
        <w:t xml:space="preserve">Bosch Production Line Performance - data description. </w:t>
      </w:r>
      <w:hyperlink r:id="rId23">
        <w:r>
          <w:rPr>
            <w:color w:val="1F4E79"/>
            <w:u w:val="single"/>
          </w:rPr>
          <w:t>Source</w:t>
        </w:r>
      </w:hyperlink>
    </w:p>
    <w:p>
      <w:r>
        <w:rPr>
          <w:b/>
        </w:rPr>
        <w:t xml:space="preserve">[3] Kaggle. </w:t>
      </w:r>
      <w:r>
        <w:t xml:space="preserve">Bosch Production Line Performance discussion forum, sorted by most comments. Used as supplementary community evidence. </w:t>
      </w:r>
      <w:hyperlink r:id="rId24">
        <w:r>
          <w:rPr>
            <w:color w:val="1F4E79"/>
            <w:u w:val="single"/>
          </w:rPr>
          <w:t>Source</w:t>
        </w:r>
      </w:hyperlink>
    </w:p>
    <w:p>
      <w:r>
        <w:rPr>
          <w:b/>
        </w:rPr>
        <w:t xml:space="preserve">[4] Project repository. </w:t>
      </w:r>
      <w:r>
        <w:t xml:space="preserve">Bosch Production Line Performance by Krishnakanth Reddy Karingula. </w:t>
      </w:r>
      <w:hyperlink r:id="rId25">
        <w:r>
          <w:rPr>
            <w:color w:val="1F4E79"/>
            <w:u w:val="single"/>
          </w:rPr>
          <w:t>Source</w:t>
        </w:r>
      </w:hyperlink>
    </w:p>
    <w:p>
      <w:r>
        <w:rPr>
          <w:b/>
        </w:rPr>
        <w:t xml:space="preserve">[5] Project report. </w:t>
      </w:r>
      <w:r>
        <w:t xml:space="preserve">Phase 1 Data Quality Report and file inventory. </w:t>
      </w:r>
      <w:hyperlink r:id="rId25">
        <w:r>
          <w:rPr>
            <w:color w:val="1F4E79"/>
            <w:u w:val="single"/>
          </w:rPr>
          <w:t>Source</w:t>
        </w:r>
      </w:hyperlink>
    </w:p>
    <w:p>
      <w:r>
        <w:rPr>
          <w:b/>
        </w:rPr>
        <w:t xml:space="preserve">[6] Project report. </w:t>
      </w:r>
      <w:r>
        <w:t xml:space="preserve">Phase 2 Data Understanding and Engineering Report. </w:t>
      </w:r>
      <w:hyperlink r:id="rId25">
        <w:r>
          <w:rPr>
            <w:color w:val="1F4E79"/>
            <w:u w:val="single"/>
          </w:rPr>
          <w:t>Source</w:t>
        </w:r>
      </w:hyperlink>
    </w:p>
    <w:p>
      <w:r>
        <w:rPr>
          <w:b/>
        </w:rPr>
        <w:t xml:space="preserve">[7] Project report. </w:t>
      </w:r>
      <w:r>
        <w:t xml:space="preserve">Phase 3 Exploratory Data Analysis Report. </w:t>
      </w:r>
      <w:hyperlink r:id="rId25">
        <w:r>
          <w:rPr>
            <w:color w:val="1F4E79"/>
            <w:u w:val="single"/>
          </w:rPr>
          <w:t>Source</w:t>
        </w:r>
      </w:hyperlink>
    </w:p>
    <w:p>
      <w:r>
        <w:rPr>
          <w:b/>
        </w:rPr>
        <w:t xml:space="preserve">[8] Project report. </w:t>
      </w:r>
      <w:r>
        <w:t xml:space="preserve">Phase 4 Feature Dictionary and Feature Engineering Report. </w:t>
      </w:r>
      <w:hyperlink r:id="rId25">
        <w:r>
          <w:rPr>
            <w:color w:val="1F4E79"/>
            <w:u w:val="single"/>
          </w:rPr>
          <w:t>Source</w:t>
        </w:r>
      </w:hyperlink>
    </w:p>
    <w:p>
      <w:r>
        <w:rPr>
          <w:b/>
        </w:rPr>
        <w:t xml:space="preserve">[9] Project research note. </w:t>
      </w:r>
      <w:r>
        <w:t xml:space="preserve">Phase 6 Leaderboard Research Notes: public solution lessons and production caveats. </w:t>
      </w:r>
      <w:hyperlink r:id="rId25">
        <w:r>
          <w:rPr>
            <w:color w:val="1F4E79"/>
            <w:u w:val="single"/>
          </w:rPr>
          <w:t>Source</w:t>
        </w:r>
      </w:hyperlink>
    </w:p>
    <w:p>
      <w:r>
        <w:rPr>
          <w:b/>
        </w:rPr>
        <w:t xml:space="preserve">[10] A. Mangal and N. Kumar. </w:t>
      </w:r>
      <w:r>
        <w:t xml:space="preserve">Using Big Data to Enhance the Bosch Production Line Performance: A Kaggle Challenge. IEEE Big Data 2016 / arXiv:1701.00705. </w:t>
      </w:r>
      <w:hyperlink r:id="rId26">
        <w:r>
          <w:rPr>
            <w:color w:val="1F4E79"/>
            <w:u w:val="single"/>
          </w:rPr>
          <w:t>Source</w:t>
        </w:r>
      </w:hyperlink>
    </w:p>
    <w:p>
      <w:r>
        <w:rPr>
          <w:b/>
        </w:rPr>
        <w:t xml:space="preserve">[11] J. K. Park and Y. B. Kim. </w:t>
      </w:r>
      <w:r>
        <w:t xml:space="preserve">Evaluating the Role of Data Enrichment Approaches towards Rare Event Analysis in Manufacturing. Sensors, 2024. </w:t>
      </w:r>
      <w:hyperlink r:id="rId27">
        <w:r>
          <w:rPr>
            <w:color w:val="1F4E79"/>
            <w:u w:val="single"/>
          </w:rPr>
          <w:t>Source</w:t>
        </w:r>
      </w:hyperlink>
    </w:p>
    <w:tbl>
      <w:tblPr>
        <w:tblW w:type="auto" w:w="0"/>
        <w:jc w:val="center"/>
        <w:tblLook w:firstColumn="1" w:firstRow="1" w:lastColumn="0" w:lastRow="0" w:noHBand="0" w:noVBand="1" w:val="04A0"/>
      </w:tblPr>
      <w:tblGrid>
        <w:gridCol w:w="9525"/>
      </w:tblGrid>
      <w:tr>
        <w:trPr>
          <w:cantSplit/>
        </w:trPr>
        <w:tc>
          <w:tcPr>
            <w:tcW w:type="dxa" w:w="9525"/>
            <w:shd w:fill="FCE4D6"/>
            <w:tcMar>
              <w:top w:w="180" w:type="dxa"/>
              <w:start w:w="220" w:type="dxa"/>
              <w:bottom w:w="180" w:type="dxa"/>
              <w:end w:w="220" w:type="dxa"/>
            </w:tcMar>
          </w:tcPr>
          <w:p>
            <w:r>
              <w:rPr>
                <w:b/>
                <w:color w:val="1F4E79"/>
                <w:sz w:val="21"/>
              </w:rPr>
              <w:t>Reference note</w:t>
              <w:br/>
            </w:r>
            <w:r>
              <w:rPr>
                <w:sz w:val="21"/>
              </w:rPr>
              <w:t>Kaggle discussion posts are community contributions. They are useful for learning competition strategies, but they do not reveal official Bosch feature meanings or prove that a technique is production-safe.</w:t>
            </w:r>
          </w:p>
        </w:tc>
      </w:tr>
    </w:tbl>
    <w:p>
      <w:pPr>
        <w:spacing w:after="0"/>
      </w:pPr>
    </w:p>
    <w:sectPr w:rsidR="00FC693F" w:rsidRPr="0006063C" w:rsidSect="00034616">
      <w:headerReference w:type="default" r:id="rId9"/>
      <w:footerReference w:type="default" r:id="rId10"/>
      <w:pgSz w:w="11906" w:h="16838"/>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70"/>
        <w:sz w:val="17"/>
      </w:rPr>
      <w:t xml:space="preserve">Krishnakanth Reddy Karingula  |  </w:t>
    </w:r>
    <w:r>
      <w:rPr>
        <w:color w:val="5A6470"/>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6470"/>
        <w:sz w:val="17"/>
      </w:rPr>
      <w:t>Bosch Production Line Performance Handbook  |  Part II: Understanding the Bosch Dataset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eastAsia="Aptos Display"/>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6B7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A64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www.kaggle.com/competitions/bosch-production-line-performance" TargetMode="External"/><Relationship Id="rId23" Type="http://schemas.openxmlformats.org/officeDocument/2006/relationships/hyperlink" Target="https://www.kaggle.com/competitions/bosch-production-line-performance/data" TargetMode="External"/><Relationship Id="rId24" Type="http://schemas.openxmlformats.org/officeDocument/2006/relationships/hyperlink" Target="https://www.kaggle.com/competitions/bosch-production-line-performance/discussion?sort=most-comments" TargetMode="External"/><Relationship Id="rId25" Type="http://schemas.openxmlformats.org/officeDocument/2006/relationships/hyperlink" Target="https://github.com/kkr199/Bosch-Production-line-performance" TargetMode="External"/><Relationship Id="rId26" Type="http://schemas.openxmlformats.org/officeDocument/2006/relationships/hyperlink" Target="https://arxiv.org/abs/1701.00705" TargetMode="External"/><Relationship Id="rId27" Type="http://schemas.openxmlformats.org/officeDocument/2006/relationships/hyperlink" Target="https://www.mdpi.com/1424-8220/24/15/50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