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Manufacturing Failure Prediction and Process Intelligence for Bosch Production-Line Data</w:t>
      </w:r>
    </w:p>
    <w:p>
      <w:pPr>
        <w:jc w:val="center"/>
      </w:pPr>
      <w:r>
        <w:rPr>
          <w:i/>
        </w:rPr>
        <w:t>IEEE-style technical research report</w:t>
      </w:r>
    </w:p>
    <w:p>
      <w:pPr>
        <w:pStyle w:val="Heading1"/>
      </w:pPr>
      <w:r>
        <w:t>Abstract</w:t>
      </w:r>
    </w:p>
    <w:p>
      <w:r>
        <w:t>This report documents an end-to-end manufacturing analytics system for the Bosch Production Line Performance dataset. The system includes failure prediction, product-family segmentation, process mining, root-cause analysis, knowledge-graph analytics, advanced AI diagnostics, a manufacturing copilot, and an executive dashboard.</w:t>
      </w:r>
    </w:p>
    <w:p>
      <w:r>
        <w:t>The selected production-safe model is LightGBM, with validation MCC=0.339, precision=0.574, recall=0.213, F1=0.311, and PR-AUC=0.253.</w:t>
      </w:r>
    </w:p>
    <w:p>
      <w:r>
        <w:t>Keywords: manufacturing analytics, failure prediction, process mining, root-cause analysis, knowledge graph, SHAP, LightGBM.</w:t>
      </w:r>
    </w:p>
    <w:p>
      <w:pPr>
        <w:pStyle w:val="Heading1"/>
      </w:pPr>
      <w:r>
        <w:t>I. Introduction</w:t>
      </w:r>
    </w:p>
    <w:p>
      <w:r>
        <w:t>The objective is to move beyond a competition classifier and create a reusable manufacturing intelligence system that predicts failures, explains likely drivers, maps product flow, and supports executive decision-making.</w:t>
      </w:r>
    </w:p>
    <w:p>
      <w:pPr>
        <w:pStyle w:val="Heading1"/>
      </w:pPr>
      <w:r>
        <w:t>II. Dataset and Scope</w:t>
      </w:r>
    </w:p>
    <w:p>
      <w:pPr>
        <w:pStyle w:val="ListBullet"/>
      </w:pPr>
      <w:r>
        <w:t>Labeled train products: 1,183,747</w:t>
      </w:r>
    </w:p>
    <w:p>
      <w:pPr>
        <w:pStyle w:val="ListBullet"/>
      </w:pPr>
      <w:r>
        <w:t>Train failures: 6,879</w:t>
      </w:r>
    </w:p>
    <w:p>
      <w:pPr>
        <w:pStyle w:val="ListBullet"/>
      </w:pPr>
      <w:r>
        <w:t>Historical failure rate: 0.581%</w:t>
      </w:r>
    </w:p>
    <w:p>
      <w:pPr>
        <w:pStyle w:val="ListBullet"/>
      </w:pPr>
      <w:r>
        <w:t>Test products scored: 1,183,748</w:t>
      </w:r>
    </w:p>
    <w:p>
      <w:pPr>
        <w:pStyle w:val="ListBullet"/>
      </w:pPr>
      <w:r>
        <w:t>Validation rows: 56,720</w:t>
      </w:r>
    </w:p>
    <w:p>
      <w:pPr>
        <w:pStyle w:val="Heading1"/>
      </w:pPr>
      <w:r>
        <w:t>III. Methodology</w:t>
      </w:r>
    </w:p>
    <w:p>
      <w:pPr>
        <w:pStyle w:val="ListNumber"/>
      </w:pPr>
      <w:r>
        <w:t>Feature names were parsed into production line, station, and feature identifiers.</w:t>
      </w:r>
    </w:p>
    <w:p>
      <w:pPr>
        <w:pStyle w:val="ListNumber"/>
      </w:pPr>
      <w:r>
        <w:t>Timing, waiting, cycle-time, station-count, path-complexity, and line-level aggregate features were engineered.</w:t>
      </w:r>
    </w:p>
    <w:p>
      <w:pPr>
        <w:pStyle w:val="ListNumber"/>
      </w:pPr>
      <w:r>
        <w:t>Product families were discovered from station-presence patterns using clustering methods.</w:t>
      </w:r>
    </w:p>
    <w:p>
      <w:pPr>
        <w:pStyle w:val="ListNumber"/>
      </w:pPr>
      <w:r>
        <w:t>Failure models were benchmarked across logistic regression, random forest, XGBoost, LightGBM, and CatBoost.</w:t>
      </w:r>
    </w:p>
    <w:p>
      <w:pPr>
        <w:pStyle w:val="ListNumber"/>
      </w:pPr>
      <w:r>
        <w:t>Root-cause diagnostics were produced from feature importance and SHAP explanations.</w:t>
      </w:r>
    </w:p>
    <w:p>
      <w:pPr>
        <w:pStyle w:val="ListNumber"/>
      </w:pPr>
      <w:r>
        <w:t>Process mining reconstructed station transitions, bottlenecks, critical paths, and throughput proxies.</w:t>
      </w:r>
    </w:p>
    <w:p>
      <w:pPr>
        <w:pStyle w:val="ListNumber"/>
      </w:pPr>
      <w:r>
        <w:t>A knowledge graph linked lines, stations, features, and failure evidence.</w:t>
      </w:r>
    </w:p>
    <w:p>
      <w:pPr>
        <w:pStyle w:val="ListNumber"/>
      </w:pPr>
      <w:r>
        <w:t>A SQLite-backed copilot and Streamlit dashboards operationalized the outputs.</w:t>
      </w:r>
    </w:p>
    <w:p>
      <w:pPr>
        <w:pStyle w:val="Heading1"/>
      </w:pPr>
      <w:r>
        <w:t>IV. Results</w:t>
      </w:r>
    </w:p>
    <w:p>
      <w:r>
        <w:t>The official production-safe model remains LightGBM. It achieved MCC=0.339, precision=0.574, recall=0.213, F1=0.311, and PR-AUC=0.253.</w:t>
      </w:r>
    </w:p>
    <w:p>
      <w:r>
        <w:t>The highest-risk station is L3_S32 with 4.506% failure rate. The highest-risk product family is family 4 with 0.737% failure rate.</w:t>
      </w:r>
    </w:p>
    <w:p>
      <w:r>
        <w:t>L1_S25 is the top bottleneck, while L1_S24 is the highest-ranked critical knowledge-graph node.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78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6_improvement_mcc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7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1. Production-safe model comparison and improvement experiments.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079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7_top_shap_driv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07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2. Global SHAP failure drivers.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861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8_bottleneck_sco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86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3. Top process bottlenecks.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95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9_critical_nod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9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4. Critical manufacturing knowledge-graph nodes.</w:t>
      </w:r>
    </w:p>
    <w:p>
      <w:pPr>
        <w:pStyle w:val="Heading1"/>
      </w:pPr>
      <w:r>
        <w:t>V.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Deliverable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Primary Artifact</w:t>
            </w:r>
          </w:p>
        </w:tc>
      </w:tr>
      <w:tr>
        <w:tc>
          <w:tcPr>
            <w:tcW w:type="dxa" w:w="2556"/>
          </w:tcPr>
          <w:p>
            <w:r>
              <w:t>68</w:t>
            </w:r>
          </w:p>
        </w:tc>
        <w:tc>
          <w:tcPr>
            <w:tcW w:type="dxa" w:w="2556"/>
          </w:tcPr>
          <w:p>
            <w:r>
              <w:t>Production Failure Prediction Model</w:t>
            </w:r>
          </w:p>
        </w:tc>
        <w:tc>
          <w:tcPr>
            <w:tcW w:type="dxa" w:w="2556"/>
          </w:tcPr>
          <w:p>
            <w:r>
              <w:t>Complete</w:t>
            </w:r>
          </w:p>
        </w:tc>
        <w:tc>
          <w:tcPr>
            <w:tcW w:type="dxa" w:w="2556"/>
          </w:tcPr>
          <w:p>
            <w:r>
              <w:t>models/phase6_best_model.joblib</w:t>
            </w:r>
          </w:p>
        </w:tc>
      </w:tr>
      <w:tr>
        <w:tc>
          <w:tcPr>
            <w:tcW w:type="dxa" w:w="2556"/>
          </w:tcPr>
          <w:p>
            <w:r>
              <w:t>69</w:t>
            </w:r>
          </w:p>
        </w:tc>
        <w:tc>
          <w:tcPr>
            <w:tcW w:type="dxa" w:w="2556"/>
          </w:tcPr>
          <w:p>
            <w:r>
              <w:t>Product Family Segmentation Module</w:t>
            </w:r>
          </w:p>
        </w:tc>
        <w:tc>
          <w:tcPr>
            <w:tcW w:type="dxa" w:w="2556"/>
          </w:tcPr>
          <w:p>
            <w:r>
              <w:t>Complete</w:t>
            </w:r>
          </w:p>
        </w:tc>
        <w:tc>
          <w:tcPr>
            <w:tcW w:type="dxa" w:w="2556"/>
          </w:tcPr>
          <w:p>
            <w:r>
              <w:t>src/data/phase5_product_family_discovery.py</w:t>
            </w:r>
          </w:p>
        </w:tc>
      </w:tr>
      <w:tr>
        <w:tc>
          <w:tcPr>
            <w:tcW w:type="dxa" w:w="2556"/>
          </w:tcPr>
          <w:p>
            <w:r>
              <w:t>70</w:t>
            </w:r>
          </w:p>
        </w:tc>
        <w:tc>
          <w:tcPr>
            <w:tcW w:type="dxa" w:w="2556"/>
          </w:tcPr>
          <w:p>
            <w:r>
              <w:t>Process Mining Engine</w:t>
            </w:r>
          </w:p>
        </w:tc>
        <w:tc>
          <w:tcPr>
            <w:tcW w:type="dxa" w:w="2556"/>
          </w:tcPr>
          <w:p>
            <w:r>
              <w:t>Complete</w:t>
            </w:r>
          </w:p>
        </w:tc>
        <w:tc>
          <w:tcPr>
            <w:tcW w:type="dxa" w:w="2556"/>
          </w:tcPr>
          <w:p>
            <w:r>
              <w:t>src/data/phase8_process_mining_bottleneck_analysis.py</w:t>
            </w:r>
          </w:p>
        </w:tc>
      </w:tr>
      <w:tr>
        <w:tc>
          <w:tcPr>
            <w:tcW w:type="dxa" w:w="2556"/>
          </w:tcPr>
          <w:p>
            <w:r>
              <w:t>71</w:t>
            </w:r>
          </w:p>
        </w:tc>
        <w:tc>
          <w:tcPr>
            <w:tcW w:type="dxa" w:w="2556"/>
          </w:tcPr>
          <w:p>
            <w:r>
              <w:t>Root Cause Analysis Engine</w:t>
            </w:r>
          </w:p>
        </w:tc>
        <w:tc>
          <w:tcPr>
            <w:tcW w:type="dxa" w:w="2556"/>
          </w:tcPr>
          <w:p>
            <w:r>
              <w:t>Complete</w:t>
            </w:r>
          </w:p>
        </w:tc>
        <w:tc>
          <w:tcPr>
            <w:tcW w:type="dxa" w:w="2556"/>
          </w:tcPr>
          <w:p>
            <w:r>
              <w:t>src/data/phase7_root_cause_analysis.py</w:t>
            </w:r>
          </w:p>
        </w:tc>
      </w:tr>
      <w:tr>
        <w:tc>
          <w:tcPr>
            <w:tcW w:type="dxa" w:w="2556"/>
          </w:tcPr>
          <w:p>
            <w:r>
              <w:t>72</w:t>
            </w:r>
          </w:p>
        </w:tc>
        <w:tc>
          <w:tcPr>
            <w:tcW w:type="dxa" w:w="2556"/>
          </w:tcPr>
          <w:p>
            <w:r>
              <w:t>Knowledge Graph</w:t>
            </w:r>
          </w:p>
        </w:tc>
        <w:tc>
          <w:tcPr>
            <w:tcW w:type="dxa" w:w="2556"/>
          </w:tcPr>
          <w:p>
            <w:r>
              <w:t>Complete</w:t>
            </w:r>
          </w:p>
        </w:tc>
        <w:tc>
          <w:tcPr>
            <w:tcW w:type="dxa" w:w="2556"/>
          </w:tcPr>
          <w:p>
            <w:r>
              <w:t>src/data/phase9_knowledge_graph.py</w:t>
            </w:r>
          </w:p>
        </w:tc>
      </w:tr>
      <w:tr>
        <w:tc>
          <w:tcPr>
            <w:tcW w:type="dxa" w:w="2556"/>
          </w:tcPr>
          <w:p>
            <w:r>
              <w:t>73</w:t>
            </w:r>
          </w:p>
        </w:tc>
        <w:tc>
          <w:tcPr>
            <w:tcW w:type="dxa" w:w="2556"/>
          </w:tcPr>
          <w:p>
            <w:r>
              <w:t>Manufacturing Copilot</w:t>
            </w:r>
          </w:p>
        </w:tc>
        <w:tc>
          <w:tcPr>
            <w:tcW w:type="dxa" w:w="2556"/>
          </w:tcPr>
          <w:p>
            <w:r>
              <w:t>Complete</w:t>
            </w:r>
          </w:p>
        </w:tc>
        <w:tc>
          <w:tcPr>
            <w:tcW w:type="dxa" w:w="2556"/>
          </w:tcPr>
          <w:p>
            <w:r>
              <w:t>app/phase11_manufacturing_copilot.py</w:t>
            </w:r>
          </w:p>
        </w:tc>
      </w:tr>
      <w:tr>
        <w:tc>
          <w:tcPr>
            <w:tcW w:type="dxa" w:w="2556"/>
          </w:tcPr>
          <w:p>
            <w:r>
              <w:t>74</w:t>
            </w:r>
          </w:p>
        </w:tc>
        <w:tc>
          <w:tcPr>
            <w:tcW w:type="dxa" w:w="2556"/>
          </w:tcPr>
          <w:p>
            <w:r>
              <w:t>Executive Dashboard</w:t>
            </w:r>
          </w:p>
        </w:tc>
        <w:tc>
          <w:tcPr>
            <w:tcW w:type="dxa" w:w="2556"/>
          </w:tcPr>
          <w:p>
            <w:r>
              <w:t>Complete</w:t>
            </w:r>
          </w:p>
        </w:tc>
        <w:tc>
          <w:tcPr>
            <w:tcW w:type="dxa" w:w="2556"/>
          </w:tcPr>
          <w:p>
            <w:r>
              <w:t>app/phase12_executive_dashboard.py</w:t>
            </w:r>
          </w:p>
        </w:tc>
      </w:tr>
      <w:tr>
        <w:tc>
          <w:tcPr>
            <w:tcW w:type="dxa" w:w="2556"/>
          </w:tcPr>
          <w:p>
            <w:r>
              <w:t>75</w:t>
            </w:r>
          </w:p>
        </w:tc>
        <w:tc>
          <w:tcPr>
            <w:tcW w:type="dxa" w:w="2556"/>
          </w:tcPr>
          <w:p>
            <w:r>
              <w:t>Project Documentation and Presentation</w:t>
            </w:r>
          </w:p>
        </w:tc>
        <w:tc>
          <w:tcPr>
            <w:tcW w:type="dxa" w:w="2556"/>
          </w:tcPr>
          <w:p>
            <w:r>
              <w:t>Complete</w:t>
            </w:r>
          </w:p>
        </w:tc>
        <w:tc>
          <w:tcPr>
            <w:tcW w:type="dxa" w:w="2556"/>
          </w:tcPr>
          <w:p>
            <w:r>
              <w:t>docs/final_deliverables/Bosch_Production_Line_Performance_Research_Report.docx</w:t>
            </w:r>
          </w:p>
        </w:tc>
      </w:tr>
    </w:tbl>
    <w:p>
      <w:pPr>
        <w:pStyle w:val="Heading1"/>
      </w:pPr>
      <w:r>
        <w:t>VI. Limitations</w:t>
      </w:r>
    </w:p>
    <w:p>
      <w:pPr>
        <w:pStyle w:val="ListBullet"/>
      </w:pPr>
      <w:r>
        <w:t>Test labels are unavailable, so test predictions cannot be measured as observed failures.</w:t>
      </w:r>
    </w:p>
    <w:p>
      <w:pPr>
        <w:pStyle w:val="ListBullet"/>
      </w:pPr>
      <w:r>
        <w:t>Leaderboard leakage strategies are excluded from production deliverables.</w:t>
      </w:r>
    </w:p>
    <w:p>
      <w:pPr>
        <w:pStyle w:val="ListBullet"/>
      </w:pPr>
      <w:r>
        <w:t>SHAP and graph routes are diagnostic associations, not causal proof.</w:t>
      </w:r>
    </w:p>
    <w:p>
      <w:pPr>
        <w:pStyle w:val="ListBullet"/>
      </w:pPr>
      <w:r>
        <w:t>Financial impact is scenario-based and requires client-specific validation.</w:t>
      </w:r>
    </w:p>
    <w:p>
      <w:pPr>
        <w:pStyle w:val="ListBullet"/>
      </w:pPr>
      <w:r>
        <w:t>Relative Bosch timestamps do not directly map to calendar dates.</w:t>
      </w:r>
    </w:p>
    <w:p>
      <w:pPr>
        <w:pStyle w:val="Heading1"/>
      </w:pPr>
      <w:r>
        <w:t>VII. Conclusion</w:t>
      </w:r>
    </w:p>
    <w:p>
      <w:r>
        <w:t>The project delivers a complete manufacturing analytics reference architecture for future production-line quality use cases. It combines model accuracy, interpretability, process intelligence, graph analytics, and decision interfaces while preserving clear production-safety boundaries.</w:t>
      </w:r>
    </w:p>
    <w:p>
      <w:pPr>
        <w:pStyle w:val="Heading1"/>
      </w:pPr>
      <w:r>
        <w:t>References</w:t>
      </w:r>
    </w:p>
    <w:p>
      <w:r>
        <w:t>[1] Bosch Production Line Performance, Kaggle competition dataset.</w:t>
      </w:r>
    </w:p>
    <w:p>
      <w:r>
        <w:t>[2] LightGBM: A Highly Efficient Gradient Boosting Decision Tree.</w:t>
      </w:r>
    </w:p>
    <w:p>
      <w:r>
        <w:t>[3] SHAP: A Unified Approach to Interpreting Model Predictions.</w:t>
      </w:r>
    </w:p>
    <w:p>
      <w:r>
        <w:t>[4] Process mining and event-log analysis methods for production systems.</w:t>
      </w:r>
    </w:p>
    <w:p>
      <w:r>
        <w:t>[5] Network centrality and graph analytics methods for manufacturing process graphs.</w:t>
      </w:r>
    </w:p>
    <w:sectPr w:rsidR="00FC693F" w:rsidRPr="0006063C" w:rsidSect="00034616"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