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color w:val="252B33"/>
        </w:rPr>
        <w:t>PART XIV</w:t>
      </w:r>
    </w:p>
    <w:p>
      <w:pPr>
        <w:pStyle w:val="Title"/>
      </w:pPr>
      <w:r>
        <w:t>Advanced ML Models and Full-Data Prediction</w:t>
      </w:r>
    </w:p>
    <w:p>
      <w:r>
        <w:rPr>
          <w:rFonts w:ascii="Aptos" w:hAnsi="Aptos"/>
          <w:color w:val="252B33"/>
        </w:rPr>
        <w:t>A controlled, leakage-aware extension of Phase 6 and Phase 10</w:t>
      </w:r>
    </w:p>
    <w:p>
      <w:r>
        <w:rPr>
          <w:rFonts w:ascii="Aptos" w:hAnsi="Aptos"/>
          <w:color w:val="252B33"/>
        </w:rPr>
        <w:t>Full-data benchmarking | Advanced diagnostics | Final test inference | Governance</w:t>
      </w:r>
    </w:p>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2F0D9"/>
            <w:tcMar>
              <w:top w:w="80" w:type="dxa"/>
              <w:start w:w="120" w:type="dxa"/>
              <w:bottom w:w="80" w:type="dxa"/>
              <w:end w:w="120" w:type="dxa"/>
            </w:tcMar>
            <w:vAlign w:val="center"/>
          </w:tcPr>
          <w:p>
            <w:pPr>
              <w:spacing w:after="0"/>
            </w:pPr>
            <w:r>
              <w:rPr>
                <w:rFonts w:ascii="Aptos" w:hAnsi="Aptos"/>
                <w:b/>
                <w:color w:val="17365D"/>
              </w:rPr>
              <w:t xml:space="preserve">Evidence basis  </w:t>
            </w:r>
            <w:r>
              <w:rPr>
                <w:rFonts w:ascii="Aptos" w:hAnsi="Aptos"/>
                <w:color w:val="252B33"/>
              </w:rPr>
              <w:t>Completed controlled benchmark: 75 model configurations; final model card; final scoring outputs; Phase 10 advanced-AI comparison; current Streamlit implementation.</w:t>
            </w:r>
          </w:p>
        </w:tc>
      </w:tr>
    </w:tbl>
    <w:p/>
    <w:p>
      <w:r>
        <w:rPr>
          <w:rFonts w:ascii="Aptos" w:hAnsi="Aptos"/>
          <w:color w:val="252B33"/>
        </w:rPr>
        <w:t>Author: Krishnakanth Reddy Karingula</w:t>
      </w:r>
    </w:p>
    <w:p>
      <w:r>
        <w:rPr>
          <w:rFonts w:ascii="Aptos" w:hAnsi="Aptos"/>
          <w:color w:val="252B33"/>
        </w:rPr>
        <w:t>Repository-driven technical handbook update | July 2026</w:t>
      </w:r>
    </w:p>
    <w:p>
      <w:r>
        <w:br w:type="page"/>
      </w:r>
    </w:p>
    <w:p>
      <w:pPr>
        <w:pStyle w:val="Heading1"/>
      </w:pPr>
      <w:r>
        <w:t>Contents and learning objectives</w:t>
      </w:r>
    </w:p>
    <w:p>
      <w:r>
        <w:rPr>
          <w:rFonts w:ascii="Aptos" w:hAnsi="Aptos"/>
          <w:color w:val="252B33"/>
        </w:rPr>
        <w:t>This part documents the complete new-model process: why the original sampled Phase 6 result was re-evaluated, how split ratios and numeric coverage thresholds were benchmarked, how five supervised model families were compared, how the final LightGBM was refit on all labelled rows, how the full test population was scored, and how research-only advanced diagnostics should be interpreted.</w:t>
      </w:r>
    </w:p>
    <w:tbl>
      <w:tblPr>
        <w:tblStyle w:val="TableGrid"/>
        <w:tblW w:type="dxa" w:w="9360"/>
        <w:jc w:val="left"/>
        <w:tblLayout w:type="fixed"/>
        <w:tblLook w:firstColumn="1" w:firstRow="1" w:lastColumn="0" w:lastRow="0" w:noHBand="0" w:noVBand="1" w:val="04A0"/>
        <w:tblInd w:w="120" w:type="dxa"/>
      </w:tblPr>
      <w:tblGrid>
        <w:gridCol w:w="900"/>
        <w:gridCol w:w="3000"/>
        <w:gridCol w:w="5460"/>
      </w:tblGrid>
      <w:tr>
        <w:trPr>
          <w:tblHeader w:val="true"/>
        </w:trPr>
        <w:tc>
          <w:tcPr>
            <w:tcW w:type="dxa" w:w="900"/>
            <w:shd w:fill="D9EAF7"/>
            <w:vAlign w:val="center"/>
            <w:tcMar>
              <w:top w:w="80" w:type="dxa"/>
              <w:start w:w="120" w:type="dxa"/>
              <w:bottom w:w="80" w:type="dxa"/>
              <w:end w:w="120" w:type="dxa"/>
            </w:tcMar>
          </w:tcPr>
          <w:p>
            <w:pPr>
              <w:jc w:val="center"/>
            </w:pPr>
            <w:r>
              <w:rPr>
                <w:rFonts w:ascii="Aptos" w:hAnsi="Aptos"/>
                <w:b/>
                <w:color w:val="17365D"/>
                <w:sz w:val="18"/>
              </w:rPr>
              <w:t>Chapter</w:t>
            </w:r>
          </w:p>
        </w:tc>
        <w:tc>
          <w:tcPr>
            <w:tcW w:type="dxa" w:w="3000"/>
            <w:shd w:fill="D9EAF7"/>
            <w:vAlign w:val="center"/>
            <w:tcMar>
              <w:top w:w="80" w:type="dxa"/>
              <w:start w:w="120" w:type="dxa"/>
              <w:bottom w:w="80" w:type="dxa"/>
              <w:end w:w="120" w:type="dxa"/>
            </w:tcMar>
          </w:tcPr>
          <w:p>
            <w:pPr>
              <w:jc w:val="center"/>
            </w:pPr>
            <w:r>
              <w:rPr>
                <w:rFonts w:ascii="Aptos" w:hAnsi="Aptos"/>
                <w:b/>
                <w:color w:val="17365D"/>
                <w:sz w:val="18"/>
              </w:rPr>
              <w:t>Topic</w:t>
            </w:r>
          </w:p>
        </w:tc>
        <w:tc>
          <w:tcPr>
            <w:tcW w:type="dxa" w:w="5460"/>
            <w:shd w:fill="D9EAF7"/>
            <w:vAlign w:val="center"/>
            <w:tcMar>
              <w:top w:w="80" w:type="dxa"/>
              <w:start w:w="120" w:type="dxa"/>
              <w:bottom w:w="80" w:type="dxa"/>
              <w:end w:w="120" w:type="dxa"/>
            </w:tcMar>
          </w:tcPr>
          <w:p>
            <w:pPr>
              <w:jc w:val="center"/>
            </w:pPr>
            <w:r>
              <w:rPr>
                <w:rFonts w:ascii="Aptos" w:hAnsi="Aptos"/>
                <w:b/>
                <w:color w:val="17365D"/>
                <w:sz w:val="18"/>
              </w:rPr>
              <w:t>Outcome</w:t>
            </w:r>
          </w:p>
        </w:tc>
      </w:tr>
      <w:tr>
        <w:tc>
          <w:tcPr>
            <w:tcW w:type="dxa" w:w="900"/>
            <w:vAlign w:val="center"/>
            <w:tcMar>
              <w:top w:w="80" w:type="dxa"/>
              <w:start w:w="120" w:type="dxa"/>
              <w:bottom w:w="80" w:type="dxa"/>
              <w:end w:w="120" w:type="dxa"/>
            </w:tcMar>
          </w:tcPr>
          <w:p>
            <w:pPr>
              <w:spacing w:after="0"/>
              <w:jc w:val="left"/>
            </w:pPr>
            <w:r>
              <w:rPr>
                <w:rFonts w:ascii="Aptos" w:hAnsi="Aptos"/>
                <w:color w:val="252B33"/>
                <w:sz w:val="18"/>
              </w:rPr>
              <w:t>76</w:t>
            </w:r>
          </w:p>
        </w:tc>
        <w:tc>
          <w:tcPr>
            <w:tcW w:type="dxa" w:w="3000"/>
            <w:vAlign w:val="center"/>
            <w:tcMar>
              <w:top w:w="80" w:type="dxa"/>
              <w:start w:w="120" w:type="dxa"/>
              <w:bottom w:w="80" w:type="dxa"/>
              <w:end w:w="120" w:type="dxa"/>
            </w:tcMar>
          </w:tcPr>
          <w:p>
            <w:pPr>
              <w:spacing w:after="0"/>
              <w:jc w:val="left"/>
            </w:pPr>
            <w:r>
              <w:rPr>
                <w:rFonts w:ascii="Aptos" w:hAnsi="Aptos"/>
                <w:color w:val="252B33"/>
                <w:sz w:val="18"/>
              </w:rPr>
              <w:t>Why a new benchmark was required</w:t>
            </w:r>
          </w:p>
        </w:tc>
        <w:tc>
          <w:tcPr>
            <w:tcW w:type="dxa" w:w="5460"/>
            <w:vAlign w:val="center"/>
            <w:tcMar>
              <w:top w:w="80" w:type="dxa"/>
              <w:start w:w="120" w:type="dxa"/>
              <w:bottom w:w="80" w:type="dxa"/>
              <w:end w:w="120" w:type="dxa"/>
            </w:tcMar>
          </w:tcPr>
          <w:p>
            <w:pPr>
              <w:spacing w:after="0"/>
              <w:jc w:val="left"/>
            </w:pPr>
            <w:r>
              <w:rPr>
                <w:rFonts w:ascii="Aptos" w:hAnsi="Aptos"/>
                <w:color w:val="252B33"/>
                <w:sz w:val="18"/>
              </w:rPr>
              <w:t>Separates the earlier sampled result from the full-population estimate</w:t>
            </w:r>
          </w:p>
        </w:tc>
      </w:tr>
      <w:tr>
        <w:tc>
          <w:tcPr>
            <w:tcW w:type="dxa" w:w="900"/>
            <w:shd w:fill="F8FAFC"/>
            <w:vAlign w:val="center"/>
            <w:tcMar>
              <w:top w:w="80" w:type="dxa"/>
              <w:start w:w="120" w:type="dxa"/>
              <w:bottom w:w="80" w:type="dxa"/>
              <w:end w:w="120" w:type="dxa"/>
            </w:tcMar>
          </w:tcPr>
          <w:p>
            <w:pPr>
              <w:spacing w:after="0"/>
              <w:jc w:val="left"/>
            </w:pPr>
            <w:r>
              <w:rPr>
                <w:rFonts w:ascii="Aptos" w:hAnsi="Aptos"/>
                <w:color w:val="252B33"/>
                <w:sz w:val="18"/>
              </w:rPr>
              <w:t>77</w:t>
            </w:r>
          </w:p>
        </w:tc>
        <w:tc>
          <w:tcPr>
            <w:tcW w:type="dxa" w:w="3000"/>
            <w:shd w:fill="F8FAFC"/>
            <w:vAlign w:val="center"/>
            <w:tcMar>
              <w:top w:w="80" w:type="dxa"/>
              <w:start w:w="120" w:type="dxa"/>
              <w:bottom w:w="80" w:type="dxa"/>
              <w:end w:w="120" w:type="dxa"/>
            </w:tcMar>
          </w:tcPr>
          <w:p>
            <w:pPr>
              <w:spacing w:after="0"/>
              <w:jc w:val="left"/>
            </w:pPr>
            <w:r>
              <w:rPr>
                <w:rFonts w:ascii="Aptos" w:hAnsi="Aptos"/>
                <w:color w:val="252B33"/>
                <w:sz w:val="18"/>
              </w:rPr>
              <w:t>Controlled experiment design</w:t>
            </w:r>
          </w:p>
        </w:tc>
        <w:tc>
          <w:tcPr>
            <w:tcW w:type="dxa" w:w="5460"/>
            <w:shd w:fill="F8FAFC"/>
            <w:vAlign w:val="center"/>
            <w:tcMar>
              <w:top w:w="80" w:type="dxa"/>
              <w:start w:w="120" w:type="dxa"/>
              <w:bottom w:w="80" w:type="dxa"/>
              <w:end w:w="120" w:type="dxa"/>
            </w:tcMar>
          </w:tcPr>
          <w:p>
            <w:pPr>
              <w:spacing w:after="0"/>
              <w:jc w:val="left"/>
            </w:pPr>
            <w:r>
              <w:rPr>
                <w:rFonts w:ascii="Aptos" w:hAnsi="Aptos"/>
                <w:color w:val="252B33"/>
                <w:sz w:val="18"/>
              </w:rPr>
              <w:t>Defines clean splitting, coverage screening and feature contracts</w:t>
            </w:r>
          </w:p>
        </w:tc>
      </w:tr>
      <w:tr>
        <w:tc>
          <w:tcPr>
            <w:tcW w:type="dxa" w:w="900"/>
            <w:vAlign w:val="center"/>
            <w:tcMar>
              <w:top w:w="80" w:type="dxa"/>
              <w:start w:w="120" w:type="dxa"/>
              <w:bottom w:w="80" w:type="dxa"/>
              <w:end w:w="120" w:type="dxa"/>
            </w:tcMar>
          </w:tcPr>
          <w:p>
            <w:pPr>
              <w:spacing w:after="0"/>
              <w:jc w:val="left"/>
            </w:pPr>
            <w:r>
              <w:rPr>
                <w:rFonts w:ascii="Aptos" w:hAnsi="Aptos"/>
                <w:color w:val="252B33"/>
                <w:sz w:val="18"/>
              </w:rPr>
              <w:t>78</w:t>
            </w:r>
          </w:p>
        </w:tc>
        <w:tc>
          <w:tcPr>
            <w:tcW w:type="dxa" w:w="3000"/>
            <w:vAlign w:val="center"/>
            <w:tcMar>
              <w:top w:w="80" w:type="dxa"/>
              <w:start w:w="120" w:type="dxa"/>
              <w:bottom w:w="80" w:type="dxa"/>
              <w:end w:w="120" w:type="dxa"/>
            </w:tcMar>
          </w:tcPr>
          <w:p>
            <w:pPr>
              <w:spacing w:after="0"/>
              <w:jc w:val="left"/>
            </w:pPr>
            <w:r>
              <w:rPr>
                <w:rFonts w:ascii="Aptos" w:hAnsi="Aptos"/>
                <w:color w:val="252B33"/>
                <w:sz w:val="18"/>
              </w:rPr>
              <w:t>Advanced supervised models</w:t>
            </w:r>
          </w:p>
        </w:tc>
        <w:tc>
          <w:tcPr>
            <w:tcW w:type="dxa" w:w="5460"/>
            <w:vAlign w:val="center"/>
            <w:tcMar>
              <w:top w:w="80" w:type="dxa"/>
              <w:start w:w="120" w:type="dxa"/>
              <w:bottom w:w="80" w:type="dxa"/>
              <w:end w:w="120" w:type="dxa"/>
            </w:tcMar>
          </w:tcPr>
          <w:p>
            <w:pPr>
              <w:spacing w:after="0"/>
              <w:jc w:val="left"/>
            </w:pPr>
            <w:r>
              <w:rPr>
                <w:rFonts w:ascii="Aptos" w:hAnsi="Aptos"/>
                <w:color w:val="252B33"/>
                <w:sz w:val="18"/>
              </w:rPr>
              <w:t>Compares Logistic Regression, Random Forest, XGBoost, CatBoost and LightGBM</w:t>
            </w:r>
          </w:p>
        </w:tc>
      </w:tr>
      <w:tr>
        <w:tc>
          <w:tcPr>
            <w:tcW w:type="dxa" w:w="900"/>
            <w:shd w:fill="F8FAFC"/>
            <w:vAlign w:val="center"/>
            <w:tcMar>
              <w:top w:w="80" w:type="dxa"/>
              <w:start w:w="120" w:type="dxa"/>
              <w:bottom w:w="80" w:type="dxa"/>
              <w:end w:w="120" w:type="dxa"/>
            </w:tcMar>
          </w:tcPr>
          <w:p>
            <w:pPr>
              <w:spacing w:after="0"/>
              <w:jc w:val="left"/>
            </w:pPr>
            <w:r>
              <w:rPr>
                <w:rFonts w:ascii="Aptos" w:hAnsi="Aptos"/>
                <w:color w:val="252B33"/>
                <w:sz w:val="18"/>
              </w:rPr>
              <w:t>79</w:t>
            </w:r>
          </w:p>
        </w:tc>
        <w:tc>
          <w:tcPr>
            <w:tcW w:type="dxa" w:w="3000"/>
            <w:shd w:fill="F8FAFC"/>
            <w:vAlign w:val="center"/>
            <w:tcMar>
              <w:top w:w="80" w:type="dxa"/>
              <w:start w:w="120" w:type="dxa"/>
              <w:bottom w:w="80" w:type="dxa"/>
              <w:end w:w="120" w:type="dxa"/>
            </w:tcMar>
          </w:tcPr>
          <w:p>
            <w:pPr>
              <w:spacing w:after="0"/>
              <w:jc w:val="left"/>
            </w:pPr>
            <w:r>
              <w:rPr>
                <w:rFonts w:ascii="Aptos" w:hAnsi="Aptos"/>
                <w:color w:val="252B33"/>
                <w:sz w:val="18"/>
              </w:rPr>
              <w:t>Advanced diagnostic models</w:t>
            </w:r>
          </w:p>
        </w:tc>
        <w:tc>
          <w:tcPr>
            <w:tcW w:type="dxa" w:w="5460"/>
            <w:shd w:fill="F8FAFC"/>
            <w:vAlign w:val="center"/>
            <w:tcMar>
              <w:top w:w="80" w:type="dxa"/>
              <w:start w:w="120" w:type="dxa"/>
              <w:bottom w:w="80" w:type="dxa"/>
              <w:end w:w="120" w:type="dxa"/>
            </w:tcMar>
          </w:tcPr>
          <w:p>
            <w:pPr>
              <w:spacing w:after="0"/>
              <w:jc w:val="left"/>
            </w:pPr>
            <w:r>
              <w:rPr>
                <w:rFonts w:ascii="Aptos" w:hAnsi="Aptos"/>
                <w:color w:val="252B33"/>
                <w:sz w:val="18"/>
              </w:rPr>
              <w:t>Explains Isolation Forest, reconstruction, graph risk and failure trajectory</w:t>
            </w:r>
          </w:p>
        </w:tc>
      </w:tr>
      <w:tr>
        <w:tc>
          <w:tcPr>
            <w:tcW w:type="dxa" w:w="900"/>
            <w:vAlign w:val="center"/>
            <w:tcMar>
              <w:top w:w="80" w:type="dxa"/>
              <w:start w:w="120" w:type="dxa"/>
              <w:bottom w:w="80" w:type="dxa"/>
              <w:end w:w="120" w:type="dxa"/>
            </w:tcMar>
          </w:tcPr>
          <w:p>
            <w:pPr>
              <w:spacing w:after="0"/>
              <w:jc w:val="left"/>
            </w:pPr>
            <w:r>
              <w:rPr>
                <w:rFonts w:ascii="Aptos" w:hAnsi="Aptos"/>
                <w:color w:val="252B33"/>
                <w:sz w:val="18"/>
              </w:rPr>
              <w:t>80</w:t>
            </w:r>
          </w:p>
        </w:tc>
        <w:tc>
          <w:tcPr>
            <w:tcW w:type="dxa" w:w="3000"/>
            <w:vAlign w:val="center"/>
            <w:tcMar>
              <w:top w:w="80" w:type="dxa"/>
              <w:start w:w="120" w:type="dxa"/>
              <w:bottom w:w="80" w:type="dxa"/>
              <w:end w:w="120" w:type="dxa"/>
            </w:tcMar>
          </w:tcPr>
          <w:p>
            <w:pPr>
              <w:spacing w:after="0"/>
              <w:jc w:val="left"/>
            </w:pPr>
            <w:r>
              <w:rPr>
                <w:rFonts w:ascii="Aptos" w:hAnsi="Aptos"/>
                <w:color w:val="252B33"/>
                <w:sz w:val="18"/>
              </w:rPr>
              <w:t>Final LightGBM training and test scoring</w:t>
            </w:r>
          </w:p>
        </w:tc>
        <w:tc>
          <w:tcPr>
            <w:tcW w:type="dxa" w:w="5460"/>
            <w:vAlign w:val="center"/>
            <w:tcMar>
              <w:top w:w="80" w:type="dxa"/>
              <w:start w:w="120" w:type="dxa"/>
              <w:bottom w:w="80" w:type="dxa"/>
              <w:end w:w="120" w:type="dxa"/>
            </w:tcMar>
          </w:tcPr>
          <w:p>
            <w:pPr>
              <w:spacing w:after="0"/>
              <w:jc w:val="left"/>
            </w:pPr>
            <w:r>
              <w:rPr>
                <w:rFonts w:ascii="Aptos" w:hAnsi="Aptos"/>
                <w:color w:val="252B33"/>
                <w:sz w:val="18"/>
              </w:rPr>
              <w:t>Documents the selected refit, cutoff and 1.18M test predictions</w:t>
            </w:r>
          </w:p>
        </w:tc>
      </w:tr>
      <w:tr>
        <w:tc>
          <w:tcPr>
            <w:tcW w:type="dxa" w:w="900"/>
            <w:shd w:fill="F8FAFC"/>
            <w:vAlign w:val="center"/>
            <w:tcMar>
              <w:top w:w="80" w:type="dxa"/>
              <w:start w:w="120" w:type="dxa"/>
              <w:bottom w:w="80" w:type="dxa"/>
              <w:end w:w="120" w:type="dxa"/>
            </w:tcMar>
          </w:tcPr>
          <w:p>
            <w:pPr>
              <w:spacing w:after="0"/>
              <w:jc w:val="left"/>
            </w:pPr>
            <w:r>
              <w:rPr>
                <w:rFonts w:ascii="Aptos" w:hAnsi="Aptos"/>
                <w:color w:val="252B33"/>
                <w:sz w:val="18"/>
              </w:rPr>
              <w:t>81</w:t>
            </w:r>
          </w:p>
        </w:tc>
        <w:tc>
          <w:tcPr>
            <w:tcW w:type="dxa" w:w="3000"/>
            <w:shd w:fill="F8FAFC"/>
            <w:vAlign w:val="center"/>
            <w:tcMar>
              <w:top w:w="80" w:type="dxa"/>
              <w:start w:w="120" w:type="dxa"/>
              <w:bottom w:w="80" w:type="dxa"/>
              <w:end w:w="120" w:type="dxa"/>
            </w:tcMar>
          </w:tcPr>
          <w:p>
            <w:pPr>
              <w:spacing w:after="0"/>
              <w:jc w:val="left"/>
            </w:pPr>
            <w:r>
              <w:rPr>
                <w:rFonts w:ascii="Aptos" w:hAnsi="Aptos"/>
                <w:color w:val="252B33"/>
                <w:sz w:val="18"/>
              </w:rPr>
              <w:t>Interpretation, governance and reuse</w:t>
            </w:r>
          </w:p>
        </w:tc>
        <w:tc>
          <w:tcPr>
            <w:tcW w:type="dxa" w:w="5460"/>
            <w:shd w:fill="F8FAFC"/>
            <w:vAlign w:val="center"/>
            <w:tcMar>
              <w:top w:w="80" w:type="dxa"/>
              <w:start w:w="120" w:type="dxa"/>
              <w:bottom w:w="80" w:type="dxa"/>
              <w:end w:w="120" w:type="dxa"/>
            </w:tcMar>
          </w:tcPr>
          <w:p>
            <w:pPr>
              <w:spacing w:after="0"/>
              <w:jc w:val="left"/>
            </w:pPr>
            <w:r>
              <w:rPr>
                <w:rFonts w:ascii="Aptos" w:hAnsi="Aptos"/>
                <w:color w:val="252B33"/>
                <w:sz w:val="18"/>
              </w:rPr>
              <w:t>Defines safe claims, limitations and future validation</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2F0D9"/>
            <w:tcMar>
              <w:top w:w="80" w:type="dxa"/>
              <w:start w:w="120" w:type="dxa"/>
              <w:bottom w:w="80" w:type="dxa"/>
              <w:end w:w="120" w:type="dxa"/>
            </w:tcMar>
            <w:vAlign w:val="center"/>
          </w:tcPr>
          <w:p>
            <w:pPr>
              <w:spacing w:after="0"/>
            </w:pPr>
            <w:r>
              <w:rPr>
                <w:rFonts w:ascii="Aptos" w:hAnsi="Aptos"/>
                <w:b/>
                <w:color w:val="17365D"/>
              </w:rPr>
              <w:t xml:space="preserve">Final decision  </w:t>
            </w:r>
            <w:r>
              <w:rPr>
                <w:rFonts w:ascii="Aptos" w:hAnsi="Aptos"/>
                <w:color w:val="252B33"/>
              </w:rPr>
              <w:t>Select LightGBM with an 80/20 clean split and numeric present rate 0.0025. It achieved the highest validation MCC (0.2102) using 283 final features.</w:t>
            </w:r>
          </w:p>
        </w:tc>
      </w:tr>
    </w:tbl>
    <w:p/>
    <w:p>
      <w:pPr>
        <w:pStyle w:val="Heading1"/>
      </w:pPr>
      <w:r>
        <w:t>CHAPTER 76</w:t>
      </w:r>
    </w:p>
    <w:p>
      <w:pPr>
        <w:pStyle w:val="Heading1"/>
      </w:pPr>
      <w:r>
        <w:t>Why a New Full-Data Benchmark Was Required</w:t>
      </w:r>
    </w:p>
    <w:p>
      <w:r>
        <w:rPr>
          <w:rFonts w:ascii="Aptos" w:hAnsi="Aptos"/>
          <w:color w:val="252B33"/>
        </w:rPr>
        <w:t>The original Phase 6 benchmark used 226,879 sampled products, retaining every failure and a subset of non-failures. That design was useful for rapid experimentation but increased failure prevalence from the natural population rate and produced an MCC of 0.3386 under a different evaluation setup. The new benchmark uses all 1,183,747 labelled products and learns selection rules on training rows only.</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shd w:fill="D9EAF7"/>
            <w:vAlign w:val="center"/>
            <w:tcMar>
              <w:top w:w="80" w:type="dxa"/>
              <w:start w:w="120" w:type="dxa"/>
              <w:bottom w:w="80" w:type="dxa"/>
              <w:end w:w="120" w:type="dxa"/>
            </w:tcMar>
          </w:tcPr>
          <w:p>
            <w:pPr>
              <w:jc w:val="center"/>
            </w:pPr>
            <w:r>
              <w:rPr>
                <w:rFonts w:ascii="Aptos" w:hAnsi="Aptos"/>
                <w:b/>
                <w:color w:val="17365D"/>
                <w:sz w:val="17"/>
              </w:rPr>
              <w:t>Property</w:t>
            </w:r>
          </w:p>
        </w:tc>
        <w:tc>
          <w:tcPr>
            <w:tcW w:type="dxa" w:w="3300"/>
            <w:shd w:fill="D9EAF7"/>
            <w:vAlign w:val="center"/>
            <w:tcMar>
              <w:top w:w="80" w:type="dxa"/>
              <w:start w:w="120" w:type="dxa"/>
              <w:bottom w:w="80" w:type="dxa"/>
              <w:end w:w="120" w:type="dxa"/>
            </w:tcMar>
          </w:tcPr>
          <w:p>
            <w:pPr>
              <w:jc w:val="center"/>
            </w:pPr>
            <w:r>
              <w:rPr>
                <w:rFonts w:ascii="Aptos" w:hAnsi="Aptos"/>
                <w:b/>
                <w:color w:val="17365D"/>
                <w:sz w:val="17"/>
              </w:rPr>
              <w:t>Original Phase 6</w:t>
            </w:r>
          </w:p>
        </w:tc>
        <w:tc>
          <w:tcPr>
            <w:tcW w:type="dxa" w:w="3860"/>
            <w:shd w:fill="D9EAF7"/>
            <w:vAlign w:val="center"/>
            <w:tcMar>
              <w:top w:w="80" w:type="dxa"/>
              <w:start w:w="120" w:type="dxa"/>
              <w:bottom w:w="80" w:type="dxa"/>
              <w:end w:w="120" w:type="dxa"/>
            </w:tcMar>
          </w:tcPr>
          <w:p>
            <w:pPr>
              <w:jc w:val="center"/>
            </w:pPr>
            <w:r>
              <w:rPr>
                <w:rFonts w:ascii="Aptos" w:hAnsi="Aptos"/>
                <w:b/>
                <w:color w:val="17365D"/>
                <w:sz w:val="17"/>
              </w:rPr>
              <w:t>New clean benchmark</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7"/>
              </w:rPr>
              <w:t>Rows entering development</w:t>
            </w:r>
          </w:p>
        </w:tc>
        <w:tc>
          <w:tcPr>
            <w:tcW w:type="dxa" w:w="3300"/>
            <w:vAlign w:val="center"/>
            <w:tcMar>
              <w:top w:w="80" w:type="dxa"/>
              <w:start w:w="120" w:type="dxa"/>
              <w:bottom w:w="80" w:type="dxa"/>
              <w:end w:w="120" w:type="dxa"/>
            </w:tcMar>
          </w:tcPr>
          <w:p>
            <w:pPr>
              <w:spacing w:after="0"/>
              <w:jc w:val="center"/>
            </w:pPr>
            <w:r>
              <w:rPr>
                <w:rFonts w:ascii="Aptos" w:hAnsi="Aptos"/>
                <w:color w:val="252B33"/>
                <w:sz w:val="17"/>
              </w:rPr>
              <w:t>226,879</w:t>
            </w:r>
          </w:p>
        </w:tc>
        <w:tc>
          <w:tcPr>
            <w:tcW w:type="dxa" w:w="3860"/>
            <w:vAlign w:val="center"/>
            <w:tcMar>
              <w:top w:w="80" w:type="dxa"/>
              <w:start w:w="120" w:type="dxa"/>
              <w:bottom w:w="80" w:type="dxa"/>
              <w:end w:w="120" w:type="dxa"/>
            </w:tcMar>
          </w:tcPr>
          <w:p>
            <w:pPr>
              <w:spacing w:after="0"/>
              <w:jc w:val="center"/>
            </w:pPr>
            <w:r>
              <w:rPr>
                <w:rFonts w:ascii="Aptos" w:hAnsi="Aptos"/>
                <w:color w:val="252B33"/>
                <w:sz w:val="17"/>
              </w:rPr>
              <w:t>1,183,747</w:t>
            </w:r>
          </w:p>
        </w:tc>
      </w:tr>
      <w:tr>
        <w:tc>
          <w:tcPr>
            <w:tcW w:type="dxa" w:w="2200"/>
            <w:shd w:fill="F8FAFC"/>
            <w:vAlign w:val="center"/>
            <w:tcMar>
              <w:top w:w="80" w:type="dxa"/>
              <w:start w:w="120" w:type="dxa"/>
              <w:bottom w:w="80" w:type="dxa"/>
              <w:end w:w="120" w:type="dxa"/>
            </w:tcMar>
          </w:tcPr>
          <w:p>
            <w:pPr>
              <w:spacing w:after="0"/>
              <w:jc w:val="left"/>
            </w:pPr>
            <w:r>
              <w:rPr>
                <w:rFonts w:ascii="Aptos" w:hAnsi="Aptos"/>
                <w:color w:val="252B33"/>
                <w:sz w:val="17"/>
              </w:rPr>
              <w:t>Share of labelled population</w:t>
            </w:r>
          </w:p>
        </w:tc>
        <w:tc>
          <w:tcPr>
            <w:tcW w:type="dxa" w:w="3300"/>
            <w:shd w:fill="F8FAFC"/>
            <w:vAlign w:val="center"/>
            <w:tcMar>
              <w:top w:w="80" w:type="dxa"/>
              <w:start w:w="120" w:type="dxa"/>
              <w:bottom w:w="80" w:type="dxa"/>
              <w:end w:w="120" w:type="dxa"/>
            </w:tcMar>
          </w:tcPr>
          <w:p>
            <w:pPr>
              <w:spacing w:after="0"/>
              <w:jc w:val="center"/>
            </w:pPr>
            <w:r>
              <w:rPr>
                <w:rFonts w:ascii="Aptos" w:hAnsi="Aptos"/>
                <w:color w:val="252B33"/>
                <w:sz w:val="17"/>
              </w:rPr>
              <w:t>19.17%</w:t>
            </w:r>
          </w:p>
        </w:tc>
        <w:tc>
          <w:tcPr>
            <w:tcW w:type="dxa" w:w="3860"/>
            <w:shd w:fill="F8FAFC"/>
            <w:vAlign w:val="center"/>
            <w:tcMar>
              <w:top w:w="80" w:type="dxa"/>
              <w:start w:w="120" w:type="dxa"/>
              <w:bottom w:w="80" w:type="dxa"/>
              <w:end w:w="120" w:type="dxa"/>
            </w:tcMar>
          </w:tcPr>
          <w:p>
            <w:pPr>
              <w:spacing w:after="0"/>
              <w:jc w:val="center"/>
            </w:pPr>
            <w:r>
              <w:rPr>
                <w:rFonts w:ascii="Aptos" w:hAnsi="Aptos"/>
                <w:color w:val="252B33"/>
                <w:sz w:val="17"/>
              </w:rPr>
              <w:t>100%</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7"/>
              </w:rPr>
              <w:t>Split</w:t>
            </w:r>
          </w:p>
        </w:tc>
        <w:tc>
          <w:tcPr>
            <w:tcW w:type="dxa" w:w="3300"/>
            <w:vAlign w:val="center"/>
            <w:tcMar>
              <w:top w:w="80" w:type="dxa"/>
              <w:start w:w="120" w:type="dxa"/>
              <w:bottom w:w="80" w:type="dxa"/>
              <w:end w:w="120" w:type="dxa"/>
            </w:tcMar>
          </w:tcPr>
          <w:p>
            <w:pPr>
              <w:spacing w:after="0"/>
              <w:jc w:val="center"/>
            </w:pPr>
            <w:r>
              <w:rPr>
                <w:rFonts w:ascii="Aptos" w:hAnsi="Aptos"/>
                <w:color w:val="252B33"/>
                <w:sz w:val="17"/>
              </w:rPr>
              <w:t>75/25</w:t>
            </w:r>
          </w:p>
        </w:tc>
        <w:tc>
          <w:tcPr>
            <w:tcW w:type="dxa" w:w="3860"/>
            <w:vAlign w:val="center"/>
            <w:tcMar>
              <w:top w:w="80" w:type="dxa"/>
              <w:start w:w="120" w:type="dxa"/>
              <w:bottom w:w="80" w:type="dxa"/>
              <w:end w:w="120" w:type="dxa"/>
            </w:tcMar>
          </w:tcPr>
          <w:p>
            <w:pPr>
              <w:spacing w:after="0"/>
              <w:jc w:val="left"/>
            </w:pPr>
            <w:r>
              <w:rPr>
                <w:rFonts w:ascii="Aptos" w:hAnsi="Aptos"/>
                <w:color w:val="252B33"/>
                <w:sz w:val="17"/>
              </w:rPr>
              <w:t>75/25, 80/20 and 90/10 tested</w:t>
            </w:r>
          </w:p>
        </w:tc>
      </w:tr>
      <w:tr>
        <w:tc>
          <w:tcPr>
            <w:tcW w:type="dxa" w:w="2200"/>
            <w:shd w:fill="F8FAFC"/>
            <w:vAlign w:val="center"/>
            <w:tcMar>
              <w:top w:w="80" w:type="dxa"/>
              <w:start w:w="120" w:type="dxa"/>
              <w:bottom w:w="80" w:type="dxa"/>
              <w:end w:w="120" w:type="dxa"/>
            </w:tcMar>
          </w:tcPr>
          <w:p>
            <w:pPr>
              <w:spacing w:after="0"/>
              <w:jc w:val="left"/>
            </w:pPr>
            <w:r>
              <w:rPr>
                <w:rFonts w:ascii="Aptos" w:hAnsi="Aptos"/>
                <w:color w:val="252B33"/>
                <w:sz w:val="17"/>
              </w:rPr>
              <w:t>Failure prevalence</w:t>
            </w:r>
          </w:p>
        </w:tc>
        <w:tc>
          <w:tcPr>
            <w:tcW w:type="dxa" w:w="3300"/>
            <w:shd w:fill="F8FAFC"/>
            <w:vAlign w:val="center"/>
            <w:tcMar>
              <w:top w:w="80" w:type="dxa"/>
              <w:start w:w="120" w:type="dxa"/>
              <w:bottom w:w="80" w:type="dxa"/>
              <w:end w:w="120" w:type="dxa"/>
            </w:tcMar>
          </w:tcPr>
          <w:p>
            <w:pPr>
              <w:spacing w:after="0"/>
              <w:jc w:val="left"/>
            </w:pPr>
            <w:r>
              <w:rPr>
                <w:rFonts w:ascii="Aptos" w:hAnsi="Aptos"/>
                <w:color w:val="252B33"/>
                <w:sz w:val="17"/>
              </w:rPr>
              <w:t>About 3.03% after sampling</w:t>
            </w:r>
          </w:p>
        </w:tc>
        <w:tc>
          <w:tcPr>
            <w:tcW w:type="dxa" w:w="3860"/>
            <w:shd w:fill="F8FAFC"/>
            <w:vAlign w:val="center"/>
            <w:tcMar>
              <w:top w:w="80" w:type="dxa"/>
              <w:start w:w="120" w:type="dxa"/>
              <w:bottom w:w="80" w:type="dxa"/>
              <w:end w:w="120" w:type="dxa"/>
            </w:tcMar>
          </w:tcPr>
          <w:p>
            <w:pPr>
              <w:spacing w:after="0"/>
              <w:jc w:val="left"/>
            </w:pPr>
            <w:r>
              <w:rPr>
                <w:rFonts w:ascii="Aptos" w:hAnsi="Aptos"/>
                <w:color w:val="252B33"/>
                <w:sz w:val="17"/>
              </w:rPr>
              <w:t>Natural population prevalence, about 0.58%</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7"/>
              </w:rPr>
              <w:t>Final feature count</w:t>
            </w:r>
          </w:p>
        </w:tc>
        <w:tc>
          <w:tcPr>
            <w:tcW w:type="dxa" w:w="3300"/>
            <w:vAlign w:val="center"/>
            <w:tcMar>
              <w:top w:w="80" w:type="dxa"/>
              <w:start w:w="120" w:type="dxa"/>
              <w:bottom w:w="80" w:type="dxa"/>
              <w:end w:w="120" w:type="dxa"/>
            </w:tcMar>
          </w:tcPr>
          <w:p>
            <w:pPr>
              <w:spacing w:after="0"/>
              <w:jc w:val="center"/>
            </w:pPr>
            <w:r>
              <w:rPr>
                <w:rFonts w:ascii="Aptos" w:hAnsi="Aptos"/>
                <w:color w:val="252B33"/>
                <w:sz w:val="17"/>
              </w:rPr>
              <w:t>Approximately 323</w:t>
            </w:r>
          </w:p>
        </w:tc>
        <w:tc>
          <w:tcPr>
            <w:tcW w:type="dxa" w:w="3860"/>
            <w:vAlign w:val="center"/>
            <w:tcMar>
              <w:top w:w="80" w:type="dxa"/>
              <w:start w:w="120" w:type="dxa"/>
              <w:bottom w:w="80" w:type="dxa"/>
              <w:end w:w="120" w:type="dxa"/>
            </w:tcMar>
          </w:tcPr>
          <w:p>
            <w:pPr>
              <w:spacing w:after="0"/>
              <w:jc w:val="center"/>
            </w:pPr>
            <w:r>
              <w:rPr>
                <w:rFonts w:ascii="Aptos" w:hAnsi="Aptos"/>
                <w:color w:val="252B33"/>
                <w:sz w:val="17"/>
              </w:rPr>
              <w:t>283</w:t>
            </w:r>
          </w:p>
        </w:tc>
      </w:tr>
      <w:tr>
        <w:tc>
          <w:tcPr>
            <w:tcW w:type="dxa" w:w="2200"/>
            <w:shd w:fill="F8FAFC"/>
            <w:vAlign w:val="center"/>
            <w:tcMar>
              <w:top w:w="80" w:type="dxa"/>
              <w:start w:w="120" w:type="dxa"/>
              <w:bottom w:w="80" w:type="dxa"/>
              <w:end w:w="120" w:type="dxa"/>
            </w:tcMar>
          </w:tcPr>
          <w:p>
            <w:pPr>
              <w:spacing w:after="0"/>
              <w:jc w:val="left"/>
            </w:pPr>
            <w:r>
              <w:rPr>
                <w:rFonts w:ascii="Aptos" w:hAnsi="Aptos"/>
                <w:color w:val="252B33"/>
                <w:sz w:val="17"/>
              </w:rPr>
              <w:t>Headline MCC</w:t>
            </w:r>
          </w:p>
        </w:tc>
        <w:tc>
          <w:tcPr>
            <w:tcW w:type="dxa" w:w="3300"/>
            <w:shd w:fill="F8FAFC"/>
            <w:vAlign w:val="center"/>
            <w:tcMar>
              <w:top w:w="80" w:type="dxa"/>
              <w:start w:w="120" w:type="dxa"/>
              <w:bottom w:w="80" w:type="dxa"/>
              <w:end w:w="120" w:type="dxa"/>
            </w:tcMar>
          </w:tcPr>
          <w:p>
            <w:pPr>
              <w:spacing w:after="0"/>
              <w:jc w:val="center"/>
            </w:pPr>
            <w:r>
              <w:rPr>
                <w:rFonts w:ascii="Aptos" w:hAnsi="Aptos"/>
                <w:color w:val="252B33"/>
                <w:sz w:val="17"/>
              </w:rPr>
              <w:t>0.3386</w:t>
            </w:r>
          </w:p>
        </w:tc>
        <w:tc>
          <w:tcPr>
            <w:tcW w:type="dxa" w:w="3860"/>
            <w:shd w:fill="F8FAFC"/>
            <w:vAlign w:val="center"/>
            <w:tcMar>
              <w:top w:w="80" w:type="dxa"/>
              <w:start w:w="120" w:type="dxa"/>
              <w:bottom w:w="80" w:type="dxa"/>
              <w:end w:w="120" w:type="dxa"/>
            </w:tcMar>
          </w:tcPr>
          <w:p>
            <w:pPr>
              <w:spacing w:after="0"/>
              <w:jc w:val="center"/>
            </w:pPr>
            <w:r>
              <w:rPr>
                <w:rFonts w:ascii="Aptos" w:hAnsi="Aptos"/>
                <w:color w:val="252B33"/>
                <w:sz w:val="17"/>
              </w:rPr>
              <w:t>0.2102</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7"/>
              </w:rPr>
              <w:t>Use</w:t>
            </w:r>
          </w:p>
        </w:tc>
        <w:tc>
          <w:tcPr>
            <w:tcW w:type="dxa" w:w="3300"/>
            <w:vAlign w:val="center"/>
            <w:tcMar>
              <w:top w:w="80" w:type="dxa"/>
              <w:start w:w="120" w:type="dxa"/>
              <w:bottom w:w="80" w:type="dxa"/>
              <w:end w:w="120" w:type="dxa"/>
            </w:tcMar>
          </w:tcPr>
          <w:p>
            <w:pPr>
              <w:spacing w:after="0"/>
              <w:jc w:val="left"/>
            </w:pPr>
            <w:r>
              <w:rPr>
                <w:rFonts w:ascii="Aptos" w:hAnsi="Aptos"/>
                <w:color w:val="252B33"/>
                <w:sz w:val="17"/>
              </w:rPr>
              <w:t>Historical experimental benchmark</w:t>
            </w:r>
          </w:p>
        </w:tc>
        <w:tc>
          <w:tcPr>
            <w:tcW w:type="dxa" w:w="3860"/>
            <w:vAlign w:val="center"/>
            <w:tcMar>
              <w:top w:w="80" w:type="dxa"/>
              <w:start w:w="120" w:type="dxa"/>
              <w:bottom w:w="80" w:type="dxa"/>
              <w:end w:w="120" w:type="dxa"/>
            </w:tcMar>
          </w:tcPr>
          <w:p>
            <w:pPr>
              <w:spacing w:after="0"/>
              <w:jc w:val="left"/>
            </w:pPr>
            <w:r>
              <w:rPr>
                <w:rFonts w:ascii="Aptos" w:hAnsi="Aptos"/>
                <w:color w:val="252B33"/>
                <w:sz w:val="17"/>
              </w:rPr>
              <w:t>Preferred final prediction pipeline</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vAlign w:val="center"/>
          </w:tcPr>
          <w:p>
            <w:pPr>
              <w:spacing w:after="0"/>
            </w:pPr>
            <w:r>
              <w:rPr>
                <w:rFonts w:ascii="Aptos" w:hAnsi="Aptos"/>
                <w:b/>
                <w:color w:val="17365D"/>
              </w:rPr>
              <w:t xml:space="preserve">Key lesson  </w:t>
            </w:r>
            <w:r>
              <w:rPr>
                <w:rFonts w:ascii="Aptos" w:hAnsi="Aptos"/>
                <w:color w:val="252B33"/>
              </w:rPr>
              <w:t>A higher score is not automatically a better estimate. Results are comparable only when population, split, feature-selection scope, threshold procedure and evaluation set are the same.</w:t>
            </w:r>
          </w:p>
        </w:tc>
      </w:tr>
    </w:tbl>
    <w:p/>
    <w:p>
      <w:pPr>
        <w:pStyle w:val="Heading2"/>
      </w:pPr>
      <w:r>
        <w:t>What changed</w:t>
      </w:r>
    </w:p>
    <w:p>
      <w:pPr>
        <w:pStyle w:val="ListBullet"/>
      </w:pPr>
      <w:r>
        <w:rPr>
          <w:rFonts w:ascii="Aptos" w:hAnsi="Aptos"/>
          <w:color w:val="252B33"/>
        </w:rPr>
        <w:t>All labelled products are included in the benchmark population.</w:t>
      </w:r>
    </w:p>
    <w:p>
      <w:pPr>
        <w:pStyle w:val="ListBullet"/>
      </w:pPr>
      <w:r>
        <w:rPr>
          <w:rFonts w:ascii="Aptos" w:hAnsi="Aptos"/>
          <w:color w:val="252B33"/>
        </w:rPr>
        <w:t>Coverage and target-informed feature selection are fitted on training rows only.</w:t>
      </w:r>
    </w:p>
    <w:p>
      <w:pPr>
        <w:pStyle w:val="ListBullet"/>
      </w:pPr>
      <w:r>
        <w:rPr>
          <w:rFonts w:ascii="Aptos" w:hAnsi="Aptos"/>
          <w:color w:val="252B33"/>
        </w:rPr>
        <w:t>Multiple split ratios and present-rate thresholds are evaluated.</w:t>
      </w:r>
    </w:p>
    <w:p>
      <w:pPr>
        <w:pStyle w:val="ListBullet"/>
      </w:pPr>
      <w:r>
        <w:rPr>
          <w:rFonts w:ascii="Aptos" w:hAnsi="Aptos"/>
          <w:color w:val="252B33"/>
        </w:rPr>
        <w:t>Every model receives the same 283-column merged feature contract within a run.</w:t>
      </w:r>
    </w:p>
    <w:p>
      <w:pPr>
        <w:pStyle w:val="ListBullet"/>
      </w:pPr>
      <w:r>
        <w:rPr>
          <w:rFonts w:ascii="Aptos" w:hAnsi="Aptos"/>
          <w:color w:val="252B33"/>
        </w:rPr>
        <w:t>The chosen configuration is refit on all labels only after model selection.</w:t>
      </w:r>
    </w:p>
    <w:p>
      <w:pPr>
        <w:pStyle w:val="Heading1"/>
      </w:pPr>
      <w:r>
        <w:t>CHAPTER 77</w:t>
      </w:r>
    </w:p>
    <w:p>
      <w:pPr>
        <w:pStyle w:val="Heading1"/>
      </w:pPr>
      <w:r>
        <w:t>Controlled Experiment Design</w:t>
      </w:r>
    </w:p>
    <w:p>
      <w:pPr>
        <w:pStyle w:val="Heading2"/>
      </w:pPr>
      <w:r>
        <w:t>Population and clean splitting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9FC"/>
            <w:vAlign w:val="center"/>
            <w:tcMar>
              <w:top w:w="80" w:type="dxa"/>
              <w:start w:w="120" w:type="dxa"/>
              <w:bottom w:w="80" w:type="dxa"/>
              <w:end w:w="120" w:type="dxa"/>
            </w:tcMar>
          </w:tcPr>
          <w:p>
            <w:pPr>
              <w:spacing w:after="0"/>
              <w:jc w:val="center"/>
            </w:pPr>
            <w:r>
              <w:rPr>
                <w:rFonts w:ascii="Aptos" w:hAnsi="Aptos"/>
                <w:b/>
                <w:color w:val="17365D"/>
                <w:sz w:val="22"/>
              </w:rPr>
              <w:t>1,183,747 labelled products = 946,997 training + 236,750 validation</w:t>
            </w:r>
          </w:p>
        </w:tc>
      </w:tr>
    </w:tbl>
    <w:p/>
    <w:p>
      <w:r>
        <w:rPr>
          <w:rFonts w:ascii="Aptos" w:hAnsi="Aptos"/>
          <w:color w:val="252B33"/>
        </w:rPr>
        <w:t>The selected configuration uses an 80/20 stratified split. Stratification preserves the rare-failure proportion. Training rows determine feature eligibility, encodings and model parameters. Validation rows are reserved for MCC, PR-AUC, precision and recall.</w:t>
      </w:r>
    </w:p>
    <w:p>
      <w:pPr>
        <w:pStyle w:val="Heading2"/>
      </w:pPr>
      <w:r>
        <w:t>Present-rate screening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9FC"/>
            <w:vAlign w:val="center"/>
            <w:tcMar>
              <w:top w:w="80" w:type="dxa"/>
              <w:start w:w="120" w:type="dxa"/>
              <w:bottom w:w="80" w:type="dxa"/>
              <w:end w:w="120" w:type="dxa"/>
            </w:tcMar>
          </w:tcPr>
          <w:p>
            <w:pPr>
              <w:spacing w:after="0"/>
              <w:jc w:val="center"/>
            </w:pPr>
            <w:r>
              <w:rPr>
                <w:rFonts w:ascii="Aptos" w:hAnsi="Aptos"/>
                <w:b/>
                <w:color w:val="17365D"/>
                <w:sz w:val="22"/>
              </w:rPr>
              <w:t>Present rate = non-missing training observations / training rows</w:t>
            </w:r>
          </w:p>
        </w:tc>
      </w:tr>
    </w:tbl>
    <w:p/>
    <w:p>
      <w:r>
        <w:rPr>
          <w:rFonts w:ascii="Aptos" w:hAnsi="Aptos"/>
          <w:color w:val="252B33"/>
        </w:rPr>
        <w:t>At the selected threshold of 0.0025 (0.25%), a numeric feature must be observed in approximately 946,997 x 0.0025 = 2,367 training products. This produced 908 eligible numeric candidates. Present rate is a coverage rule, not a p-value.</w:t>
      </w:r>
    </w:p>
    <w:p>
      <w:pPr>
        <w:pStyle w:val="Heading2"/>
      </w:pPr>
      <w:r>
        <w:t>Feature contract</w:t>
      </w:r>
    </w:p>
    <w:tbl>
      <w:tblPr>
        <w:tblStyle w:val="TableGrid"/>
        <w:tblW w:type="dxa" w:w="9360"/>
        <w:jc w:val="left"/>
        <w:tblLayout w:type="fixed"/>
        <w:tblLook w:firstColumn="1" w:firstRow="1" w:lastColumn="0" w:lastRow="0" w:noHBand="0" w:noVBand="1" w:val="04A0"/>
        <w:tblInd w:w="120" w:type="dxa"/>
      </w:tblPr>
      <w:tblGrid>
        <w:gridCol w:w="2200"/>
        <w:gridCol w:w="1400"/>
        <w:gridCol w:w="5760"/>
      </w:tblGrid>
      <w:tr>
        <w:trPr>
          <w:tblHeader w:val="true"/>
        </w:trPr>
        <w:tc>
          <w:tcPr>
            <w:tcW w:type="dxa" w:w="2200"/>
            <w:shd w:fill="D9EAF7"/>
            <w:vAlign w:val="center"/>
            <w:tcMar>
              <w:top w:w="80" w:type="dxa"/>
              <w:start w:w="120" w:type="dxa"/>
              <w:bottom w:w="80" w:type="dxa"/>
              <w:end w:w="120" w:type="dxa"/>
            </w:tcMar>
          </w:tcPr>
          <w:p>
            <w:pPr>
              <w:jc w:val="center"/>
            </w:pPr>
            <w:r>
              <w:rPr>
                <w:rFonts w:ascii="Aptos" w:hAnsi="Aptos"/>
                <w:b/>
                <w:color w:val="17365D"/>
                <w:sz w:val="18"/>
              </w:rPr>
              <w:t>Stage</w:t>
            </w:r>
          </w:p>
        </w:tc>
        <w:tc>
          <w:tcPr>
            <w:tcW w:type="dxa" w:w="1400"/>
            <w:shd w:fill="D9EAF7"/>
            <w:vAlign w:val="center"/>
            <w:tcMar>
              <w:top w:w="80" w:type="dxa"/>
              <w:start w:w="120" w:type="dxa"/>
              <w:bottom w:w="80" w:type="dxa"/>
              <w:end w:w="120" w:type="dxa"/>
            </w:tcMar>
          </w:tcPr>
          <w:p>
            <w:pPr>
              <w:jc w:val="center"/>
            </w:pPr>
            <w:r>
              <w:rPr>
                <w:rFonts w:ascii="Aptos" w:hAnsi="Aptos"/>
                <w:b/>
                <w:color w:val="17365D"/>
                <w:sz w:val="18"/>
              </w:rPr>
              <w:t>Count</w:t>
            </w:r>
          </w:p>
        </w:tc>
        <w:tc>
          <w:tcPr>
            <w:tcW w:type="dxa" w:w="5760"/>
            <w:shd w:fill="D9EAF7"/>
            <w:vAlign w:val="center"/>
            <w:tcMar>
              <w:top w:w="80" w:type="dxa"/>
              <w:start w:w="120" w:type="dxa"/>
              <w:bottom w:w="80" w:type="dxa"/>
              <w:end w:w="120" w:type="dxa"/>
            </w:tcMar>
          </w:tcPr>
          <w:p>
            <w:pPr>
              <w:jc w:val="center"/>
            </w:pPr>
            <w:r>
              <w:rPr>
                <w:rFonts w:ascii="Aptos" w:hAnsi="Aptos"/>
                <w:b/>
                <w:color w:val="17365D"/>
                <w:sz w:val="18"/>
              </w:rPr>
              <w:t>Meaning</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8"/>
              </w:rPr>
              <w:t>Eligible numeric candidates</w:t>
            </w:r>
          </w:p>
        </w:tc>
        <w:tc>
          <w:tcPr>
            <w:tcW w:type="dxa" w:w="1400"/>
            <w:vAlign w:val="center"/>
            <w:tcMar>
              <w:top w:w="80" w:type="dxa"/>
              <w:start w:w="120" w:type="dxa"/>
              <w:bottom w:w="80" w:type="dxa"/>
              <w:end w:w="120" w:type="dxa"/>
            </w:tcMar>
          </w:tcPr>
          <w:p>
            <w:pPr>
              <w:spacing w:after="0"/>
              <w:jc w:val="center"/>
            </w:pPr>
            <w:r>
              <w:rPr>
                <w:rFonts w:ascii="Aptos" w:hAnsi="Aptos"/>
                <w:color w:val="252B33"/>
                <w:sz w:val="18"/>
              </w:rPr>
              <w:t>908</w:t>
            </w:r>
          </w:p>
        </w:tc>
        <w:tc>
          <w:tcPr>
            <w:tcW w:type="dxa" w:w="5760"/>
            <w:vAlign w:val="center"/>
            <w:tcMar>
              <w:top w:w="80" w:type="dxa"/>
              <w:start w:w="120" w:type="dxa"/>
              <w:bottom w:w="80" w:type="dxa"/>
              <w:end w:w="120" w:type="dxa"/>
            </w:tcMar>
          </w:tcPr>
          <w:p>
            <w:pPr>
              <w:spacing w:after="0"/>
              <w:jc w:val="left"/>
            </w:pPr>
            <w:r>
              <w:rPr>
                <w:rFonts w:ascii="Aptos" w:hAnsi="Aptos"/>
                <w:color w:val="252B33"/>
                <w:sz w:val="18"/>
              </w:rPr>
              <w:t>Passed 0.25% training coverage</w:t>
            </w:r>
          </w:p>
        </w:tc>
      </w:tr>
      <w:tr>
        <w:tc>
          <w:tcPr>
            <w:tcW w:type="dxa" w:w="2200"/>
            <w:shd w:fill="F8FAFC"/>
            <w:vAlign w:val="center"/>
            <w:tcMar>
              <w:top w:w="80" w:type="dxa"/>
              <w:start w:w="120" w:type="dxa"/>
              <w:bottom w:w="80" w:type="dxa"/>
              <w:end w:w="120" w:type="dxa"/>
            </w:tcMar>
          </w:tcPr>
          <w:p>
            <w:pPr>
              <w:spacing w:after="0"/>
              <w:jc w:val="left"/>
            </w:pPr>
            <w:r>
              <w:rPr>
                <w:rFonts w:ascii="Aptos" w:hAnsi="Aptos"/>
                <w:color w:val="252B33"/>
                <w:sz w:val="18"/>
              </w:rPr>
              <w:t>Selected numeric fields</w:t>
            </w:r>
          </w:p>
        </w:tc>
        <w:tc>
          <w:tcPr>
            <w:tcW w:type="dxa" w:w="1400"/>
            <w:shd w:fill="F8FAFC"/>
            <w:vAlign w:val="center"/>
            <w:tcMar>
              <w:top w:w="80" w:type="dxa"/>
              <w:start w:w="120" w:type="dxa"/>
              <w:bottom w:w="80" w:type="dxa"/>
              <w:end w:w="120" w:type="dxa"/>
            </w:tcMar>
          </w:tcPr>
          <w:p>
            <w:pPr>
              <w:spacing w:after="0"/>
              <w:jc w:val="center"/>
            </w:pPr>
            <w:r>
              <w:rPr>
                <w:rFonts w:ascii="Aptos" w:hAnsi="Aptos"/>
                <w:color w:val="252B33"/>
                <w:sz w:val="18"/>
              </w:rPr>
              <w:t>80</w:t>
            </w:r>
          </w:p>
        </w:tc>
        <w:tc>
          <w:tcPr>
            <w:tcW w:type="dxa" w:w="5760"/>
            <w:shd w:fill="F8FAFC"/>
            <w:vAlign w:val="center"/>
            <w:tcMar>
              <w:top w:w="80" w:type="dxa"/>
              <w:start w:w="120" w:type="dxa"/>
              <w:bottom w:w="80" w:type="dxa"/>
              <w:end w:w="120" w:type="dxa"/>
            </w:tcMar>
          </w:tcPr>
          <w:p>
            <w:pPr>
              <w:spacing w:after="0"/>
              <w:jc w:val="left"/>
            </w:pPr>
            <w:r>
              <w:rPr>
                <w:rFonts w:ascii="Aptos" w:hAnsi="Aptos"/>
                <w:color w:val="252B33"/>
                <w:sz w:val="18"/>
              </w:rPr>
              <w:t>Highest-ranked eligible numeric signals</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8"/>
              </w:rPr>
              <w:t>Categorical columns</w:t>
            </w:r>
          </w:p>
        </w:tc>
        <w:tc>
          <w:tcPr>
            <w:tcW w:type="dxa" w:w="1400"/>
            <w:vAlign w:val="center"/>
            <w:tcMar>
              <w:top w:w="80" w:type="dxa"/>
              <w:start w:w="120" w:type="dxa"/>
              <w:bottom w:w="80" w:type="dxa"/>
              <w:end w:w="120" w:type="dxa"/>
            </w:tcMar>
          </w:tcPr>
          <w:p>
            <w:pPr>
              <w:spacing w:after="0"/>
              <w:jc w:val="center"/>
            </w:pPr>
            <w:r>
              <w:rPr>
                <w:rFonts w:ascii="Aptos" w:hAnsi="Aptos"/>
                <w:color w:val="252B33"/>
                <w:sz w:val="18"/>
              </w:rPr>
              <w:t>20</w:t>
            </w:r>
          </w:p>
        </w:tc>
        <w:tc>
          <w:tcPr>
            <w:tcW w:type="dxa" w:w="5760"/>
            <w:vAlign w:val="center"/>
            <w:tcMar>
              <w:top w:w="80" w:type="dxa"/>
              <w:start w:w="120" w:type="dxa"/>
              <w:bottom w:w="80" w:type="dxa"/>
              <w:end w:w="120" w:type="dxa"/>
            </w:tcMar>
          </w:tcPr>
          <w:p>
            <w:pPr>
              <w:spacing w:after="0"/>
              <w:jc w:val="left"/>
            </w:pPr>
            <w:r>
              <w:rPr>
                <w:rFonts w:ascii="Aptos" w:hAnsi="Aptos"/>
                <w:color w:val="252B33"/>
                <w:sz w:val="18"/>
              </w:rPr>
              <w:t>Selected using training-only logic</w:t>
            </w:r>
          </w:p>
        </w:tc>
      </w:tr>
      <w:tr>
        <w:tc>
          <w:tcPr>
            <w:tcW w:type="dxa" w:w="2200"/>
            <w:shd w:fill="F8FAFC"/>
            <w:vAlign w:val="center"/>
            <w:tcMar>
              <w:top w:w="80" w:type="dxa"/>
              <w:start w:w="120" w:type="dxa"/>
              <w:bottom w:w="80" w:type="dxa"/>
              <w:end w:w="120" w:type="dxa"/>
            </w:tcMar>
          </w:tcPr>
          <w:p>
            <w:pPr>
              <w:spacing w:after="0"/>
              <w:jc w:val="left"/>
            </w:pPr>
            <w:r>
              <w:rPr>
                <w:rFonts w:ascii="Aptos" w:hAnsi="Aptos"/>
                <w:color w:val="252B33"/>
                <w:sz w:val="18"/>
              </w:rPr>
              <w:t>Retained one-hot levels</w:t>
            </w:r>
          </w:p>
        </w:tc>
        <w:tc>
          <w:tcPr>
            <w:tcW w:type="dxa" w:w="1400"/>
            <w:shd w:fill="F8FAFC"/>
            <w:vAlign w:val="center"/>
            <w:tcMar>
              <w:top w:w="80" w:type="dxa"/>
              <w:start w:w="120" w:type="dxa"/>
              <w:bottom w:w="80" w:type="dxa"/>
              <w:end w:w="120" w:type="dxa"/>
            </w:tcMar>
          </w:tcPr>
          <w:p>
            <w:pPr>
              <w:spacing w:after="0"/>
              <w:jc w:val="center"/>
            </w:pPr>
            <w:r>
              <w:rPr>
                <w:rFonts w:ascii="Aptos" w:hAnsi="Aptos"/>
                <w:color w:val="252B33"/>
                <w:sz w:val="18"/>
              </w:rPr>
              <w:t>50</w:t>
            </w:r>
          </w:p>
        </w:tc>
        <w:tc>
          <w:tcPr>
            <w:tcW w:type="dxa" w:w="5760"/>
            <w:shd w:fill="F8FAFC"/>
            <w:vAlign w:val="center"/>
            <w:tcMar>
              <w:top w:w="80" w:type="dxa"/>
              <w:start w:w="120" w:type="dxa"/>
              <w:bottom w:w="80" w:type="dxa"/>
              <w:end w:w="120" w:type="dxa"/>
            </w:tcMar>
          </w:tcPr>
          <w:p>
            <w:pPr>
              <w:spacing w:after="0"/>
              <w:jc w:val="left"/>
            </w:pPr>
            <w:r>
              <w:rPr>
                <w:rFonts w:ascii="Aptos" w:hAnsi="Aptos"/>
                <w:color w:val="252B33"/>
                <w:sz w:val="18"/>
              </w:rPr>
              <w:t>Supported categorical levels encoded for the model</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8"/>
              </w:rPr>
              <w:t>Final merged features</w:t>
            </w:r>
          </w:p>
        </w:tc>
        <w:tc>
          <w:tcPr>
            <w:tcW w:type="dxa" w:w="1400"/>
            <w:vAlign w:val="center"/>
            <w:tcMar>
              <w:top w:w="80" w:type="dxa"/>
              <w:start w:w="120" w:type="dxa"/>
              <w:bottom w:w="80" w:type="dxa"/>
              <w:end w:w="120" w:type="dxa"/>
            </w:tcMar>
          </w:tcPr>
          <w:p>
            <w:pPr>
              <w:spacing w:after="0"/>
              <w:jc w:val="center"/>
            </w:pPr>
            <w:r>
              <w:rPr>
                <w:rFonts w:ascii="Aptos" w:hAnsi="Aptos"/>
                <w:color w:val="252B33"/>
                <w:sz w:val="18"/>
              </w:rPr>
              <w:t>283</w:t>
            </w:r>
          </w:p>
        </w:tc>
        <w:tc>
          <w:tcPr>
            <w:tcW w:type="dxa" w:w="5760"/>
            <w:vAlign w:val="center"/>
            <w:tcMar>
              <w:top w:w="80" w:type="dxa"/>
              <w:start w:w="120" w:type="dxa"/>
              <w:bottom w:w="80" w:type="dxa"/>
              <w:end w:w="120" w:type="dxa"/>
            </w:tcMar>
          </w:tcPr>
          <w:p>
            <w:pPr>
              <w:spacing w:after="0"/>
              <w:jc w:val="left"/>
            </w:pPr>
            <w:r>
              <w:rPr>
                <w:rFonts w:ascii="Aptos" w:hAnsi="Aptos"/>
                <w:color w:val="252B33"/>
                <w:sz w:val="18"/>
              </w:rPr>
              <w:t>Actual columns supplied to model.fit</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3F6F9"/>
            <w:tcMar>
              <w:top w:w="80" w:type="dxa"/>
              <w:start w:w="120" w:type="dxa"/>
              <w:bottom w:w="80" w:type="dxa"/>
              <w:end w:w="120" w:type="dxa"/>
            </w:tcMar>
            <w:vAlign w:val="center"/>
          </w:tcPr>
          <w:p>
            <w:pPr>
              <w:spacing w:after="0"/>
            </w:pPr>
            <w:r>
              <w:rPr>
                <w:rFonts w:ascii="Aptos" w:hAnsi="Aptos"/>
                <w:b/>
                <w:color w:val="17365D"/>
              </w:rPr>
              <w:t xml:space="preserve">Why 283, not 323/325  </w:t>
            </w:r>
            <w:r>
              <w:rPr>
                <w:rFonts w:ascii="Aptos" w:hAnsi="Aptos"/>
                <w:color w:val="252B33"/>
              </w:rPr>
              <w:t>The clean pipeline learned category support from training rows only and retained fewer categorical one-hot levels. The numeric selection count remained 80; the completed model matrix is calculated dynamically and frozen at 283 columns.</w:t>
            </w:r>
          </w:p>
        </w:tc>
      </w:tr>
    </w:tbl>
    <w:p/>
    <w:p>
      <w:pPr>
        <w:pStyle w:val="Heading2"/>
      </w:pPr>
      <w:r>
        <w:t>Benchmark grid</w:t>
      </w:r>
    </w:p>
    <w:p>
      <w:r>
        <w:rPr>
          <w:rFonts w:ascii="Aptos" w:hAnsi="Aptos"/>
          <w:color w:val="252B33"/>
        </w:rPr>
        <w:t>The experiment tested split ratios 75/25, 80/20 and 90/10; numeric present-rate thresholds 0.001, 0.0025, 0.005, 0.01 and 0.02; and five model families. The final decision prioritized validation MCC, then reviewed PR-AUC, precision, recall, runtime and validation-set size.</w:t>
      </w:r>
    </w:p>
    <w:p>
      <w:pPr>
        <w:pStyle w:val="Heading1"/>
      </w:pPr>
      <w:r>
        <w:t>CHAPTER 78</w:t>
      </w:r>
    </w:p>
    <w:p>
      <w:pPr>
        <w:pStyle w:val="Heading1"/>
      </w:pPr>
      <w:r>
        <w:t>Advanced Supervised Model Comparison</w:t>
      </w:r>
    </w:p>
    <w:tbl>
      <w:tblPr>
        <w:tblStyle w:val="TableGrid"/>
        <w:tblW w:type="dxa" w:w="8360"/>
        <w:jc w:val="left"/>
        <w:tblLayout w:type="fixed"/>
        <w:tblLook w:firstColumn="1" w:firstRow="1" w:lastColumn="0" w:lastRow="0" w:noHBand="0" w:noVBand="1" w:val="04A0"/>
        <w:tblInd w:w="120" w:type="dxa"/>
      </w:tblPr>
      <w:tblGrid>
        <w:gridCol w:w="1450"/>
        <w:gridCol w:w="760"/>
        <w:gridCol w:w="850"/>
        <w:gridCol w:w="800"/>
        <w:gridCol w:w="800"/>
        <w:gridCol w:w="850"/>
        <w:gridCol w:w="950"/>
        <w:gridCol w:w="900"/>
        <w:gridCol w:w="1000"/>
      </w:tblGrid>
      <w:tr>
        <w:trPr>
          <w:tblHeader w:val="true"/>
        </w:trPr>
        <w:tc>
          <w:tcPr>
            <w:tcW w:type="dxa" w:w="1450"/>
            <w:shd w:fill="D9EAF7"/>
            <w:vAlign w:val="center"/>
            <w:tcMar>
              <w:top w:w="80" w:type="dxa"/>
              <w:start w:w="120" w:type="dxa"/>
              <w:bottom w:w="80" w:type="dxa"/>
              <w:end w:w="120" w:type="dxa"/>
            </w:tcMar>
          </w:tcPr>
          <w:p>
            <w:pPr>
              <w:jc w:val="center"/>
            </w:pPr>
            <w:r>
              <w:rPr>
                <w:rFonts w:ascii="Aptos" w:hAnsi="Aptos"/>
                <w:b/>
                <w:color w:val="17365D"/>
                <w:sz w:val="15"/>
              </w:rPr>
              <w:t>Model</w:t>
            </w:r>
          </w:p>
        </w:tc>
        <w:tc>
          <w:tcPr>
            <w:tcW w:type="dxa" w:w="760"/>
            <w:shd w:fill="D9EAF7"/>
            <w:vAlign w:val="center"/>
            <w:tcMar>
              <w:top w:w="80" w:type="dxa"/>
              <w:start w:w="120" w:type="dxa"/>
              <w:bottom w:w="80" w:type="dxa"/>
              <w:end w:w="120" w:type="dxa"/>
            </w:tcMar>
          </w:tcPr>
          <w:p>
            <w:pPr>
              <w:jc w:val="center"/>
            </w:pPr>
            <w:r>
              <w:rPr>
                <w:rFonts w:ascii="Aptos" w:hAnsi="Aptos"/>
                <w:b/>
                <w:color w:val="17365D"/>
                <w:sz w:val="15"/>
              </w:rPr>
              <w:t>Split</w:t>
            </w:r>
          </w:p>
        </w:tc>
        <w:tc>
          <w:tcPr>
            <w:tcW w:type="dxa" w:w="850"/>
            <w:shd w:fill="D9EAF7"/>
            <w:vAlign w:val="center"/>
            <w:tcMar>
              <w:top w:w="80" w:type="dxa"/>
              <w:start w:w="120" w:type="dxa"/>
              <w:bottom w:w="80" w:type="dxa"/>
              <w:end w:w="120" w:type="dxa"/>
            </w:tcMar>
          </w:tcPr>
          <w:p>
            <w:pPr>
              <w:jc w:val="center"/>
            </w:pPr>
            <w:r>
              <w:rPr>
                <w:rFonts w:ascii="Aptos" w:hAnsi="Aptos"/>
                <w:b/>
                <w:color w:val="17365D"/>
                <w:sz w:val="15"/>
              </w:rPr>
              <w:t>Present</w:t>
            </w:r>
          </w:p>
        </w:tc>
        <w:tc>
          <w:tcPr>
            <w:tcW w:type="dxa" w:w="800"/>
            <w:shd w:fill="D9EAF7"/>
            <w:vAlign w:val="center"/>
            <w:tcMar>
              <w:top w:w="80" w:type="dxa"/>
              <w:start w:w="120" w:type="dxa"/>
              <w:bottom w:w="80" w:type="dxa"/>
              <w:end w:w="120" w:type="dxa"/>
            </w:tcMar>
          </w:tcPr>
          <w:p>
            <w:pPr>
              <w:jc w:val="center"/>
            </w:pPr>
            <w:r>
              <w:rPr>
                <w:rFonts w:ascii="Aptos" w:hAnsi="Aptos"/>
                <w:b/>
                <w:color w:val="17365D"/>
                <w:sz w:val="15"/>
              </w:rPr>
              <w:t>Features</w:t>
            </w:r>
          </w:p>
        </w:tc>
        <w:tc>
          <w:tcPr>
            <w:tcW w:type="dxa" w:w="800"/>
            <w:shd w:fill="D9EAF7"/>
            <w:vAlign w:val="center"/>
            <w:tcMar>
              <w:top w:w="80" w:type="dxa"/>
              <w:start w:w="120" w:type="dxa"/>
              <w:bottom w:w="80" w:type="dxa"/>
              <w:end w:w="120" w:type="dxa"/>
            </w:tcMar>
          </w:tcPr>
          <w:p>
            <w:pPr>
              <w:jc w:val="center"/>
            </w:pPr>
            <w:r>
              <w:rPr>
                <w:rFonts w:ascii="Aptos" w:hAnsi="Aptos"/>
                <w:b/>
                <w:color w:val="17365D"/>
                <w:sz w:val="15"/>
              </w:rPr>
              <w:t>MCC</w:t>
            </w:r>
          </w:p>
        </w:tc>
        <w:tc>
          <w:tcPr>
            <w:tcW w:type="dxa" w:w="850"/>
            <w:shd w:fill="D9EAF7"/>
            <w:vAlign w:val="center"/>
            <w:tcMar>
              <w:top w:w="80" w:type="dxa"/>
              <w:start w:w="120" w:type="dxa"/>
              <w:bottom w:w="80" w:type="dxa"/>
              <w:end w:w="120" w:type="dxa"/>
            </w:tcMar>
          </w:tcPr>
          <w:p>
            <w:pPr>
              <w:jc w:val="center"/>
            </w:pPr>
            <w:r>
              <w:rPr>
                <w:rFonts w:ascii="Aptos" w:hAnsi="Aptos"/>
                <w:b/>
                <w:color w:val="17365D"/>
                <w:sz w:val="15"/>
              </w:rPr>
              <w:t>PR-AUC</w:t>
            </w:r>
          </w:p>
        </w:tc>
        <w:tc>
          <w:tcPr>
            <w:tcW w:type="dxa" w:w="950"/>
            <w:shd w:fill="D9EAF7"/>
            <w:vAlign w:val="center"/>
            <w:tcMar>
              <w:top w:w="80" w:type="dxa"/>
              <w:start w:w="120" w:type="dxa"/>
              <w:bottom w:w="80" w:type="dxa"/>
              <w:end w:w="120" w:type="dxa"/>
            </w:tcMar>
          </w:tcPr>
          <w:p>
            <w:pPr>
              <w:jc w:val="center"/>
            </w:pPr>
            <w:r>
              <w:rPr>
                <w:rFonts w:ascii="Aptos" w:hAnsi="Aptos"/>
                <w:b/>
                <w:color w:val="17365D"/>
                <w:sz w:val="15"/>
              </w:rPr>
              <w:t>Precision</w:t>
            </w:r>
          </w:p>
        </w:tc>
        <w:tc>
          <w:tcPr>
            <w:tcW w:type="dxa" w:w="900"/>
            <w:shd w:fill="D9EAF7"/>
            <w:vAlign w:val="center"/>
            <w:tcMar>
              <w:top w:w="80" w:type="dxa"/>
              <w:start w:w="120" w:type="dxa"/>
              <w:bottom w:w="80" w:type="dxa"/>
              <w:end w:w="120" w:type="dxa"/>
            </w:tcMar>
          </w:tcPr>
          <w:p>
            <w:pPr>
              <w:jc w:val="center"/>
            </w:pPr>
            <w:r>
              <w:rPr>
                <w:rFonts w:ascii="Aptos" w:hAnsi="Aptos"/>
                <w:b/>
                <w:color w:val="17365D"/>
                <w:sz w:val="15"/>
              </w:rPr>
              <w:t>Recall</w:t>
            </w:r>
          </w:p>
        </w:tc>
        <w:tc>
          <w:tcPr>
            <w:tcW w:type="dxa" w:w="1000"/>
            <w:shd w:fill="D9EAF7"/>
            <w:vAlign w:val="center"/>
            <w:tcMar>
              <w:top w:w="80" w:type="dxa"/>
              <w:start w:w="120" w:type="dxa"/>
              <w:bottom w:w="80" w:type="dxa"/>
              <w:end w:w="120" w:type="dxa"/>
            </w:tcMar>
          </w:tcPr>
          <w:p>
            <w:pPr>
              <w:jc w:val="center"/>
            </w:pPr>
            <w:r>
              <w:rPr>
                <w:rFonts w:ascii="Aptos" w:hAnsi="Aptos"/>
                <w:b/>
                <w:color w:val="17365D"/>
                <w:sz w:val="15"/>
              </w:rPr>
              <w:t>Runtime</w:t>
            </w:r>
          </w:p>
        </w:tc>
      </w:tr>
      <w:tr>
        <w:tc>
          <w:tcPr>
            <w:tcW w:type="dxa" w:w="1450"/>
            <w:vAlign w:val="center"/>
            <w:tcMar>
              <w:top w:w="80" w:type="dxa"/>
              <w:start w:w="120" w:type="dxa"/>
              <w:bottom w:w="80" w:type="dxa"/>
              <w:end w:w="120" w:type="dxa"/>
            </w:tcMar>
          </w:tcPr>
          <w:p>
            <w:pPr>
              <w:spacing w:after="0"/>
              <w:jc w:val="left"/>
            </w:pPr>
            <w:r>
              <w:rPr>
                <w:rFonts w:ascii="Aptos" w:hAnsi="Aptos"/>
                <w:color w:val="252B33"/>
                <w:sz w:val="15"/>
              </w:rPr>
              <w:t>LightGBM</w:t>
            </w:r>
          </w:p>
        </w:tc>
        <w:tc>
          <w:tcPr>
            <w:tcW w:type="dxa" w:w="760"/>
            <w:vAlign w:val="center"/>
            <w:tcMar>
              <w:top w:w="80" w:type="dxa"/>
              <w:start w:w="120" w:type="dxa"/>
              <w:bottom w:w="80" w:type="dxa"/>
              <w:end w:w="120" w:type="dxa"/>
            </w:tcMar>
          </w:tcPr>
          <w:p>
            <w:pPr>
              <w:spacing w:after="0"/>
              <w:jc w:val="center"/>
            </w:pPr>
            <w:r>
              <w:rPr>
                <w:rFonts w:ascii="Aptos" w:hAnsi="Aptos"/>
                <w:color w:val="252B33"/>
                <w:sz w:val="15"/>
              </w:rPr>
              <w:t>80/20</w:t>
            </w:r>
          </w:p>
        </w:tc>
        <w:tc>
          <w:tcPr>
            <w:tcW w:type="dxa" w:w="850"/>
            <w:vAlign w:val="center"/>
            <w:tcMar>
              <w:top w:w="80" w:type="dxa"/>
              <w:start w:w="120" w:type="dxa"/>
              <w:bottom w:w="80" w:type="dxa"/>
              <w:end w:w="120" w:type="dxa"/>
            </w:tcMar>
          </w:tcPr>
          <w:p>
            <w:pPr>
              <w:spacing w:after="0"/>
              <w:jc w:val="center"/>
            </w:pPr>
            <w:r>
              <w:rPr>
                <w:rFonts w:ascii="Aptos" w:hAnsi="Aptos"/>
                <w:color w:val="252B33"/>
                <w:sz w:val="15"/>
              </w:rPr>
              <w:t>0.0025</w:t>
            </w:r>
          </w:p>
        </w:tc>
        <w:tc>
          <w:tcPr>
            <w:tcW w:type="dxa" w:w="800"/>
            <w:vAlign w:val="center"/>
            <w:tcMar>
              <w:top w:w="80" w:type="dxa"/>
              <w:start w:w="120" w:type="dxa"/>
              <w:bottom w:w="80" w:type="dxa"/>
              <w:end w:w="120" w:type="dxa"/>
            </w:tcMar>
          </w:tcPr>
          <w:p>
            <w:pPr>
              <w:spacing w:after="0"/>
              <w:jc w:val="center"/>
            </w:pPr>
            <w:r>
              <w:rPr>
                <w:rFonts w:ascii="Aptos" w:hAnsi="Aptos"/>
                <w:color w:val="252B33"/>
                <w:sz w:val="15"/>
              </w:rPr>
              <w:t>283</w:t>
            </w:r>
          </w:p>
        </w:tc>
        <w:tc>
          <w:tcPr>
            <w:tcW w:type="dxa" w:w="800"/>
            <w:vAlign w:val="center"/>
            <w:tcMar>
              <w:top w:w="80" w:type="dxa"/>
              <w:start w:w="120" w:type="dxa"/>
              <w:bottom w:w="80" w:type="dxa"/>
              <w:end w:w="120" w:type="dxa"/>
            </w:tcMar>
          </w:tcPr>
          <w:p>
            <w:pPr>
              <w:spacing w:after="0"/>
              <w:jc w:val="center"/>
            </w:pPr>
            <w:r>
              <w:rPr>
                <w:rFonts w:ascii="Aptos" w:hAnsi="Aptos"/>
                <w:color w:val="252B33"/>
                <w:sz w:val="15"/>
              </w:rPr>
              <w:t>0.2102</w:t>
            </w:r>
          </w:p>
        </w:tc>
        <w:tc>
          <w:tcPr>
            <w:tcW w:type="dxa" w:w="850"/>
            <w:vAlign w:val="center"/>
            <w:tcMar>
              <w:top w:w="80" w:type="dxa"/>
              <w:start w:w="120" w:type="dxa"/>
              <w:bottom w:w="80" w:type="dxa"/>
              <w:end w:w="120" w:type="dxa"/>
            </w:tcMar>
          </w:tcPr>
          <w:p>
            <w:pPr>
              <w:spacing w:after="0"/>
              <w:jc w:val="center"/>
            </w:pPr>
            <w:r>
              <w:rPr>
                <w:rFonts w:ascii="Aptos" w:hAnsi="Aptos"/>
                <w:color w:val="252B33"/>
                <w:sz w:val="15"/>
              </w:rPr>
              <w:t>0.1271</w:t>
            </w:r>
          </w:p>
        </w:tc>
        <w:tc>
          <w:tcPr>
            <w:tcW w:type="dxa" w:w="950"/>
            <w:vAlign w:val="center"/>
            <w:tcMar>
              <w:top w:w="80" w:type="dxa"/>
              <w:start w:w="120" w:type="dxa"/>
              <w:bottom w:w="80" w:type="dxa"/>
              <w:end w:w="120" w:type="dxa"/>
            </w:tcMar>
          </w:tcPr>
          <w:p>
            <w:pPr>
              <w:spacing w:after="0"/>
              <w:jc w:val="center"/>
            </w:pPr>
            <w:r>
              <w:rPr>
                <w:rFonts w:ascii="Aptos" w:hAnsi="Aptos"/>
                <w:color w:val="252B33"/>
                <w:sz w:val="15"/>
              </w:rPr>
              <w:t>21.52%</w:t>
            </w:r>
          </w:p>
        </w:tc>
        <w:tc>
          <w:tcPr>
            <w:tcW w:type="dxa" w:w="900"/>
            <w:vAlign w:val="center"/>
            <w:tcMar>
              <w:top w:w="80" w:type="dxa"/>
              <w:start w:w="120" w:type="dxa"/>
              <w:bottom w:w="80" w:type="dxa"/>
              <w:end w:w="120" w:type="dxa"/>
            </w:tcMar>
          </w:tcPr>
          <w:p>
            <w:pPr>
              <w:spacing w:after="0"/>
              <w:jc w:val="center"/>
            </w:pPr>
            <w:r>
              <w:rPr>
                <w:rFonts w:ascii="Aptos" w:hAnsi="Aptos"/>
                <w:color w:val="252B33"/>
                <w:sz w:val="15"/>
              </w:rPr>
              <w:t>21.44%</w:t>
            </w:r>
          </w:p>
        </w:tc>
        <w:tc>
          <w:tcPr>
            <w:tcW w:type="dxa" w:w="1000"/>
            <w:vAlign w:val="center"/>
            <w:tcMar>
              <w:top w:w="80" w:type="dxa"/>
              <w:start w:w="120" w:type="dxa"/>
              <w:bottom w:w="80" w:type="dxa"/>
              <w:end w:w="120" w:type="dxa"/>
            </w:tcMar>
          </w:tcPr>
          <w:p>
            <w:pPr>
              <w:spacing w:after="0"/>
              <w:jc w:val="center"/>
            </w:pPr>
            <w:r>
              <w:rPr>
                <w:rFonts w:ascii="Aptos" w:hAnsi="Aptos"/>
                <w:color w:val="252B33"/>
                <w:sz w:val="15"/>
              </w:rPr>
              <w:t>99.6s</w:t>
            </w:r>
          </w:p>
        </w:tc>
      </w:tr>
      <w:tr>
        <w:tc>
          <w:tcPr>
            <w:tcW w:type="dxa" w:w="1450"/>
            <w:shd w:fill="F8FAFC"/>
            <w:vAlign w:val="center"/>
            <w:tcMar>
              <w:top w:w="80" w:type="dxa"/>
              <w:start w:w="120" w:type="dxa"/>
              <w:bottom w:w="80" w:type="dxa"/>
              <w:end w:w="120" w:type="dxa"/>
            </w:tcMar>
          </w:tcPr>
          <w:p>
            <w:pPr>
              <w:spacing w:after="0"/>
              <w:jc w:val="left"/>
            </w:pPr>
            <w:r>
              <w:rPr>
                <w:rFonts w:ascii="Aptos" w:hAnsi="Aptos"/>
                <w:color w:val="252B33"/>
                <w:sz w:val="15"/>
              </w:rPr>
              <w:t>Random Forest</w:t>
            </w:r>
          </w:p>
        </w:tc>
        <w:tc>
          <w:tcPr>
            <w:tcW w:type="dxa" w:w="760"/>
            <w:shd w:fill="F8FAFC"/>
            <w:vAlign w:val="center"/>
            <w:tcMar>
              <w:top w:w="80" w:type="dxa"/>
              <w:start w:w="120" w:type="dxa"/>
              <w:bottom w:w="80" w:type="dxa"/>
              <w:end w:w="120" w:type="dxa"/>
            </w:tcMar>
          </w:tcPr>
          <w:p>
            <w:pPr>
              <w:spacing w:after="0"/>
              <w:jc w:val="center"/>
            </w:pPr>
            <w:r>
              <w:rPr>
                <w:rFonts w:ascii="Aptos" w:hAnsi="Aptos"/>
                <w:color w:val="252B33"/>
                <w:sz w:val="15"/>
              </w:rPr>
              <w:t>90/10</w:t>
            </w:r>
          </w:p>
        </w:tc>
        <w:tc>
          <w:tcPr>
            <w:tcW w:type="dxa" w:w="850"/>
            <w:shd w:fill="F8FAFC"/>
            <w:vAlign w:val="center"/>
            <w:tcMar>
              <w:top w:w="80" w:type="dxa"/>
              <w:start w:w="120" w:type="dxa"/>
              <w:bottom w:w="80" w:type="dxa"/>
              <w:end w:w="120" w:type="dxa"/>
            </w:tcMar>
          </w:tcPr>
          <w:p>
            <w:pPr>
              <w:spacing w:after="0"/>
              <w:jc w:val="center"/>
            </w:pPr>
            <w:r>
              <w:rPr>
                <w:rFonts w:ascii="Aptos" w:hAnsi="Aptos"/>
                <w:color w:val="252B33"/>
                <w:sz w:val="15"/>
              </w:rPr>
              <w:t>0.0200</w:t>
            </w:r>
          </w:p>
        </w:tc>
        <w:tc>
          <w:tcPr>
            <w:tcW w:type="dxa" w:w="800"/>
            <w:shd w:fill="F8FAFC"/>
            <w:vAlign w:val="center"/>
            <w:tcMar>
              <w:top w:w="80" w:type="dxa"/>
              <w:start w:w="120" w:type="dxa"/>
              <w:bottom w:w="80" w:type="dxa"/>
              <w:end w:w="120" w:type="dxa"/>
            </w:tcMar>
          </w:tcPr>
          <w:p>
            <w:pPr>
              <w:spacing w:after="0"/>
              <w:jc w:val="center"/>
            </w:pPr>
            <w:r>
              <w:rPr>
                <w:rFonts w:ascii="Aptos" w:hAnsi="Aptos"/>
                <w:color w:val="252B33"/>
                <w:sz w:val="15"/>
              </w:rPr>
              <w:t>283</w:t>
            </w:r>
          </w:p>
        </w:tc>
        <w:tc>
          <w:tcPr>
            <w:tcW w:type="dxa" w:w="800"/>
            <w:shd w:fill="F8FAFC"/>
            <w:vAlign w:val="center"/>
            <w:tcMar>
              <w:top w:w="80" w:type="dxa"/>
              <w:start w:w="120" w:type="dxa"/>
              <w:bottom w:w="80" w:type="dxa"/>
              <w:end w:w="120" w:type="dxa"/>
            </w:tcMar>
          </w:tcPr>
          <w:p>
            <w:pPr>
              <w:spacing w:after="0"/>
              <w:jc w:val="center"/>
            </w:pPr>
            <w:r>
              <w:rPr>
                <w:rFonts w:ascii="Aptos" w:hAnsi="Aptos"/>
                <w:color w:val="252B33"/>
                <w:sz w:val="15"/>
              </w:rPr>
              <w:t>0.2089</w:t>
            </w:r>
          </w:p>
        </w:tc>
        <w:tc>
          <w:tcPr>
            <w:tcW w:type="dxa" w:w="850"/>
            <w:shd w:fill="F8FAFC"/>
            <w:vAlign w:val="center"/>
            <w:tcMar>
              <w:top w:w="80" w:type="dxa"/>
              <w:start w:w="120" w:type="dxa"/>
              <w:bottom w:w="80" w:type="dxa"/>
              <w:end w:w="120" w:type="dxa"/>
            </w:tcMar>
          </w:tcPr>
          <w:p>
            <w:pPr>
              <w:spacing w:after="0"/>
              <w:jc w:val="center"/>
            </w:pPr>
            <w:r>
              <w:rPr>
                <w:rFonts w:ascii="Aptos" w:hAnsi="Aptos"/>
                <w:color w:val="252B33"/>
                <w:sz w:val="15"/>
              </w:rPr>
              <w:t>0.1009</w:t>
            </w:r>
          </w:p>
        </w:tc>
        <w:tc>
          <w:tcPr>
            <w:tcW w:type="dxa" w:w="950"/>
            <w:shd w:fill="F8FAFC"/>
            <w:vAlign w:val="center"/>
            <w:tcMar>
              <w:top w:w="80" w:type="dxa"/>
              <w:start w:w="120" w:type="dxa"/>
              <w:bottom w:w="80" w:type="dxa"/>
              <w:end w:w="120" w:type="dxa"/>
            </w:tcMar>
          </w:tcPr>
          <w:p>
            <w:pPr>
              <w:spacing w:after="0"/>
              <w:jc w:val="center"/>
            </w:pPr>
            <w:r>
              <w:rPr>
                <w:rFonts w:ascii="Aptos" w:hAnsi="Aptos"/>
                <w:color w:val="252B33"/>
                <w:sz w:val="15"/>
              </w:rPr>
              <w:t>21.75%</w:t>
            </w:r>
          </w:p>
        </w:tc>
        <w:tc>
          <w:tcPr>
            <w:tcW w:type="dxa" w:w="900"/>
            <w:shd w:fill="F8FAFC"/>
            <w:vAlign w:val="center"/>
            <w:tcMar>
              <w:top w:w="80" w:type="dxa"/>
              <w:start w:w="120" w:type="dxa"/>
              <w:bottom w:w="80" w:type="dxa"/>
              <w:end w:w="120" w:type="dxa"/>
            </w:tcMar>
          </w:tcPr>
          <w:p>
            <w:pPr>
              <w:spacing w:after="0"/>
              <w:jc w:val="center"/>
            </w:pPr>
            <w:r>
              <w:rPr>
                <w:rFonts w:ascii="Aptos" w:hAnsi="Aptos"/>
                <w:color w:val="252B33"/>
                <w:sz w:val="15"/>
              </w:rPr>
              <w:t>20.93%</w:t>
            </w:r>
          </w:p>
        </w:tc>
        <w:tc>
          <w:tcPr>
            <w:tcW w:type="dxa" w:w="1000"/>
            <w:shd w:fill="F8FAFC"/>
            <w:vAlign w:val="center"/>
            <w:tcMar>
              <w:top w:w="80" w:type="dxa"/>
              <w:start w:w="120" w:type="dxa"/>
              <w:bottom w:w="80" w:type="dxa"/>
              <w:end w:w="120" w:type="dxa"/>
            </w:tcMar>
          </w:tcPr>
          <w:p>
            <w:pPr>
              <w:spacing w:after="0"/>
              <w:jc w:val="center"/>
            </w:pPr>
            <w:r>
              <w:rPr>
                <w:rFonts w:ascii="Aptos" w:hAnsi="Aptos"/>
                <w:color w:val="252B33"/>
                <w:sz w:val="15"/>
              </w:rPr>
              <w:t>159.2s</w:t>
            </w:r>
          </w:p>
        </w:tc>
      </w:tr>
      <w:tr>
        <w:tc>
          <w:tcPr>
            <w:tcW w:type="dxa" w:w="1450"/>
            <w:vAlign w:val="center"/>
            <w:tcMar>
              <w:top w:w="80" w:type="dxa"/>
              <w:start w:w="120" w:type="dxa"/>
              <w:bottom w:w="80" w:type="dxa"/>
              <w:end w:w="120" w:type="dxa"/>
            </w:tcMar>
          </w:tcPr>
          <w:p>
            <w:pPr>
              <w:spacing w:after="0"/>
              <w:jc w:val="left"/>
            </w:pPr>
            <w:r>
              <w:rPr>
                <w:rFonts w:ascii="Aptos" w:hAnsi="Aptos"/>
                <w:color w:val="252B33"/>
                <w:sz w:val="15"/>
              </w:rPr>
              <w:t>XGBoost</w:t>
            </w:r>
          </w:p>
        </w:tc>
        <w:tc>
          <w:tcPr>
            <w:tcW w:type="dxa" w:w="760"/>
            <w:vAlign w:val="center"/>
            <w:tcMar>
              <w:top w:w="80" w:type="dxa"/>
              <w:start w:w="120" w:type="dxa"/>
              <w:bottom w:w="80" w:type="dxa"/>
              <w:end w:w="120" w:type="dxa"/>
            </w:tcMar>
          </w:tcPr>
          <w:p>
            <w:pPr>
              <w:spacing w:after="0"/>
              <w:jc w:val="center"/>
            </w:pPr>
            <w:r>
              <w:rPr>
                <w:rFonts w:ascii="Aptos" w:hAnsi="Aptos"/>
                <w:color w:val="252B33"/>
                <w:sz w:val="15"/>
              </w:rPr>
              <w:t>90/10</w:t>
            </w:r>
          </w:p>
        </w:tc>
        <w:tc>
          <w:tcPr>
            <w:tcW w:type="dxa" w:w="850"/>
            <w:vAlign w:val="center"/>
            <w:tcMar>
              <w:top w:w="80" w:type="dxa"/>
              <w:start w:w="120" w:type="dxa"/>
              <w:bottom w:w="80" w:type="dxa"/>
              <w:end w:w="120" w:type="dxa"/>
            </w:tcMar>
          </w:tcPr>
          <w:p>
            <w:pPr>
              <w:spacing w:after="0"/>
              <w:jc w:val="center"/>
            </w:pPr>
            <w:r>
              <w:rPr>
                <w:rFonts w:ascii="Aptos" w:hAnsi="Aptos"/>
                <w:color w:val="252B33"/>
                <w:sz w:val="15"/>
              </w:rPr>
              <w:t>0.0200</w:t>
            </w:r>
          </w:p>
        </w:tc>
        <w:tc>
          <w:tcPr>
            <w:tcW w:type="dxa" w:w="800"/>
            <w:vAlign w:val="center"/>
            <w:tcMar>
              <w:top w:w="80" w:type="dxa"/>
              <w:start w:w="120" w:type="dxa"/>
              <w:bottom w:w="80" w:type="dxa"/>
              <w:end w:w="120" w:type="dxa"/>
            </w:tcMar>
          </w:tcPr>
          <w:p>
            <w:pPr>
              <w:spacing w:after="0"/>
              <w:jc w:val="center"/>
            </w:pPr>
            <w:r>
              <w:rPr>
                <w:rFonts w:ascii="Aptos" w:hAnsi="Aptos"/>
                <w:color w:val="252B33"/>
                <w:sz w:val="15"/>
              </w:rPr>
              <w:t>283</w:t>
            </w:r>
          </w:p>
        </w:tc>
        <w:tc>
          <w:tcPr>
            <w:tcW w:type="dxa" w:w="800"/>
            <w:vAlign w:val="center"/>
            <w:tcMar>
              <w:top w:w="80" w:type="dxa"/>
              <w:start w:w="120" w:type="dxa"/>
              <w:bottom w:w="80" w:type="dxa"/>
              <w:end w:w="120" w:type="dxa"/>
            </w:tcMar>
          </w:tcPr>
          <w:p>
            <w:pPr>
              <w:spacing w:after="0"/>
              <w:jc w:val="center"/>
            </w:pPr>
            <w:r>
              <w:rPr>
                <w:rFonts w:ascii="Aptos" w:hAnsi="Aptos"/>
                <w:color w:val="252B33"/>
                <w:sz w:val="15"/>
              </w:rPr>
              <w:t>0.2023</w:t>
            </w:r>
          </w:p>
        </w:tc>
        <w:tc>
          <w:tcPr>
            <w:tcW w:type="dxa" w:w="850"/>
            <w:vAlign w:val="center"/>
            <w:tcMar>
              <w:top w:w="80" w:type="dxa"/>
              <w:start w:w="120" w:type="dxa"/>
              <w:bottom w:w="80" w:type="dxa"/>
              <w:end w:w="120" w:type="dxa"/>
            </w:tcMar>
          </w:tcPr>
          <w:p>
            <w:pPr>
              <w:spacing w:after="0"/>
              <w:jc w:val="center"/>
            </w:pPr>
            <w:r>
              <w:rPr>
                <w:rFonts w:ascii="Aptos" w:hAnsi="Aptos"/>
                <w:color w:val="252B33"/>
                <w:sz w:val="15"/>
              </w:rPr>
              <w:t>0.1161</w:t>
            </w:r>
          </w:p>
        </w:tc>
        <w:tc>
          <w:tcPr>
            <w:tcW w:type="dxa" w:w="950"/>
            <w:vAlign w:val="center"/>
            <w:tcMar>
              <w:top w:w="80" w:type="dxa"/>
              <w:start w:w="120" w:type="dxa"/>
              <w:bottom w:w="80" w:type="dxa"/>
              <w:end w:w="120" w:type="dxa"/>
            </w:tcMar>
          </w:tcPr>
          <w:p>
            <w:pPr>
              <w:spacing w:after="0"/>
              <w:jc w:val="center"/>
            </w:pPr>
            <w:r>
              <w:rPr>
                <w:rFonts w:ascii="Aptos" w:hAnsi="Aptos"/>
                <w:color w:val="252B33"/>
                <w:sz w:val="15"/>
              </w:rPr>
              <w:t>20.61%</w:t>
            </w:r>
          </w:p>
        </w:tc>
        <w:tc>
          <w:tcPr>
            <w:tcW w:type="dxa" w:w="900"/>
            <w:vAlign w:val="center"/>
            <w:tcMar>
              <w:top w:w="80" w:type="dxa"/>
              <w:start w:w="120" w:type="dxa"/>
              <w:bottom w:w="80" w:type="dxa"/>
              <w:end w:w="120" w:type="dxa"/>
            </w:tcMar>
          </w:tcPr>
          <w:p>
            <w:pPr>
              <w:spacing w:after="0"/>
              <w:jc w:val="center"/>
            </w:pPr>
            <w:r>
              <w:rPr>
                <w:rFonts w:ascii="Aptos" w:hAnsi="Aptos"/>
                <w:color w:val="252B33"/>
                <w:sz w:val="15"/>
              </w:rPr>
              <w:t>20.78%</w:t>
            </w:r>
          </w:p>
        </w:tc>
        <w:tc>
          <w:tcPr>
            <w:tcW w:type="dxa" w:w="1000"/>
            <w:vAlign w:val="center"/>
            <w:tcMar>
              <w:top w:w="80" w:type="dxa"/>
              <w:start w:w="120" w:type="dxa"/>
              <w:bottom w:w="80" w:type="dxa"/>
              <w:end w:w="120" w:type="dxa"/>
            </w:tcMar>
          </w:tcPr>
          <w:p>
            <w:pPr>
              <w:spacing w:after="0"/>
              <w:jc w:val="center"/>
            </w:pPr>
            <w:r>
              <w:rPr>
                <w:rFonts w:ascii="Aptos" w:hAnsi="Aptos"/>
                <w:color w:val="252B33"/>
                <w:sz w:val="15"/>
              </w:rPr>
              <w:t>91.3s</w:t>
            </w:r>
          </w:p>
        </w:tc>
      </w:tr>
      <w:tr>
        <w:tc>
          <w:tcPr>
            <w:tcW w:type="dxa" w:w="1450"/>
            <w:shd w:fill="F8FAFC"/>
            <w:vAlign w:val="center"/>
            <w:tcMar>
              <w:top w:w="80" w:type="dxa"/>
              <w:start w:w="120" w:type="dxa"/>
              <w:bottom w:w="80" w:type="dxa"/>
              <w:end w:w="120" w:type="dxa"/>
            </w:tcMar>
          </w:tcPr>
          <w:p>
            <w:pPr>
              <w:spacing w:after="0"/>
              <w:jc w:val="left"/>
            </w:pPr>
            <w:r>
              <w:rPr>
                <w:rFonts w:ascii="Aptos" w:hAnsi="Aptos"/>
                <w:color w:val="252B33"/>
                <w:sz w:val="15"/>
              </w:rPr>
              <w:t>Logistic Regression</w:t>
            </w:r>
          </w:p>
        </w:tc>
        <w:tc>
          <w:tcPr>
            <w:tcW w:type="dxa" w:w="760"/>
            <w:shd w:fill="F8FAFC"/>
            <w:vAlign w:val="center"/>
            <w:tcMar>
              <w:top w:w="80" w:type="dxa"/>
              <w:start w:w="120" w:type="dxa"/>
              <w:bottom w:w="80" w:type="dxa"/>
              <w:end w:w="120" w:type="dxa"/>
            </w:tcMar>
          </w:tcPr>
          <w:p>
            <w:pPr>
              <w:spacing w:after="0"/>
              <w:jc w:val="center"/>
            </w:pPr>
            <w:r>
              <w:rPr>
                <w:rFonts w:ascii="Aptos" w:hAnsi="Aptos"/>
                <w:color w:val="252B33"/>
                <w:sz w:val="15"/>
              </w:rPr>
              <w:t>80/20</w:t>
            </w:r>
          </w:p>
        </w:tc>
        <w:tc>
          <w:tcPr>
            <w:tcW w:type="dxa" w:w="850"/>
            <w:shd w:fill="F8FAFC"/>
            <w:vAlign w:val="center"/>
            <w:tcMar>
              <w:top w:w="80" w:type="dxa"/>
              <w:start w:w="120" w:type="dxa"/>
              <w:bottom w:w="80" w:type="dxa"/>
              <w:end w:w="120" w:type="dxa"/>
            </w:tcMar>
          </w:tcPr>
          <w:p>
            <w:pPr>
              <w:spacing w:after="0"/>
              <w:jc w:val="center"/>
            </w:pPr>
            <w:r>
              <w:rPr>
                <w:rFonts w:ascii="Aptos" w:hAnsi="Aptos"/>
                <w:color w:val="252B33"/>
                <w:sz w:val="15"/>
              </w:rPr>
              <w:t>0.0100</w:t>
            </w:r>
          </w:p>
        </w:tc>
        <w:tc>
          <w:tcPr>
            <w:tcW w:type="dxa" w:w="800"/>
            <w:shd w:fill="F8FAFC"/>
            <w:vAlign w:val="center"/>
            <w:tcMar>
              <w:top w:w="80" w:type="dxa"/>
              <w:start w:w="120" w:type="dxa"/>
              <w:bottom w:w="80" w:type="dxa"/>
              <w:end w:w="120" w:type="dxa"/>
            </w:tcMar>
          </w:tcPr>
          <w:p>
            <w:pPr>
              <w:spacing w:after="0"/>
              <w:jc w:val="center"/>
            </w:pPr>
            <w:r>
              <w:rPr>
                <w:rFonts w:ascii="Aptos" w:hAnsi="Aptos"/>
                <w:color w:val="252B33"/>
                <w:sz w:val="15"/>
              </w:rPr>
              <w:t>283</w:t>
            </w:r>
          </w:p>
        </w:tc>
        <w:tc>
          <w:tcPr>
            <w:tcW w:type="dxa" w:w="800"/>
            <w:shd w:fill="F8FAFC"/>
            <w:vAlign w:val="center"/>
            <w:tcMar>
              <w:top w:w="80" w:type="dxa"/>
              <w:start w:w="120" w:type="dxa"/>
              <w:bottom w:w="80" w:type="dxa"/>
              <w:end w:w="120" w:type="dxa"/>
            </w:tcMar>
          </w:tcPr>
          <w:p>
            <w:pPr>
              <w:spacing w:after="0"/>
              <w:jc w:val="center"/>
            </w:pPr>
            <w:r>
              <w:rPr>
                <w:rFonts w:ascii="Aptos" w:hAnsi="Aptos"/>
                <w:color w:val="252B33"/>
                <w:sz w:val="15"/>
              </w:rPr>
              <w:t>0.1923</w:t>
            </w:r>
          </w:p>
        </w:tc>
        <w:tc>
          <w:tcPr>
            <w:tcW w:type="dxa" w:w="850"/>
            <w:shd w:fill="F8FAFC"/>
            <w:vAlign w:val="center"/>
            <w:tcMar>
              <w:top w:w="80" w:type="dxa"/>
              <w:start w:w="120" w:type="dxa"/>
              <w:bottom w:w="80" w:type="dxa"/>
              <w:end w:w="120" w:type="dxa"/>
            </w:tcMar>
          </w:tcPr>
          <w:p>
            <w:pPr>
              <w:spacing w:after="0"/>
              <w:jc w:val="center"/>
            </w:pPr>
            <w:r>
              <w:rPr>
                <w:rFonts w:ascii="Aptos" w:hAnsi="Aptos"/>
                <w:color w:val="252B33"/>
                <w:sz w:val="15"/>
              </w:rPr>
              <w:t>0.0815</w:t>
            </w:r>
          </w:p>
        </w:tc>
        <w:tc>
          <w:tcPr>
            <w:tcW w:type="dxa" w:w="950"/>
            <w:shd w:fill="F8FAFC"/>
            <w:vAlign w:val="center"/>
            <w:tcMar>
              <w:top w:w="80" w:type="dxa"/>
              <w:start w:w="120" w:type="dxa"/>
              <w:bottom w:w="80" w:type="dxa"/>
              <w:end w:w="120" w:type="dxa"/>
            </w:tcMar>
          </w:tcPr>
          <w:p>
            <w:pPr>
              <w:spacing w:after="0"/>
              <w:jc w:val="center"/>
            </w:pPr>
            <w:r>
              <w:rPr>
                <w:rFonts w:ascii="Aptos" w:hAnsi="Aptos"/>
                <w:color w:val="252B33"/>
                <w:sz w:val="15"/>
              </w:rPr>
              <w:t>19.78%</w:t>
            </w:r>
          </w:p>
        </w:tc>
        <w:tc>
          <w:tcPr>
            <w:tcW w:type="dxa" w:w="900"/>
            <w:shd w:fill="F8FAFC"/>
            <w:vAlign w:val="center"/>
            <w:tcMar>
              <w:top w:w="80" w:type="dxa"/>
              <w:start w:w="120" w:type="dxa"/>
              <w:bottom w:w="80" w:type="dxa"/>
              <w:end w:w="120" w:type="dxa"/>
            </w:tcMar>
          </w:tcPr>
          <w:p>
            <w:pPr>
              <w:spacing w:after="0"/>
              <w:jc w:val="center"/>
            </w:pPr>
            <w:r>
              <w:rPr>
                <w:rFonts w:ascii="Aptos" w:hAnsi="Aptos"/>
                <w:color w:val="252B33"/>
                <w:sz w:val="15"/>
              </w:rPr>
              <w:t>19.62%</w:t>
            </w:r>
          </w:p>
        </w:tc>
        <w:tc>
          <w:tcPr>
            <w:tcW w:type="dxa" w:w="1000"/>
            <w:shd w:fill="F8FAFC"/>
            <w:vAlign w:val="center"/>
            <w:tcMar>
              <w:top w:w="80" w:type="dxa"/>
              <w:start w:w="120" w:type="dxa"/>
              <w:bottom w:w="80" w:type="dxa"/>
              <w:end w:w="120" w:type="dxa"/>
            </w:tcMar>
          </w:tcPr>
          <w:p>
            <w:pPr>
              <w:spacing w:after="0"/>
              <w:jc w:val="center"/>
            </w:pPr>
            <w:r>
              <w:rPr>
                <w:rFonts w:ascii="Aptos" w:hAnsi="Aptos"/>
                <w:color w:val="252B33"/>
                <w:sz w:val="15"/>
              </w:rPr>
              <w:t>110.7s</w:t>
            </w:r>
          </w:p>
        </w:tc>
      </w:tr>
      <w:tr>
        <w:tc>
          <w:tcPr>
            <w:tcW w:type="dxa" w:w="1450"/>
            <w:vAlign w:val="center"/>
            <w:tcMar>
              <w:top w:w="80" w:type="dxa"/>
              <w:start w:w="120" w:type="dxa"/>
              <w:bottom w:w="80" w:type="dxa"/>
              <w:end w:w="120" w:type="dxa"/>
            </w:tcMar>
          </w:tcPr>
          <w:p>
            <w:pPr>
              <w:spacing w:after="0"/>
              <w:jc w:val="left"/>
            </w:pPr>
            <w:r>
              <w:rPr>
                <w:rFonts w:ascii="Aptos" w:hAnsi="Aptos"/>
                <w:color w:val="252B33"/>
                <w:sz w:val="15"/>
              </w:rPr>
              <w:t>CatBoost</w:t>
            </w:r>
          </w:p>
        </w:tc>
        <w:tc>
          <w:tcPr>
            <w:tcW w:type="dxa" w:w="760"/>
            <w:vAlign w:val="center"/>
            <w:tcMar>
              <w:top w:w="80" w:type="dxa"/>
              <w:start w:w="120" w:type="dxa"/>
              <w:bottom w:w="80" w:type="dxa"/>
              <w:end w:w="120" w:type="dxa"/>
            </w:tcMar>
          </w:tcPr>
          <w:p>
            <w:pPr>
              <w:spacing w:after="0"/>
              <w:jc w:val="center"/>
            </w:pPr>
            <w:r>
              <w:rPr>
                <w:rFonts w:ascii="Aptos" w:hAnsi="Aptos"/>
                <w:color w:val="252B33"/>
                <w:sz w:val="15"/>
              </w:rPr>
              <w:t>80/20</w:t>
            </w:r>
          </w:p>
        </w:tc>
        <w:tc>
          <w:tcPr>
            <w:tcW w:type="dxa" w:w="850"/>
            <w:vAlign w:val="center"/>
            <w:tcMar>
              <w:top w:w="80" w:type="dxa"/>
              <w:start w:w="120" w:type="dxa"/>
              <w:bottom w:w="80" w:type="dxa"/>
              <w:end w:w="120" w:type="dxa"/>
            </w:tcMar>
          </w:tcPr>
          <w:p>
            <w:pPr>
              <w:spacing w:after="0"/>
              <w:jc w:val="center"/>
            </w:pPr>
            <w:r>
              <w:rPr>
                <w:rFonts w:ascii="Aptos" w:hAnsi="Aptos"/>
                <w:color w:val="252B33"/>
                <w:sz w:val="15"/>
              </w:rPr>
              <w:t>0.0100</w:t>
            </w:r>
          </w:p>
        </w:tc>
        <w:tc>
          <w:tcPr>
            <w:tcW w:type="dxa" w:w="800"/>
            <w:vAlign w:val="center"/>
            <w:tcMar>
              <w:top w:w="80" w:type="dxa"/>
              <w:start w:w="120" w:type="dxa"/>
              <w:bottom w:w="80" w:type="dxa"/>
              <w:end w:w="120" w:type="dxa"/>
            </w:tcMar>
          </w:tcPr>
          <w:p>
            <w:pPr>
              <w:spacing w:after="0"/>
              <w:jc w:val="center"/>
            </w:pPr>
            <w:r>
              <w:rPr>
                <w:rFonts w:ascii="Aptos" w:hAnsi="Aptos"/>
                <w:color w:val="252B33"/>
                <w:sz w:val="15"/>
              </w:rPr>
              <w:t>283</w:t>
            </w:r>
          </w:p>
        </w:tc>
        <w:tc>
          <w:tcPr>
            <w:tcW w:type="dxa" w:w="800"/>
            <w:vAlign w:val="center"/>
            <w:tcMar>
              <w:top w:w="80" w:type="dxa"/>
              <w:start w:w="120" w:type="dxa"/>
              <w:bottom w:w="80" w:type="dxa"/>
              <w:end w:w="120" w:type="dxa"/>
            </w:tcMar>
          </w:tcPr>
          <w:p>
            <w:pPr>
              <w:spacing w:after="0"/>
              <w:jc w:val="center"/>
            </w:pPr>
            <w:r>
              <w:rPr>
                <w:rFonts w:ascii="Aptos" w:hAnsi="Aptos"/>
                <w:color w:val="252B33"/>
                <w:sz w:val="15"/>
              </w:rPr>
              <w:t>0.1860</w:t>
            </w:r>
          </w:p>
        </w:tc>
        <w:tc>
          <w:tcPr>
            <w:tcW w:type="dxa" w:w="850"/>
            <w:vAlign w:val="center"/>
            <w:tcMar>
              <w:top w:w="80" w:type="dxa"/>
              <w:start w:w="120" w:type="dxa"/>
              <w:bottom w:w="80" w:type="dxa"/>
              <w:end w:w="120" w:type="dxa"/>
            </w:tcMar>
          </w:tcPr>
          <w:p>
            <w:pPr>
              <w:spacing w:after="0"/>
              <w:jc w:val="center"/>
            </w:pPr>
            <w:r>
              <w:rPr>
                <w:rFonts w:ascii="Aptos" w:hAnsi="Aptos"/>
                <w:color w:val="252B33"/>
                <w:sz w:val="15"/>
              </w:rPr>
              <w:t>0.0726</w:t>
            </w:r>
          </w:p>
        </w:tc>
        <w:tc>
          <w:tcPr>
            <w:tcW w:type="dxa" w:w="950"/>
            <w:vAlign w:val="center"/>
            <w:tcMar>
              <w:top w:w="80" w:type="dxa"/>
              <w:start w:w="120" w:type="dxa"/>
              <w:bottom w:w="80" w:type="dxa"/>
              <w:end w:w="120" w:type="dxa"/>
            </w:tcMar>
          </w:tcPr>
          <w:p>
            <w:pPr>
              <w:spacing w:after="0"/>
              <w:jc w:val="center"/>
            </w:pPr>
            <w:r>
              <w:rPr>
                <w:rFonts w:ascii="Aptos" w:hAnsi="Aptos"/>
                <w:color w:val="252B33"/>
                <w:sz w:val="15"/>
              </w:rPr>
              <w:t>19.04%</w:t>
            </w:r>
          </w:p>
        </w:tc>
        <w:tc>
          <w:tcPr>
            <w:tcW w:type="dxa" w:w="900"/>
            <w:vAlign w:val="center"/>
            <w:tcMar>
              <w:top w:w="80" w:type="dxa"/>
              <w:start w:w="120" w:type="dxa"/>
              <w:bottom w:w="80" w:type="dxa"/>
              <w:end w:w="120" w:type="dxa"/>
            </w:tcMar>
          </w:tcPr>
          <w:p>
            <w:pPr>
              <w:spacing w:after="0"/>
              <w:jc w:val="center"/>
            </w:pPr>
            <w:r>
              <w:rPr>
                <w:rFonts w:ascii="Aptos" w:hAnsi="Aptos"/>
                <w:color w:val="252B33"/>
                <w:sz w:val="15"/>
              </w:rPr>
              <w:t>19.11%</w:t>
            </w:r>
          </w:p>
        </w:tc>
        <w:tc>
          <w:tcPr>
            <w:tcW w:type="dxa" w:w="1000"/>
            <w:vAlign w:val="center"/>
            <w:tcMar>
              <w:top w:w="80" w:type="dxa"/>
              <w:start w:w="120" w:type="dxa"/>
              <w:bottom w:w="80" w:type="dxa"/>
              <w:end w:w="120" w:type="dxa"/>
            </w:tcMar>
          </w:tcPr>
          <w:p>
            <w:pPr>
              <w:spacing w:after="0"/>
              <w:jc w:val="center"/>
            </w:pPr>
            <w:r>
              <w:rPr>
                <w:rFonts w:ascii="Aptos" w:hAnsi="Aptos"/>
                <w:color w:val="252B33"/>
                <w:sz w:val="15"/>
              </w:rPr>
              <w:t>143.3s</w:t>
            </w:r>
          </w:p>
        </w:tc>
      </w:tr>
    </w:tbl>
    <w:p/>
    <w:p>
      <w:pPr>
        <w:pStyle w:val="Heading2"/>
      </w:pPr>
      <w:r>
        <w:t>Logistic Regression</w:t>
      </w:r>
    </w:p>
    <w:p>
      <w:r>
        <w:rPr>
          <w:rFonts w:ascii="Aptos" w:hAnsi="Aptos"/>
          <w:color w:val="252B33"/>
        </w:rPr>
        <w:t>A transparent linear baseline. It tests whether additive linear log-odds are sufficient. Its lower MCC and PR-AUC show that the failure relationship benefits from nonlinear interactions among routes, timing proxies, missingness and measurements.</w:t>
      </w:r>
    </w:p>
    <w:p>
      <w:pPr>
        <w:pStyle w:val="Heading2"/>
      </w:pPr>
      <w:r>
        <w:t>Random Forest</w:t>
      </w:r>
    </w:p>
    <w:p>
      <w:r>
        <w:rPr>
          <w:rFonts w:ascii="Aptos" w:hAnsi="Aptos"/>
          <w:color w:val="252B33"/>
        </w:rPr>
        <w:t>A bagged tree ensemble that handles nonlinear thresholds and interactions. It produced a close challenger MCC but lower PR-AUC and longer runtime than the selected LightGBM configuration.</w:t>
      </w:r>
    </w:p>
    <w:p>
      <w:pPr>
        <w:pStyle w:val="Heading2"/>
      </w:pPr>
      <w:r>
        <w:t>XGBoost</w:t>
      </w:r>
    </w:p>
    <w:p>
      <w:r>
        <w:rPr>
          <w:rFonts w:ascii="Aptos" w:hAnsi="Aptos"/>
          <w:color w:val="252B33"/>
        </w:rPr>
        <w:t>A regularized sequential boosting model. It remained competitive and recorded a strong runtime in its best configuration, but did not exceed LightGBM on the primary MCC criterion.</w:t>
      </w:r>
    </w:p>
    <w:p>
      <w:pPr>
        <w:pStyle w:val="Heading2"/>
      </w:pPr>
      <w:r>
        <w:t>CatBoost</w:t>
      </w:r>
    </w:p>
    <w:p>
      <w:r>
        <w:rPr>
          <w:rFonts w:ascii="Aptos" w:hAnsi="Aptos"/>
          <w:color w:val="252B33"/>
        </w:rPr>
        <w:t>A boosting system designed for categorical variables. In this experiment the inputs were already converted into a common encoded matrix, limiting CatBoost's native category-handling advantage.</w:t>
      </w:r>
    </w:p>
    <w:p>
      <w:pPr>
        <w:pStyle w:val="Heading2"/>
      </w:pPr>
      <w:r>
        <w:t>LightGBM</w:t>
      </w:r>
    </w:p>
    <w:p>
      <w:r>
        <w:rPr>
          <w:rFonts w:ascii="Aptos" w:hAnsi="Aptos"/>
          <w:color w:val="252B33"/>
        </w:rPr>
        <w:t>A histogram-based, leaf-wise gradient boosting model suited to large tabular matrices. It achieved the highest MCC while maintaining the strongest PR-AUC among the best-MCC configurations, with a large 236,750-row validation set.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2F0D9"/>
            <w:tcMar>
              <w:top w:w="80" w:type="dxa"/>
              <w:start w:w="120" w:type="dxa"/>
              <w:bottom w:w="80" w:type="dxa"/>
              <w:end w:w="120" w:type="dxa"/>
            </w:tcMar>
            <w:vAlign w:val="center"/>
          </w:tcPr>
          <w:p>
            <w:pPr>
              <w:spacing w:after="0"/>
            </w:pPr>
            <w:r>
              <w:rPr>
                <w:rFonts w:ascii="Aptos" w:hAnsi="Aptos"/>
                <w:b/>
                <w:color w:val="17365D"/>
              </w:rPr>
              <w:t xml:space="preserve">Selected supervised model  </w:t>
            </w:r>
            <w:r>
              <w:rPr>
                <w:rFonts w:ascii="Aptos" w:hAnsi="Aptos"/>
                <w:color w:val="252B33"/>
              </w:rPr>
              <w:t>LightGBM | 80/20 | present rate 0.0025 | 908 numeric candidates | 283 final features | MCC 0.2102 | PR-AUC 0.1271 | precision 21.52% | recall 21.44%.</w:t>
            </w:r>
          </w:p>
        </w:tc>
      </w:tr>
    </w:tbl>
    <w:p/>
    <w:p>
      <w:pPr>
        <w:pStyle w:val="Heading1"/>
      </w:pPr>
      <w:r>
        <w:t>CHAPTER 79</w:t>
      </w:r>
    </w:p>
    <w:p>
      <w:pPr>
        <w:pStyle w:val="Heading1"/>
      </w:pPr>
      <w:r>
        <w:t>Advanced Diagnostic Models</w:t>
      </w:r>
    </w:p>
    <w:p>
      <w:r>
        <w:rPr>
          <w:rFonts w:ascii="Aptos" w:hAnsi="Aptos"/>
          <w:color w:val="252B33"/>
        </w:rPr>
        <w:t>Phase 10 explored four additional approaches. These experiments broaden the analytical capability but do not replace the leakage-safe full-data LightGBM. Their principal value is anomaly discovery, graph-context signals and station-by-station risk trajectories.</w:t>
      </w:r>
    </w:p>
    <w:tbl>
      <w:tblPr>
        <w:tblStyle w:val="TableGrid"/>
        <w:tblW w:type="dxa" w:w="9360"/>
        <w:jc w:val="left"/>
        <w:tblLayout w:type="fixed"/>
        <w:tblLook w:firstColumn="1" w:firstRow="1" w:lastColumn="0" w:lastRow="0" w:noHBand="0" w:noVBand="1" w:val="04A0"/>
        <w:tblInd w:w="120" w:type="dxa"/>
      </w:tblPr>
      <w:tblGrid>
        <w:gridCol w:w="2200"/>
        <w:gridCol w:w="800"/>
        <w:gridCol w:w="900"/>
        <w:gridCol w:w="900"/>
        <w:gridCol w:w="850"/>
        <w:gridCol w:w="3710"/>
      </w:tblGrid>
      <w:tr>
        <w:trPr>
          <w:tblHeader w:val="true"/>
        </w:trPr>
        <w:tc>
          <w:tcPr>
            <w:tcW w:type="dxa" w:w="2200"/>
            <w:shd w:fill="D9EAF7"/>
            <w:vAlign w:val="center"/>
            <w:tcMar>
              <w:top w:w="80" w:type="dxa"/>
              <w:start w:w="120" w:type="dxa"/>
              <w:bottom w:w="80" w:type="dxa"/>
              <w:end w:w="120" w:type="dxa"/>
            </w:tcMar>
          </w:tcPr>
          <w:p>
            <w:pPr>
              <w:jc w:val="center"/>
            </w:pPr>
            <w:r>
              <w:rPr>
                <w:rFonts w:ascii="Aptos" w:hAnsi="Aptos"/>
                <w:b/>
                <w:color w:val="17365D"/>
                <w:sz w:val="16"/>
              </w:rPr>
              <w:t>Diagnostic model</w:t>
            </w:r>
          </w:p>
        </w:tc>
        <w:tc>
          <w:tcPr>
            <w:tcW w:type="dxa" w:w="800"/>
            <w:shd w:fill="D9EAF7"/>
            <w:vAlign w:val="center"/>
            <w:tcMar>
              <w:top w:w="80" w:type="dxa"/>
              <w:start w:w="120" w:type="dxa"/>
              <w:bottom w:w="80" w:type="dxa"/>
              <w:end w:w="120" w:type="dxa"/>
            </w:tcMar>
          </w:tcPr>
          <w:p>
            <w:pPr>
              <w:jc w:val="center"/>
            </w:pPr>
            <w:r>
              <w:rPr>
                <w:rFonts w:ascii="Aptos" w:hAnsi="Aptos"/>
                <w:b/>
                <w:color w:val="17365D"/>
                <w:sz w:val="16"/>
              </w:rPr>
              <w:t>MCC</w:t>
            </w:r>
          </w:p>
        </w:tc>
        <w:tc>
          <w:tcPr>
            <w:tcW w:type="dxa" w:w="900"/>
            <w:shd w:fill="D9EAF7"/>
            <w:vAlign w:val="center"/>
            <w:tcMar>
              <w:top w:w="80" w:type="dxa"/>
              <w:start w:w="120" w:type="dxa"/>
              <w:bottom w:w="80" w:type="dxa"/>
              <w:end w:w="120" w:type="dxa"/>
            </w:tcMar>
          </w:tcPr>
          <w:p>
            <w:pPr>
              <w:jc w:val="center"/>
            </w:pPr>
            <w:r>
              <w:rPr>
                <w:rFonts w:ascii="Aptos" w:hAnsi="Aptos"/>
                <w:b/>
                <w:color w:val="17365D"/>
                <w:sz w:val="16"/>
              </w:rPr>
              <w:t>PR-AUC</w:t>
            </w:r>
          </w:p>
        </w:tc>
        <w:tc>
          <w:tcPr>
            <w:tcW w:type="dxa" w:w="900"/>
            <w:shd w:fill="D9EAF7"/>
            <w:vAlign w:val="center"/>
            <w:tcMar>
              <w:top w:w="80" w:type="dxa"/>
              <w:start w:w="120" w:type="dxa"/>
              <w:bottom w:w="80" w:type="dxa"/>
              <w:end w:w="120" w:type="dxa"/>
            </w:tcMar>
          </w:tcPr>
          <w:p>
            <w:pPr>
              <w:jc w:val="center"/>
            </w:pPr>
            <w:r>
              <w:rPr>
                <w:rFonts w:ascii="Aptos" w:hAnsi="Aptos"/>
                <w:b/>
                <w:color w:val="17365D"/>
                <w:sz w:val="16"/>
              </w:rPr>
              <w:t>Precision</w:t>
            </w:r>
          </w:p>
        </w:tc>
        <w:tc>
          <w:tcPr>
            <w:tcW w:type="dxa" w:w="850"/>
            <w:shd w:fill="D9EAF7"/>
            <w:vAlign w:val="center"/>
            <w:tcMar>
              <w:top w:w="80" w:type="dxa"/>
              <w:start w:w="120" w:type="dxa"/>
              <w:bottom w:w="80" w:type="dxa"/>
              <w:end w:w="120" w:type="dxa"/>
            </w:tcMar>
          </w:tcPr>
          <w:p>
            <w:pPr>
              <w:jc w:val="center"/>
            </w:pPr>
            <w:r>
              <w:rPr>
                <w:rFonts w:ascii="Aptos" w:hAnsi="Aptos"/>
                <w:b/>
                <w:color w:val="17365D"/>
                <w:sz w:val="16"/>
              </w:rPr>
              <w:t>Recall</w:t>
            </w:r>
          </w:p>
        </w:tc>
        <w:tc>
          <w:tcPr>
            <w:tcW w:type="dxa" w:w="3710"/>
            <w:shd w:fill="D9EAF7"/>
            <w:vAlign w:val="center"/>
            <w:tcMar>
              <w:top w:w="80" w:type="dxa"/>
              <w:start w:w="120" w:type="dxa"/>
              <w:bottom w:w="80" w:type="dxa"/>
              <w:end w:w="120" w:type="dxa"/>
            </w:tcMar>
          </w:tcPr>
          <w:p>
            <w:pPr>
              <w:jc w:val="center"/>
            </w:pPr>
            <w:r>
              <w:rPr>
                <w:rFonts w:ascii="Aptos" w:hAnsi="Aptos"/>
                <w:b/>
                <w:color w:val="17365D"/>
                <w:sz w:val="16"/>
              </w:rPr>
              <w:t>Role</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6"/>
              </w:rPr>
              <w:t>Failure trajectory prediction</w:t>
            </w:r>
          </w:p>
        </w:tc>
        <w:tc>
          <w:tcPr>
            <w:tcW w:type="dxa" w:w="800"/>
            <w:vAlign w:val="center"/>
            <w:tcMar>
              <w:top w:w="80" w:type="dxa"/>
              <w:start w:w="120" w:type="dxa"/>
              <w:bottom w:w="80" w:type="dxa"/>
              <w:end w:w="120" w:type="dxa"/>
            </w:tcMar>
          </w:tcPr>
          <w:p>
            <w:pPr>
              <w:spacing w:after="0"/>
              <w:jc w:val="center"/>
            </w:pPr>
            <w:r>
              <w:rPr>
                <w:rFonts w:ascii="Aptos" w:hAnsi="Aptos"/>
                <w:color w:val="252B33"/>
                <w:sz w:val="16"/>
              </w:rPr>
              <w:t>0.2419</w:t>
            </w:r>
          </w:p>
        </w:tc>
        <w:tc>
          <w:tcPr>
            <w:tcW w:type="dxa" w:w="900"/>
            <w:vAlign w:val="center"/>
            <w:tcMar>
              <w:top w:w="80" w:type="dxa"/>
              <w:start w:w="120" w:type="dxa"/>
              <w:bottom w:w="80" w:type="dxa"/>
              <w:end w:w="120" w:type="dxa"/>
            </w:tcMar>
          </w:tcPr>
          <w:p>
            <w:pPr>
              <w:spacing w:after="0"/>
              <w:jc w:val="center"/>
            </w:pPr>
            <w:r>
              <w:rPr>
                <w:rFonts w:ascii="Aptos" w:hAnsi="Aptos"/>
                <w:color w:val="252B33"/>
                <w:sz w:val="16"/>
              </w:rPr>
              <w:t>0.1648</w:t>
            </w:r>
          </w:p>
        </w:tc>
        <w:tc>
          <w:tcPr>
            <w:tcW w:type="dxa" w:w="900"/>
            <w:vAlign w:val="center"/>
            <w:tcMar>
              <w:top w:w="80" w:type="dxa"/>
              <w:start w:w="120" w:type="dxa"/>
              <w:bottom w:w="80" w:type="dxa"/>
              <w:end w:w="120" w:type="dxa"/>
            </w:tcMar>
          </w:tcPr>
          <w:p>
            <w:pPr>
              <w:spacing w:after="0"/>
              <w:jc w:val="center"/>
            </w:pPr>
            <w:r>
              <w:rPr>
                <w:rFonts w:ascii="Aptos" w:hAnsi="Aptos"/>
                <w:color w:val="252B33"/>
                <w:sz w:val="16"/>
              </w:rPr>
              <w:t>46.2%</w:t>
            </w:r>
          </w:p>
        </w:tc>
        <w:tc>
          <w:tcPr>
            <w:tcW w:type="dxa" w:w="850"/>
            <w:vAlign w:val="center"/>
            <w:tcMar>
              <w:top w:w="80" w:type="dxa"/>
              <w:start w:w="120" w:type="dxa"/>
              <w:bottom w:w="80" w:type="dxa"/>
              <w:end w:w="120" w:type="dxa"/>
            </w:tcMar>
          </w:tcPr>
          <w:p>
            <w:pPr>
              <w:spacing w:after="0"/>
              <w:jc w:val="center"/>
            </w:pPr>
            <w:r>
              <w:rPr>
                <w:rFonts w:ascii="Aptos" w:hAnsi="Aptos"/>
                <w:color w:val="252B33"/>
                <w:sz w:val="16"/>
              </w:rPr>
              <w:t>14.0%</w:t>
            </w:r>
          </w:p>
        </w:tc>
        <w:tc>
          <w:tcPr>
            <w:tcW w:type="dxa" w:w="3710"/>
            <w:vAlign w:val="center"/>
            <w:tcMar>
              <w:top w:w="80" w:type="dxa"/>
              <w:start w:w="120" w:type="dxa"/>
              <w:bottom w:w="80" w:type="dxa"/>
              <w:end w:w="120" w:type="dxa"/>
            </w:tcMar>
          </w:tcPr>
          <w:p>
            <w:pPr>
              <w:spacing w:after="0"/>
              <w:jc w:val="left"/>
            </w:pPr>
            <w:r>
              <w:rPr>
                <w:rFonts w:ascii="Aptos" w:hAnsi="Aptos"/>
                <w:color w:val="252B33"/>
                <w:sz w:val="16"/>
              </w:rPr>
              <w:t>LightGBM model using timing, path, family, and ordered station-risk exposure.</w:t>
            </w:r>
          </w:p>
        </w:tc>
      </w:tr>
      <w:tr>
        <w:tc>
          <w:tcPr>
            <w:tcW w:type="dxa" w:w="2200"/>
            <w:shd w:fill="F8FAFC"/>
            <w:vAlign w:val="center"/>
            <w:tcMar>
              <w:top w:w="80" w:type="dxa"/>
              <w:start w:w="120" w:type="dxa"/>
              <w:bottom w:w="80" w:type="dxa"/>
              <w:end w:w="120" w:type="dxa"/>
            </w:tcMar>
          </w:tcPr>
          <w:p>
            <w:pPr>
              <w:spacing w:after="0"/>
              <w:jc w:val="left"/>
            </w:pPr>
            <w:r>
              <w:rPr>
                <w:rFonts w:ascii="Aptos" w:hAnsi="Aptos"/>
                <w:color w:val="252B33"/>
                <w:sz w:val="16"/>
              </w:rPr>
              <w:t>MLP reconstruction anomaly detection</w:t>
            </w:r>
          </w:p>
        </w:tc>
        <w:tc>
          <w:tcPr>
            <w:tcW w:type="dxa" w:w="800"/>
            <w:shd w:fill="F8FAFC"/>
            <w:vAlign w:val="center"/>
            <w:tcMar>
              <w:top w:w="80" w:type="dxa"/>
              <w:start w:w="120" w:type="dxa"/>
              <w:bottom w:w="80" w:type="dxa"/>
              <w:end w:w="120" w:type="dxa"/>
            </w:tcMar>
          </w:tcPr>
          <w:p>
            <w:pPr>
              <w:spacing w:after="0"/>
              <w:jc w:val="center"/>
            </w:pPr>
            <w:r>
              <w:rPr>
                <w:rFonts w:ascii="Aptos" w:hAnsi="Aptos"/>
                <w:color w:val="252B33"/>
                <w:sz w:val="16"/>
              </w:rPr>
              <w:t>0.0923</w:t>
            </w:r>
          </w:p>
        </w:tc>
        <w:tc>
          <w:tcPr>
            <w:tcW w:type="dxa" w:w="900"/>
            <w:shd w:fill="F8FAFC"/>
            <w:vAlign w:val="center"/>
            <w:tcMar>
              <w:top w:w="80" w:type="dxa"/>
              <w:start w:w="120" w:type="dxa"/>
              <w:bottom w:w="80" w:type="dxa"/>
              <w:end w:w="120" w:type="dxa"/>
            </w:tcMar>
          </w:tcPr>
          <w:p>
            <w:pPr>
              <w:spacing w:after="0"/>
              <w:jc w:val="center"/>
            </w:pPr>
            <w:r>
              <w:rPr>
                <w:rFonts w:ascii="Aptos" w:hAnsi="Aptos"/>
                <w:color w:val="252B33"/>
                <w:sz w:val="16"/>
              </w:rPr>
              <w:t>0.0643</w:t>
            </w:r>
          </w:p>
        </w:tc>
        <w:tc>
          <w:tcPr>
            <w:tcW w:type="dxa" w:w="900"/>
            <w:shd w:fill="F8FAFC"/>
            <w:vAlign w:val="center"/>
            <w:tcMar>
              <w:top w:w="80" w:type="dxa"/>
              <w:start w:w="120" w:type="dxa"/>
              <w:bottom w:w="80" w:type="dxa"/>
              <w:end w:w="120" w:type="dxa"/>
            </w:tcMar>
          </w:tcPr>
          <w:p>
            <w:pPr>
              <w:spacing w:after="0"/>
              <w:jc w:val="center"/>
            </w:pPr>
            <w:r>
              <w:rPr>
                <w:rFonts w:ascii="Aptos" w:hAnsi="Aptos"/>
                <w:color w:val="252B33"/>
                <w:sz w:val="16"/>
              </w:rPr>
              <w:t>25.4%</w:t>
            </w:r>
          </w:p>
        </w:tc>
        <w:tc>
          <w:tcPr>
            <w:tcW w:type="dxa" w:w="850"/>
            <w:shd w:fill="F8FAFC"/>
            <w:vAlign w:val="center"/>
            <w:tcMar>
              <w:top w:w="80" w:type="dxa"/>
              <w:start w:w="120" w:type="dxa"/>
              <w:bottom w:w="80" w:type="dxa"/>
              <w:end w:w="120" w:type="dxa"/>
            </w:tcMar>
          </w:tcPr>
          <w:p>
            <w:pPr>
              <w:spacing w:after="0"/>
              <w:jc w:val="center"/>
            </w:pPr>
            <w:r>
              <w:rPr>
                <w:rFonts w:ascii="Aptos" w:hAnsi="Aptos"/>
                <w:color w:val="252B33"/>
                <w:sz w:val="16"/>
              </w:rPr>
              <w:t>4.2%</w:t>
            </w:r>
          </w:p>
        </w:tc>
        <w:tc>
          <w:tcPr>
            <w:tcW w:type="dxa" w:w="3710"/>
            <w:shd w:fill="F8FAFC"/>
            <w:vAlign w:val="center"/>
            <w:tcMar>
              <w:top w:w="80" w:type="dxa"/>
              <w:start w:w="120" w:type="dxa"/>
              <w:bottom w:w="80" w:type="dxa"/>
              <w:end w:w="120" w:type="dxa"/>
            </w:tcMar>
          </w:tcPr>
          <w:p>
            <w:pPr>
              <w:spacing w:after="0"/>
              <w:jc w:val="left"/>
            </w:pPr>
            <w:r>
              <w:rPr>
                <w:rFonts w:ascii="Aptos" w:hAnsi="Aptos"/>
                <w:color w:val="252B33"/>
                <w:sz w:val="16"/>
              </w:rPr>
              <w:t>Scikit-learn reconstruction model using 120 selected features.</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6"/>
              </w:rPr>
              <w:t>Graph message-passing risk model</w:t>
            </w:r>
          </w:p>
        </w:tc>
        <w:tc>
          <w:tcPr>
            <w:tcW w:type="dxa" w:w="800"/>
            <w:vAlign w:val="center"/>
            <w:tcMar>
              <w:top w:w="80" w:type="dxa"/>
              <w:start w:w="120" w:type="dxa"/>
              <w:bottom w:w="80" w:type="dxa"/>
              <w:end w:w="120" w:type="dxa"/>
            </w:tcMar>
          </w:tcPr>
          <w:p>
            <w:pPr>
              <w:spacing w:after="0"/>
              <w:jc w:val="center"/>
            </w:pPr>
            <w:r>
              <w:rPr>
                <w:rFonts w:ascii="Aptos" w:hAnsi="Aptos"/>
                <w:color w:val="252B33"/>
                <w:sz w:val="16"/>
              </w:rPr>
              <w:t>0.0611</w:t>
            </w:r>
          </w:p>
        </w:tc>
        <w:tc>
          <w:tcPr>
            <w:tcW w:type="dxa" w:w="900"/>
            <w:vAlign w:val="center"/>
            <w:tcMar>
              <w:top w:w="80" w:type="dxa"/>
              <w:start w:w="120" w:type="dxa"/>
              <w:bottom w:w="80" w:type="dxa"/>
              <w:end w:w="120" w:type="dxa"/>
            </w:tcMar>
          </w:tcPr>
          <w:p>
            <w:pPr>
              <w:spacing w:after="0"/>
              <w:jc w:val="center"/>
            </w:pPr>
            <w:r>
              <w:rPr>
                <w:rFonts w:ascii="Aptos" w:hAnsi="Aptos"/>
                <w:color w:val="252B33"/>
                <w:sz w:val="16"/>
              </w:rPr>
              <w:t>0.0411</w:t>
            </w:r>
          </w:p>
        </w:tc>
        <w:tc>
          <w:tcPr>
            <w:tcW w:type="dxa" w:w="900"/>
            <w:vAlign w:val="center"/>
            <w:tcMar>
              <w:top w:w="80" w:type="dxa"/>
              <w:start w:w="120" w:type="dxa"/>
              <w:bottom w:w="80" w:type="dxa"/>
              <w:end w:w="120" w:type="dxa"/>
            </w:tcMar>
          </w:tcPr>
          <w:p>
            <w:pPr>
              <w:spacing w:after="0"/>
              <w:jc w:val="center"/>
            </w:pPr>
            <w:r>
              <w:rPr>
                <w:rFonts w:ascii="Aptos" w:hAnsi="Aptos"/>
                <w:color w:val="252B33"/>
                <w:sz w:val="16"/>
              </w:rPr>
              <w:t>5.3%</w:t>
            </w:r>
          </w:p>
        </w:tc>
        <w:tc>
          <w:tcPr>
            <w:tcW w:type="dxa" w:w="850"/>
            <w:vAlign w:val="center"/>
            <w:tcMar>
              <w:top w:w="80" w:type="dxa"/>
              <w:start w:w="120" w:type="dxa"/>
              <w:bottom w:w="80" w:type="dxa"/>
              <w:end w:w="120" w:type="dxa"/>
            </w:tcMar>
          </w:tcPr>
          <w:p>
            <w:pPr>
              <w:spacing w:after="0"/>
              <w:jc w:val="center"/>
            </w:pPr>
            <w:r>
              <w:rPr>
                <w:rFonts w:ascii="Aptos" w:hAnsi="Aptos"/>
                <w:color w:val="252B33"/>
                <w:sz w:val="16"/>
              </w:rPr>
              <w:t>30.2%</w:t>
            </w:r>
          </w:p>
        </w:tc>
        <w:tc>
          <w:tcPr>
            <w:tcW w:type="dxa" w:w="3710"/>
            <w:vAlign w:val="center"/>
            <w:tcMar>
              <w:top w:w="80" w:type="dxa"/>
              <w:start w:w="120" w:type="dxa"/>
              <w:bottom w:w="80" w:type="dxa"/>
              <w:end w:w="120" w:type="dxa"/>
            </w:tcMar>
          </w:tcPr>
          <w:p>
            <w:pPr>
              <w:spacing w:after="0"/>
              <w:jc w:val="left"/>
            </w:pPr>
            <w:r>
              <w:rPr>
                <w:rFonts w:ascii="Aptos" w:hAnsi="Aptos"/>
                <w:color w:val="252B33"/>
                <w:sz w:val="16"/>
              </w:rPr>
              <w:t>Logistic model using graph-propagated station risk exposure.</w:t>
            </w:r>
          </w:p>
        </w:tc>
      </w:tr>
      <w:tr>
        <w:tc>
          <w:tcPr>
            <w:tcW w:type="dxa" w:w="2200"/>
            <w:shd w:fill="F8FAFC"/>
            <w:vAlign w:val="center"/>
            <w:tcMar>
              <w:top w:w="80" w:type="dxa"/>
              <w:start w:w="120" w:type="dxa"/>
              <w:bottom w:w="80" w:type="dxa"/>
              <w:end w:w="120" w:type="dxa"/>
            </w:tcMar>
          </w:tcPr>
          <w:p>
            <w:pPr>
              <w:spacing w:after="0"/>
              <w:jc w:val="left"/>
            </w:pPr>
            <w:r>
              <w:rPr>
                <w:rFonts w:ascii="Aptos" w:hAnsi="Aptos"/>
                <w:color w:val="252B33"/>
                <w:sz w:val="16"/>
              </w:rPr>
              <w:t>Isolation Forest anomaly detection</w:t>
            </w:r>
          </w:p>
        </w:tc>
        <w:tc>
          <w:tcPr>
            <w:tcW w:type="dxa" w:w="800"/>
            <w:shd w:fill="F8FAFC"/>
            <w:vAlign w:val="center"/>
            <w:tcMar>
              <w:top w:w="80" w:type="dxa"/>
              <w:start w:w="120" w:type="dxa"/>
              <w:bottom w:w="80" w:type="dxa"/>
              <w:end w:w="120" w:type="dxa"/>
            </w:tcMar>
          </w:tcPr>
          <w:p>
            <w:pPr>
              <w:spacing w:after="0"/>
              <w:jc w:val="center"/>
            </w:pPr>
            <w:r>
              <w:rPr>
                <w:rFonts w:ascii="Aptos" w:hAnsi="Aptos"/>
                <w:color w:val="252B33"/>
                <w:sz w:val="16"/>
              </w:rPr>
              <w:t>0.0537</w:t>
            </w:r>
          </w:p>
        </w:tc>
        <w:tc>
          <w:tcPr>
            <w:tcW w:type="dxa" w:w="900"/>
            <w:shd w:fill="F8FAFC"/>
            <w:vAlign w:val="center"/>
            <w:tcMar>
              <w:top w:w="80" w:type="dxa"/>
              <w:start w:w="120" w:type="dxa"/>
              <w:bottom w:w="80" w:type="dxa"/>
              <w:end w:w="120" w:type="dxa"/>
            </w:tcMar>
          </w:tcPr>
          <w:p>
            <w:pPr>
              <w:spacing w:after="0"/>
              <w:jc w:val="center"/>
            </w:pPr>
            <w:r>
              <w:rPr>
                <w:rFonts w:ascii="Aptos" w:hAnsi="Aptos"/>
                <w:color w:val="252B33"/>
                <w:sz w:val="16"/>
              </w:rPr>
              <w:t>0.0395</w:t>
            </w:r>
          </w:p>
        </w:tc>
        <w:tc>
          <w:tcPr>
            <w:tcW w:type="dxa" w:w="900"/>
            <w:shd w:fill="F8FAFC"/>
            <w:vAlign w:val="center"/>
            <w:tcMar>
              <w:top w:w="80" w:type="dxa"/>
              <w:start w:w="120" w:type="dxa"/>
              <w:bottom w:w="80" w:type="dxa"/>
              <w:end w:w="120" w:type="dxa"/>
            </w:tcMar>
          </w:tcPr>
          <w:p>
            <w:pPr>
              <w:spacing w:after="0"/>
              <w:jc w:val="center"/>
            </w:pPr>
            <w:r>
              <w:rPr>
                <w:rFonts w:ascii="Aptos" w:hAnsi="Aptos"/>
                <w:color w:val="252B33"/>
                <w:sz w:val="16"/>
              </w:rPr>
              <w:t>4.5%</w:t>
            </w:r>
          </w:p>
        </w:tc>
        <w:tc>
          <w:tcPr>
            <w:tcW w:type="dxa" w:w="850"/>
            <w:shd w:fill="F8FAFC"/>
            <w:vAlign w:val="center"/>
            <w:tcMar>
              <w:top w:w="80" w:type="dxa"/>
              <w:start w:w="120" w:type="dxa"/>
              <w:bottom w:w="80" w:type="dxa"/>
              <w:end w:w="120" w:type="dxa"/>
            </w:tcMar>
          </w:tcPr>
          <w:p>
            <w:pPr>
              <w:spacing w:after="0"/>
              <w:jc w:val="center"/>
            </w:pPr>
            <w:r>
              <w:rPr>
                <w:rFonts w:ascii="Aptos" w:hAnsi="Aptos"/>
                <w:color w:val="252B33"/>
                <w:sz w:val="16"/>
              </w:rPr>
              <w:t>43.5%</w:t>
            </w:r>
          </w:p>
        </w:tc>
        <w:tc>
          <w:tcPr>
            <w:tcW w:type="dxa" w:w="3710"/>
            <w:shd w:fill="F8FAFC"/>
            <w:vAlign w:val="center"/>
            <w:tcMar>
              <w:top w:w="80" w:type="dxa"/>
              <w:start w:w="120" w:type="dxa"/>
              <w:bottom w:w="80" w:type="dxa"/>
              <w:end w:w="120" w:type="dxa"/>
            </w:tcMar>
          </w:tcPr>
          <w:p>
            <w:pPr>
              <w:spacing w:after="0"/>
              <w:jc w:val="left"/>
            </w:pPr>
            <w:r>
              <w:rPr>
                <w:rFonts w:ascii="Aptos" w:hAnsi="Aptos"/>
                <w:color w:val="252B33"/>
                <w:sz w:val="16"/>
              </w:rPr>
              <w:t>Unsupervised model trained on normal products only.</w:t>
            </w:r>
          </w:p>
        </w:tc>
      </w:tr>
    </w:tbl>
    <w:p/>
    <w:p>
      <w:pPr>
        <w:pStyle w:val="Heading2"/>
      </w:pPr>
      <w:r>
        <w:t>Isolation Forest</w:t>
      </w:r>
    </w:p>
    <w:p>
      <w:r>
        <w:rPr>
          <w:rFonts w:ascii="Aptos" w:hAnsi="Aptos"/>
          <w:color w:val="252B33"/>
        </w:rPr>
        <w:t>An unsupervised anomaly detector trained on normal products. It identifies unusual feature combinations without needing failure labels. High anomaly does not mean confirmed failure; it means the product differs from learned normal patterns.</w:t>
      </w:r>
    </w:p>
    <w:p>
      <w:pPr>
        <w:pStyle w:val="Heading2"/>
      </w:pPr>
      <w:r>
        <w:t>MLP reconstruction model</w:t>
      </w:r>
    </w:p>
    <w:p>
      <w:r>
        <w:rPr>
          <w:rFonts w:ascii="Aptos" w:hAnsi="Aptos"/>
          <w:color w:val="252B33"/>
        </w:rPr>
        <w:t>A neural reconstruction approach that learns to reproduce normal feature vectors. Reconstruction error becomes the anomaly score. Sparse tabular scaling, architecture choice and contamination assumptions strongly affect its usefulness.</w:t>
      </w:r>
    </w:p>
    <w:p>
      <w:pPr>
        <w:pStyle w:val="Heading2"/>
      </w:pPr>
      <w:r>
        <w:t>Graph message-passing risk</w:t>
      </w:r>
    </w:p>
    <w:p>
      <w:r>
        <w:rPr>
          <w:rFonts w:ascii="Aptos" w:hAnsi="Aptos"/>
          <w:color w:val="252B33"/>
        </w:rPr>
        <w:t>A graph-informed diagnostic that propagates station risk through the manufacturing network. It represents structural context but can blur association across connected stations; it must not be presented as causal failure propagation.</w:t>
      </w:r>
    </w:p>
    <w:p>
      <w:pPr>
        <w:pStyle w:val="Heading2"/>
      </w:pPr>
      <w:r>
        <w:t>Failure trajectory prediction</w:t>
      </w:r>
    </w:p>
    <w:p>
      <w:r>
        <w:rPr>
          <w:rFonts w:ascii="Aptos" w:hAnsi="Aptos"/>
          <w:color w:val="252B33"/>
        </w:rPr>
        <w:t>A supervised diagnostic that estimates how risk changes as ordered station evidence accumulates. It was the strongest Phase 10 advanced diagnostic and is useful for early-warning analysis, but it requires strict point-in-time feature availability before live use.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CE4D6"/>
            <w:tcMar>
              <w:top w:w="80" w:type="dxa"/>
              <w:start w:w="120" w:type="dxa"/>
              <w:bottom w:w="80" w:type="dxa"/>
              <w:end w:w="120" w:type="dxa"/>
            </w:tcMar>
            <w:vAlign w:val="center"/>
          </w:tcPr>
          <w:p>
            <w:pPr>
              <w:spacing w:after="0"/>
            </w:pPr>
            <w:r>
              <w:rPr>
                <w:rFonts w:ascii="Aptos" w:hAnsi="Aptos"/>
                <w:b/>
                <w:color w:val="17365D"/>
              </w:rPr>
              <w:t xml:space="preserve">Governance boundary  </w:t>
            </w:r>
            <w:r>
              <w:rPr>
                <w:rFonts w:ascii="Aptos" w:hAnsi="Aptos"/>
                <w:color w:val="252B33"/>
              </w:rPr>
              <w:t>Advanced diagnostics support investigation. They do not independently approve or reject products, prove physical root causes, or replace the governed final LightGBM risk score.</w:t>
            </w:r>
          </w:p>
        </w:tc>
      </w:tr>
    </w:tbl>
    <w:p/>
    <w:p>
      <w:pPr>
        <w:pStyle w:val="Heading1"/>
      </w:pPr>
      <w:r>
        <w:t>CHAPTER 80</w:t>
      </w:r>
    </w:p>
    <w:p>
      <w:pPr>
        <w:pStyle w:val="Heading1"/>
      </w:pPr>
      <w:r>
        <w:t>Final LightGBM Training and Test Scoring</w:t>
      </w:r>
    </w:p>
    <w:p>
      <w:pPr>
        <w:pStyle w:val="Heading2"/>
      </w:pPr>
      <w:r>
        <w:t>Refit after selection</w:t>
      </w:r>
    </w:p>
    <w:p>
      <w:r>
        <w:rPr>
          <w:rFonts w:ascii="Aptos" w:hAnsi="Aptos"/>
          <w:color w:val="252B33"/>
        </w:rPr>
        <w:t>After the 80/20 benchmark selected the configuration, the script rebuilt the same selection profile and trained LightGBM on all 1,183,747 labelled products. The validation result remains the reported benchmark; the refit uses all labels only to maximize information before final test inference.</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D9EAF7"/>
            <w:vAlign w:val="center"/>
            <w:tcMar>
              <w:top w:w="80" w:type="dxa"/>
              <w:start w:w="120" w:type="dxa"/>
              <w:bottom w:w="80" w:type="dxa"/>
              <w:end w:w="120" w:type="dxa"/>
            </w:tcMar>
          </w:tcPr>
          <w:p>
            <w:pPr>
              <w:jc w:val="center"/>
            </w:pPr>
            <w:r>
              <w:rPr>
                <w:rFonts w:ascii="Aptos" w:hAnsi="Aptos"/>
                <w:b/>
                <w:color w:val="17365D"/>
                <w:sz w:val="18"/>
              </w:rPr>
              <w:t>Final training setting</w:t>
            </w:r>
          </w:p>
        </w:tc>
        <w:tc>
          <w:tcPr>
            <w:tcW w:type="dxa" w:w="5960"/>
            <w:shd w:fill="D9EAF7"/>
            <w:vAlign w:val="center"/>
            <w:tcMar>
              <w:top w:w="80" w:type="dxa"/>
              <w:start w:w="120" w:type="dxa"/>
              <w:bottom w:w="80" w:type="dxa"/>
              <w:end w:w="120" w:type="dxa"/>
            </w:tcMar>
          </w:tcPr>
          <w:p>
            <w:pPr>
              <w:jc w:val="center"/>
            </w:pPr>
            <w:r>
              <w:rPr>
                <w:rFonts w:ascii="Aptos" w:hAnsi="Aptos"/>
                <w:b/>
                <w:color w:val="17365D"/>
                <w:sz w:val="18"/>
              </w:rPr>
              <w:t>Value</w:t>
            </w:r>
          </w:p>
        </w:tc>
      </w:tr>
      <w:tr>
        <w:tc>
          <w:tcPr>
            <w:tcW w:type="dxa" w:w="3400"/>
            <w:vAlign w:val="center"/>
            <w:tcMar>
              <w:top w:w="80" w:type="dxa"/>
              <w:start w:w="120" w:type="dxa"/>
              <w:bottom w:w="80" w:type="dxa"/>
              <w:end w:w="120" w:type="dxa"/>
            </w:tcMar>
          </w:tcPr>
          <w:p>
            <w:pPr>
              <w:spacing w:after="0"/>
              <w:jc w:val="left"/>
            </w:pPr>
            <w:r>
              <w:rPr>
                <w:rFonts w:ascii="Aptos" w:hAnsi="Aptos"/>
                <w:color w:val="252B33"/>
                <w:sz w:val="18"/>
              </w:rPr>
              <w:t>Model</w:t>
            </w:r>
          </w:p>
        </w:tc>
        <w:tc>
          <w:tcPr>
            <w:tcW w:type="dxa" w:w="5960"/>
            <w:vAlign w:val="center"/>
            <w:tcMar>
              <w:top w:w="80" w:type="dxa"/>
              <w:start w:w="120" w:type="dxa"/>
              <w:bottom w:w="80" w:type="dxa"/>
              <w:end w:w="120" w:type="dxa"/>
            </w:tcMar>
          </w:tcPr>
          <w:p>
            <w:pPr>
              <w:spacing w:after="0"/>
              <w:jc w:val="center"/>
            </w:pPr>
            <w:r>
              <w:rPr>
                <w:rFonts w:ascii="Aptos" w:hAnsi="Aptos"/>
                <w:color w:val="252B33"/>
                <w:sz w:val="18"/>
              </w:rPr>
              <w:t>LightGBM</w:t>
            </w:r>
          </w:p>
        </w:tc>
      </w:tr>
      <w:tr>
        <w:tc>
          <w:tcPr>
            <w:tcW w:type="dxa" w:w="3400"/>
            <w:shd w:fill="F8FAFC"/>
            <w:vAlign w:val="center"/>
            <w:tcMar>
              <w:top w:w="80" w:type="dxa"/>
              <w:start w:w="120" w:type="dxa"/>
              <w:bottom w:w="80" w:type="dxa"/>
              <w:end w:w="120" w:type="dxa"/>
            </w:tcMar>
          </w:tcPr>
          <w:p>
            <w:pPr>
              <w:spacing w:after="0"/>
              <w:jc w:val="left"/>
            </w:pPr>
            <w:r>
              <w:rPr>
                <w:rFonts w:ascii="Aptos" w:hAnsi="Aptos"/>
                <w:color w:val="252B33"/>
                <w:sz w:val="18"/>
              </w:rPr>
              <w:t>Labelled rows used for final refit</w:t>
            </w:r>
          </w:p>
        </w:tc>
        <w:tc>
          <w:tcPr>
            <w:tcW w:type="dxa" w:w="5960"/>
            <w:shd w:fill="F8FAFC"/>
            <w:vAlign w:val="center"/>
            <w:tcMar>
              <w:top w:w="80" w:type="dxa"/>
              <w:start w:w="120" w:type="dxa"/>
              <w:bottom w:w="80" w:type="dxa"/>
              <w:end w:w="120" w:type="dxa"/>
            </w:tcMar>
          </w:tcPr>
          <w:p>
            <w:pPr>
              <w:spacing w:after="0"/>
              <w:jc w:val="center"/>
            </w:pPr>
            <w:r>
              <w:rPr>
                <w:rFonts w:ascii="Aptos" w:hAnsi="Aptos"/>
                <w:color w:val="252B33"/>
                <w:sz w:val="18"/>
              </w:rPr>
              <w:t>1,183,747</w:t>
            </w:r>
          </w:p>
        </w:tc>
      </w:tr>
      <w:tr>
        <w:tc>
          <w:tcPr>
            <w:tcW w:type="dxa" w:w="3400"/>
            <w:vAlign w:val="center"/>
            <w:tcMar>
              <w:top w:w="80" w:type="dxa"/>
              <w:start w:w="120" w:type="dxa"/>
              <w:bottom w:w="80" w:type="dxa"/>
              <w:end w:w="120" w:type="dxa"/>
            </w:tcMar>
          </w:tcPr>
          <w:p>
            <w:pPr>
              <w:spacing w:after="0"/>
              <w:jc w:val="left"/>
            </w:pPr>
            <w:r>
              <w:rPr>
                <w:rFonts w:ascii="Aptos" w:hAnsi="Aptos"/>
                <w:color w:val="252B33"/>
                <w:sz w:val="18"/>
              </w:rPr>
              <w:t>Numeric present rate</w:t>
            </w:r>
          </w:p>
        </w:tc>
        <w:tc>
          <w:tcPr>
            <w:tcW w:type="dxa" w:w="5960"/>
            <w:vAlign w:val="center"/>
            <w:tcMar>
              <w:top w:w="80" w:type="dxa"/>
              <w:start w:w="120" w:type="dxa"/>
              <w:bottom w:w="80" w:type="dxa"/>
              <w:end w:w="120" w:type="dxa"/>
            </w:tcMar>
          </w:tcPr>
          <w:p>
            <w:pPr>
              <w:spacing w:after="0"/>
              <w:jc w:val="center"/>
            </w:pPr>
            <w:r>
              <w:rPr>
                <w:rFonts w:ascii="Aptos" w:hAnsi="Aptos"/>
                <w:color w:val="252B33"/>
                <w:sz w:val="18"/>
              </w:rPr>
              <w:t>0.0025</w:t>
            </w:r>
          </w:p>
        </w:tc>
      </w:tr>
      <w:tr>
        <w:tc>
          <w:tcPr>
            <w:tcW w:type="dxa" w:w="3400"/>
            <w:shd w:fill="F8FAFC"/>
            <w:vAlign w:val="center"/>
            <w:tcMar>
              <w:top w:w="80" w:type="dxa"/>
              <w:start w:w="120" w:type="dxa"/>
              <w:bottom w:w="80" w:type="dxa"/>
              <w:end w:w="120" w:type="dxa"/>
            </w:tcMar>
          </w:tcPr>
          <w:p>
            <w:pPr>
              <w:spacing w:after="0"/>
              <w:jc w:val="left"/>
            </w:pPr>
            <w:r>
              <w:rPr>
                <w:rFonts w:ascii="Aptos" w:hAnsi="Aptos"/>
                <w:color w:val="252B33"/>
                <w:sz w:val="18"/>
              </w:rPr>
              <w:t>Final features</w:t>
            </w:r>
          </w:p>
        </w:tc>
        <w:tc>
          <w:tcPr>
            <w:tcW w:type="dxa" w:w="5960"/>
            <w:shd w:fill="F8FAFC"/>
            <w:vAlign w:val="center"/>
            <w:tcMar>
              <w:top w:w="80" w:type="dxa"/>
              <w:start w:w="120" w:type="dxa"/>
              <w:bottom w:w="80" w:type="dxa"/>
              <w:end w:w="120" w:type="dxa"/>
            </w:tcMar>
          </w:tcPr>
          <w:p>
            <w:pPr>
              <w:spacing w:after="0"/>
              <w:jc w:val="center"/>
            </w:pPr>
            <w:r>
              <w:rPr>
                <w:rFonts w:ascii="Aptos" w:hAnsi="Aptos"/>
                <w:color w:val="252B33"/>
                <w:sz w:val="18"/>
              </w:rPr>
              <w:t>283</w:t>
            </w:r>
          </w:p>
        </w:tc>
      </w:tr>
      <w:tr>
        <w:tc>
          <w:tcPr>
            <w:tcW w:type="dxa" w:w="3400"/>
            <w:vAlign w:val="center"/>
            <w:tcMar>
              <w:top w:w="80" w:type="dxa"/>
              <w:start w:w="120" w:type="dxa"/>
              <w:bottom w:w="80" w:type="dxa"/>
              <w:end w:w="120" w:type="dxa"/>
            </w:tcMar>
          </w:tcPr>
          <w:p>
            <w:pPr>
              <w:spacing w:after="0"/>
              <w:jc w:val="left"/>
            </w:pPr>
            <w:r>
              <w:rPr>
                <w:rFonts w:ascii="Aptos" w:hAnsi="Aptos"/>
                <w:color w:val="252B33"/>
                <w:sz w:val="18"/>
              </w:rPr>
              <w:t>Estimators</w:t>
            </w:r>
          </w:p>
        </w:tc>
        <w:tc>
          <w:tcPr>
            <w:tcW w:type="dxa" w:w="5960"/>
            <w:vAlign w:val="center"/>
            <w:tcMar>
              <w:top w:w="80" w:type="dxa"/>
              <w:start w:w="120" w:type="dxa"/>
              <w:bottom w:w="80" w:type="dxa"/>
              <w:end w:w="120" w:type="dxa"/>
            </w:tcMar>
          </w:tcPr>
          <w:p>
            <w:pPr>
              <w:spacing w:after="0"/>
              <w:jc w:val="center"/>
            </w:pPr>
            <w:r>
              <w:rPr>
                <w:rFonts w:ascii="Aptos" w:hAnsi="Aptos"/>
                <w:color w:val="252B33"/>
                <w:sz w:val="18"/>
              </w:rPr>
              <w:t>250</w:t>
            </w:r>
          </w:p>
        </w:tc>
      </w:tr>
      <w:tr>
        <w:tc>
          <w:tcPr>
            <w:tcW w:type="dxa" w:w="3400"/>
            <w:shd w:fill="F8FAFC"/>
            <w:vAlign w:val="center"/>
            <w:tcMar>
              <w:top w:w="80" w:type="dxa"/>
              <w:start w:w="120" w:type="dxa"/>
              <w:bottom w:w="80" w:type="dxa"/>
              <w:end w:w="120" w:type="dxa"/>
            </w:tcMar>
          </w:tcPr>
          <w:p>
            <w:pPr>
              <w:spacing w:after="0"/>
              <w:jc w:val="left"/>
            </w:pPr>
            <w:r>
              <w:rPr>
                <w:rFonts w:ascii="Aptos" w:hAnsi="Aptos"/>
                <w:color w:val="252B33"/>
                <w:sz w:val="18"/>
              </w:rPr>
              <w:t>Learning rate</w:t>
            </w:r>
          </w:p>
        </w:tc>
        <w:tc>
          <w:tcPr>
            <w:tcW w:type="dxa" w:w="5960"/>
            <w:shd w:fill="F8FAFC"/>
            <w:vAlign w:val="center"/>
            <w:tcMar>
              <w:top w:w="80" w:type="dxa"/>
              <w:start w:w="120" w:type="dxa"/>
              <w:bottom w:w="80" w:type="dxa"/>
              <w:end w:w="120" w:type="dxa"/>
            </w:tcMar>
          </w:tcPr>
          <w:p>
            <w:pPr>
              <w:spacing w:after="0"/>
              <w:jc w:val="center"/>
            </w:pPr>
            <w:r>
              <w:rPr>
                <w:rFonts w:ascii="Aptos" w:hAnsi="Aptos"/>
                <w:color w:val="252B33"/>
                <w:sz w:val="18"/>
              </w:rPr>
              <w:t>0.04</w:t>
            </w:r>
          </w:p>
        </w:tc>
      </w:tr>
      <w:tr>
        <w:tc>
          <w:tcPr>
            <w:tcW w:type="dxa" w:w="3400"/>
            <w:vAlign w:val="center"/>
            <w:tcMar>
              <w:top w:w="80" w:type="dxa"/>
              <w:start w:w="120" w:type="dxa"/>
              <w:bottom w:w="80" w:type="dxa"/>
              <w:end w:w="120" w:type="dxa"/>
            </w:tcMar>
          </w:tcPr>
          <w:p>
            <w:pPr>
              <w:spacing w:after="0"/>
              <w:jc w:val="left"/>
            </w:pPr>
            <w:r>
              <w:rPr>
                <w:rFonts w:ascii="Aptos" w:hAnsi="Aptos"/>
                <w:color w:val="252B33"/>
                <w:sz w:val="18"/>
              </w:rPr>
              <w:t>Leaves</w:t>
            </w:r>
          </w:p>
        </w:tc>
        <w:tc>
          <w:tcPr>
            <w:tcW w:type="dxa" w:w="5960"/>
            <w:vAlign w:val="center"/>
            <w:tcMar>
              <w:top w:w="80" w:type="dxa"/>
              <w:start w:w="120" w:type="dxa"/>
              <w:bottom w:w="80" w:type="dxa"/>
              <w:end w:w="120" w:type="dxa"/>
            </w:tcMar>
          </w:tcPr>
          <w:p>
            <w:pPr>
              <w:spacing w:after="0"/>
              <w:jc w:val="center"/>
            </w:pPr>
            <w:r>
              <w:rPr>
                <w:rFonts w:ascii="Aptos" w:hAnsi="Aptos"/>
                <w:color w:val="252B33"/>
                <w:sz w:val="18"/>
              </w:rPr>
              <w:t>48</w:t>
            </w:r>
          </w:p>
        </w:tc>
      </w:tr>
      <w:tr>
        <w:tc>
          <w:tcPr>
            <w:tcW w:type="dxa" w:w="3400"/>
            <w:shd w:fill="F8FAFC"/>
            <w:vAlign w:val="center"/>
            <w:tcMar>
              <w:top w:w="80" w:type="dxa"/>
              <w:start w:w="120" w:type="dxa"/>
              <w:bottom w:w="80" w:type="dxa"/>
              <w:end w:w="120" w:type="dxa"/>
            </w:tcMar>
          </w:tcPr>
          <w:p>
            <w:pPr>
              <w:spacing w:after="0"/>
              <w:jc w:val="left"/>
            </w:pPr>
            <w:r>
              <w:rPr>
                <w:rFonts w:ascii="Aptos" w:hAnsi="Aptos"/>
                <w:color w:val="252B33"/>
                <w:sz w:val="18"/>
              </w:rPr>
              <w:t>Subsample / column sample</w:t>
            </w:r>
          </w:p>
        </w:tc>
        <w:tc>
          <w:tcPr>
            <w:tcW w:type="dxa" w:w="5960"/>
            <w:shd w:fill="F8FAFC"/>
            <w:vAlign w:val="center"/>
            <w:tcMar>
              <w:top w:w="80" w:type="dxa"/>
              <w:start w:w="120" w:type="dxa"/>
              <w:bottom w:w="80" w:type="dxa"/>
              <w:end w:w="120" w:type="dxa"/>
            </w:tcMar>
          </w:tcPr>
          <w:p>
            <w:pPr>
              <w:spacing w:after="0"/>
              <w:jc w:val="center"/>
            </w:pPr>
            <w:r>
              <w:rPr>
                <w:rFonts w:ascii="Aptos" w:hAnsi="Aptos"/>
                <w:color w:val="252B33"/>
                <w:sz w:val="18"/>
              </w:rPr>
              <w:t>0.85 / 0.85</w:t>
            </w:r>
          </w:p>
        </w:tc>
      </w:tr>
      <w:tr>
        <w:tc>
          <w:tcPr>
            <w:tcW w:type="dxa" w:w="3400"/>
            <w:vAlign w:val="center"/>
            <w:tcMar>
              <w:top w:w="80" w:type="dxa"/>
              <w:start w:w="120" w:type="dxa"/>
              <w:bottom w:w="80" w:type="dxa"/>
              <w:end w:w="120" w:type="dxa"/>
            </w:tcMar>
          </w:tcPr>
          <w:p>
            <w:pPr>
              <w:spacing w:after="0"/>
              <w:jc w:val="left"/>
            </w:pPr>
            <w:r>
              <w:rPr>
                <w:rFonts w:ascii="Aptos" w:hAnsi="Aptos"/>
                <w:color w:val="252B33"/>
                <w:sz w:val="18"/>
              </w:rPr>
              <w:t>Class handling</w:t>
            </w:r>
          </w:p>
        </w:tc>
        <w:tc>
          <w:tcPr>
            <w:tcW w:type="dxa" w:w="5960"/>
            <w:vAlign w:val="center"/>
            <w:tcMar>
              <w:top w:w="80" w:type="dxa"/>
              <w:start w:w="120" w:type="dxa"/>
              <w:bottom w:w="80" w:type="dxa"/>
              <w:end w:w="120" w:type="dxa"/>
            </w:tcMar>
          </w:tcPr>
          <w:p>
            <w:pPr>
              <w:spacing w:after="0"/>
              <w:jc w:val="center"/>
            </w:pPr>
            <w:r>
              <w:rPr>
                <w:rFonts w:ascii="Aptos" w:hAnsi="Aptos"/>
                <w:color w:val="252B33"/>
                <w:sz w:val="18"/>
              </w:rPr>
              <w:t>Balanced class weights</w:t>
            </w:r>
          </w:p>
        </w:tc>
      </w:tr>
      <w:tr>
        <w:tc>
          <w:tcPr>
            <w:tcW w:type="dxa" w:w="3400"/>
            <w:shd w:fill="F8FAFC"/>
            <w:vAlign w:val="center"/>
            <w:tcMar>
              <w:top w:w="80" w:type="dxa"/>
              <w:start w:w="120" w:type="dxa"/>
              <w:bottom w:w="80" w:type="dxa"/>
              <w:end w:w="120" w:type="dxa"/>
            </w:tcMar>
          </w:tcPr>
          <w:p>
            <w:pPr>
              <w:spacing w:after="0"/>
              <w:jc w:val="left"/>
            </w:pPr>
            <w:r>
              <w:rPr>
                <w:rFonts w:ascii="Aptos" w:hAnsi="Aptos"/>
                <w:color w:val="252B33"/>
                <w:sz w:val="18"/>
              </w:rPr>
              <w:t>Random seed</w:t>
            </w:r>
          </w:p>
        </w:tc>
        <w:tc>
          <w:tcPr>
            <w:tcW w:type="dxa" w:w="5960"/>
            <w:shd w:fill="F8FAFC"/>
            <w:vAlign w:val="center"/>
            <w:tcMar>
              <w:top w:w="80" w:type="dxa"/>
              <w:start w:w="120" w:type="dxa"/>
              <w:bottom w:w="80" w:type="dxa"/>
              <w:end w:w="120" w:type="dxa"/>
            </w:tcMar>
          </w:tcPr>
          <w:p>
            <w:pPr>
              <w:spacing w:after="0"/>
              <w:jc w:val="center"/>
            </w:pPr>
            <w:r>
              <w:rPr>
                <w:rFonts w:ascii="Aptos" w:hAnsi="Aptos"/>
                <w:color w:val="252B33"/>
                <w:sz w:val="18"/>
              </w:rPr>
              <w:t>42</w:t>
            </w:r>
          </w:p>
        </w:tc>
      </w:tr>
    </w:tbl>
    <w:p/>
    <w:p>
      <w:pPr>
        <w:pStyle w:val="Heading2"/>
      </w:pPr>
      <w:r>
        <w:t>Decision threshold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9FC"/>
            <w:vAlign w:val="center"/>
            <w:tcMar>
              <w:top w:w="80" w:type="dxa"/>
              <w:start w:w="120" w:type="dxa"/>
              <w:bottom w:w="80" w:type="dxa"/>
              <w:end w:w="120" w:type="dxa"/>
            </w:tcMar>
          </w:tcPr>
          <w:p>
            <w:pPr>
              <w:spacing w:after="0"/>
              <w:jc w:val="center"/>
            </w:pPr>
            <w:r>
              <w:rPr>
                <w:rFonts w:ascii="Aptos" w:hAnsi="Aptos"/>
                <w:b/>
                <w:color w:val="17365D"/>
                <w:sz w:val="22"/>
              </w:rPr>
              <w:t>Predicted failure alert = 1 when failure probability &gt;= 0.754167</w:t>
            </w:r>
          </w:p>
        </w:tc>
      </w:tr>
    </w:tbl>
    <w:p/>
    <w:p>
      <w:r>
        <w:rPr>
          <w:rFonts w:ascii="Aptos" w:hAnsi="Aptos"/>
          <w:color w:val="252B33"/>
        </w:rPr>
        <w:t>The final refit derived a threshold of 0.7541669 from the full labelled training scores using the implemented prevalence-aware threshold procedure. This final inference threshold is different from the validation benchmark cutoff because the model was refit on a different data population.</w:t>
      </w:r>
    </w:p>
    <w:p>
      <w:pPr>
        <w:pStyle w:val="Heading2"/>
      </w:pPr>
      <w:r>
        <w:t>Full test inference</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shd w:fill="D9EAF7"/>
            <w:vAlign w:val="center"/>
            <w:tcMar>
              <w:top w:w="80" w:type="dxa"/>
              <w:start w:w="120" w:type="dxa"/>
              <w:bottom w:w="80" w:type="dxa"/>
              <w:end w:w="120" w:type="dxa"/>
            </w:tcMar>
          </w:tcPr>
          <w:p>
            <w:pPr>
              <w:jc w:val="center"/>
            </w:pPr>
            <w:r>
              <w:rPr>
                <w:rFonts w:ascii="Aptos" w:hAnsi="Aptos"/>
                <w:b/>
                <w:color w:val="17365D"/>
                <w:sz w:val="18"/>
              </w:rPr>
              <w:t>Output field</w:t>
            </w:r>
          </w:p>
        </w:tc>
        <w:tc>
          <w:tcPr>
            <w:tcW w:type="dxa" w:w="2200"/>
            <w:shd w:fill="D9EAF7"/>
            <w:vAlign w:val="center"/>
            <w:tcMar>
              <w:top w:w="80" w:type="dxa"/>
              <w:start w:w="120" w:type="dxa"/>
              <w:bottom w:w="80" w:type="dxa"/>
              <w:end w:w="120" w:type="dxa"/>
            </w:tcMar>
          </w:tcPr>
          <w:p>
            <w:pPr>
              <w:jc w:val="center"/>
            </w:pPr>
            <w:r>
              <w:rPr>
                <w:rFonts w:ascii="Aptos" w:hAnsi="Aptos"/>
                <w:b/>
                <w:color w:val="17365D"/>
                <w:sz w:val="18"/>
              </w:rPr>
              <w:t>Value</w:t>
            </w:r>
          </w:p>
        </w:tc>
        <w:tc>
          <w:tcPr>
            <w:tcW w:type="dxa" w:w="4960"/>
            <w:shd w:fill="D9EAF7"/>
            <w:vAlign w:val="center"/>
            <w:tcMar>
              <w:top w:w="80" w:type="dxa"/>
              <w:start w:w="120" w:type="dxa"/>
              <w:bottom w:w="80" w:type="dxa"/>
              <w:end w:w="120" w:type="dxa"/>
            </w:tcMar>
          </w:tcPr>
          <w:p>
            <w:pPr>
              <w:jc w:val="center"/>
            </w:pPr>
            <w:r>
              <w:rPr>
                <w:rFonts w:ascii="Aptos" w:hAnsi="Aptos"/>
                <w:b/>
                <w:color w:val="17365D"/>
                <w:sz w:val="18"/>
              </w:rPr>
              <w:t>Interpretation</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8"/>
              </w:rPr>
              <w:t>Test products scored</w:t>
            </w:r>
          </w:p>
        </w:tc>
        <w:tc>
          <w:tcPr>
            <w:tcW w:type="dxa" w:w="2200"/>
            <w:vAlign w:val="center"/>
            <w:tcMar>
              <w:top w:w="80" w:type="dxa"/>
              <w:start w:w="120" w:type="dxa"/>
              <w:bottom w:w="80" w:type="dxa"/>
              <w:end w:w="120" w:type="dxa"/>
            </w:tcMar>
          </w:tcPr>
          <w:p>
            <w:pPr>
              <w:spacing w:after="0"/>
              <w:jc w:val="center"/>
            </w:pPr>
            <w:r>
              <w:rPr>
                <w:rFonts w:ascii="Aptos" w:hAnsi="Aptos"/>
                <w:color w:val="252B33"/>
                <w:sz w:val="18"/>
              </w:rPr>
              <w:t>1,183,748</w:t>
            </w:r>
          </w:p>
        </w:tc>
        <w:tc>
          <w:tcPr>
            <w:tcW w:type="dxa" w:w="4960"/>
            <w:vAlign w:val="center"/>
            <w:tcMar>
              <w:top w:w="80" w:type="dxa"/>
              <w:start w:w="120" w:type="dxa"/>
              <w:bottom w:w="80" w:type="dxa"/>
              <w:end w:w="120" w:type="dxa"/>
            </w:tcMar>
          </w:tcPr>
          <w:p>
            <w:pPr>
              <w:spacing w:after="0"/>
              <w:jc w:val="left"/>
            </w:pPr>
            <w:r>
              <w:rPr>
                <w:rFonts w:ascii="Aptos" w:hAnsi="Aptos"/>
                <w:color w:val="252B33"/>
                <w:sz w:val="18"/>
              </w:rPr>
              <w:t>Complete unlabelled Kaggle test population</w:t>
            </w:r>
          </w:p>
        </w:tc>
      </w:tr>
      <w:tr>
        <w:tc>
          <w:tcPr>
            <w:tcW w:type="dxa" w:w="2200"/>
            <w:shd w:fill="F8FAFC"/>
            <w:vAlign w:val="center"/>
            <w:tcMar>
              <w:top w:w="80" w:type="dxa"/>
              <w:start w:w="120" w:type="dxa"/>
              <w:bottom w:w="80" w:type="dxa"/>
              <w:end w:w="120" w:type="dxa"/>
            </w:tcMar>
          </w:tcPr>
          <w:p>
            <w:pPr>
              <w:spacing w:after="0"/>
              <w:jc w:val="left"/>
            </w:pPr>
            <w:r>
              <w:rPr>
                <w:rFonts w:ascii="Aptos" w:hAnsi="Aptos"/>
                <w:color w:val="252B33"/>
                <w:sz w:val="18"/>
              </w:rPr>
              <w:t>Predicted alerts</w:t>
            </w:r>
          </w:p>
        </w:tc>
        <w:tc>
          <w:tcPr>
            <w:tcW w:type="dxa" w:w="2200"/>
            <w:shd w:fill="F8FAFC"/>
            <w:vAlign w:val="center"/>
            <w:tcMar>
              <w:top w:w="80" w:type="dxa"/>
              <w:start w:w="120" w:type="dxa"/>
              <w:bottom w:w="80" w:type="dxa"/>
              <w:end w:w="120" w:type="dxa"/>
            </w:tcMar>
          </w:tcPr>
          <w:p>
            <w:pPr>
              <w:spacing w:after="0"/>
              <w:jc w:val="center"/>
            </w:pPr>
            <w:r>
              <w:rPr>
                <w:rFonts w:ascii="Aptos" w:hAnsi="Aptos"/>
                <w:color w:val="252B33"/>
                <w:sz w:val="18"/>
              </w:rPr>
              <w:t>7,003</w:t>
            </w:r>
          </w:p>
        </w:tc>
        <w:tc>
          <w:tcPr>
            <w:tcW w:type="dxa" w:w="4960"/>
            <w:shd w:fill="F8FAFC"/>
            <w:vAlign w:val="center"/>
            <w:tcMar>
              <w:top w:w="80" w:type="dxa"/>
              <w:start w:w="120" w:type="dxa"/>
              <w:bottom w:w="80" w:type="dxa"/>
              <w:end w:w="120" w:type="dxa"/>
            </w:tcMar>
          </w:tcPr>
          <w:p>
            <w:pPr>
              <w:spacing w:after="0"/>
              <w:jc w:val="left"/>
            </w:pPr>
            <w:r>
              <w:rPr>
                <w:rFonts w:ascii="Aptos" w:hAnsi="Aptos"/>
                <w:color w:val="252B33"/>
                <w:sz w:val="18"/>
              </w:rPr>
              <w:t>Products above the final decision threshold</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8"/>
              </w:rPr>
              <w:t>Alert rate</w:t>
            </w:r>
          </w:p>
        </w:tc>
        <w:tc>
          <w:tcPr>
            <w:tcW w:type="dxa" w:w="2200"/>
            <w:vAlign w:val="center"/>
            <w:tcMar>
              <w:top w:w="80" w:type="dxa"/>
              <w:start w:w="120" w:type="dxa"/>
              <w:bottom w:w="80" w:type="dxa"/>
              <w:end w:w="120" w:type="dxa"/>
            </w:tcMar>
          </w:tcPr>
          <w:p>
            <w:pPr>
              <w:spacing w:after="0"/>
              <w:jc w:val="center"/>
            </w:pPr>
            <w:r>
              <w:rPr>
                <w:rFonts w:ascii="Aptos" w:hAnsi="Aptos"/>
                <w:color w:val="252B33"/>
                <w:sz w:val="18"/>
              </w:rPr>
              <w:t>0.5916%</w:t>
            </w:r>
          </w:p>
        </w:tc>
        <w:tc>
          <w:tcPr>
            <w:tcW w:type="dxa" w:w="4960"/>
            <w:vAlign w:val="center"/>
            <w:tcMar>
              <w:top w:w="80" w:type="dxa"/>
              <w:start w:w="120" w:type="dxa"/>
              <w:bottom w:w="80" w:type="dxa"/>
              <w:end w:w="120" w:type="dxa"/>
            </w:tcMar>
          </w:tcPr>
          <w:p>
            <w:pPr>
              <w:spacing w:after="0"/>
              <w:jc w:val="left"/>
            </w:pPr>
            <w:r>
              <w:rPr>
                <w:rFonts w:ascii="Aptos" w:hAnsi="Aptos"/>
                <w:color w:val="252B33"/>
                <w:sz w:val="18"/>
              </w:rPr>
              <w:t>Predicted workload, not confirmed test failure rate</w:t>
            </w:r>
          </w:p>
        </w:tc>
      </w:tr>
      <w:tr>
        <w:tc>
          <w:tcPr>
            <w:tcW w:type="dxa" w:w="2200"/>
            <w:shd w:fill="F8FAFC"/>
            <w:vAlign w:val="center"/>
            <w:tcMar>
              <w:top w:w="80" w:type="dxa"/>
              <w:start w:w="120" w:type="dxa"/>
              <w:bottom w:w="80" w:type="dxa"/>
              <w:end w:w="120" w:type="dxa"/>
            </w:tcMar>
          </w:tcPr>
          <w:p>
            <w:pPr>
              <w:spacing w:after="0"/>
              <w:jc w:val="left"/>
            </w:pPr>
            <w:r>
              <w:rPr>
                <w:rFonts w:ascii="Aptos" w:hAnsi="Aptos"/>
                <w:color w:val="252B33"/>
                <w:sz w:val="18"/>
              </w:rPr>
              <w:t>Saved probability</w:t>
            </w:r>
          </w:p>
        </w:tc>
        <w:tc>
          <w:tcPr>
            <w:tcW w:type="dxa" w:w="2200"/>
            <w:shd w:fill="F8FAFC"/>
            <w:vAlign w:val="center"/>
            <w:tcMar>
              <w:top w:w="80" w:type="dxa"/>
              <w:start w:w="120" w:type="dxa"/>
              <w:bottom w:w="80" w:type="dxa"/>
              <w:end w:w="120" w:type="dxa"/>
            </w:tcMar>
          </w:tcPr>
          <w:p>
            <w:pPr>
              <w:spacing w:after="0"/>
              <w:jc w:val="center"/>
            </w:pPr>
            <w:r>
              <w:rPr>
                <w:rFonts w:ascii="Aptos" w:hAnsi="Aptos"/>
                <w:color w:val="252B33"/>
                <w:sz w:val="18"/>
              </w:rPr>
              <w:t>failure_probability</w:t>
            </w:r>
          </w:p>
        </w:tc>
        <w:tc>
          <w:tcPr>
            <w:tcW w:type="dxa" w:w="4960"/>
            <w:shd w:fill="F8FAFC"/>
            <w:vAlign w:val="center"/>
            <w:tcMar>
              <w:top w:w="80" w:type="dxa"/>
              <w:start w:w="120" w:type="dxa"/>
              <w:bottom w:w="80" w:type="dxa"/>
              <w:end w:w="120" w:type="dxa"/>
            </w:tcMar>
          </w:tcPr>
          <w:p>
            <w:pPr>
              <w:spacing w:after="0"/>
              <w:jc w:val="left"/>
            </w:pPr>
            <w:r>
              <w:rPr>
                <w:rFonts w:ascii="Aptos" w:hAnsi="Aptos"/>
                <w:color w:val="252B33"/>
                <w:sz w:val="18"/>
              </w:rPr>
              <w:t>Continuous score used for ranking</w:t>
            </w:r>
          </w:p>
        </w:tc>
      </w:tr>
      <w:tr>
        <w:tc>
          <w:tcPr>
            <w:tcW w:type="dxa" w:w="2200"/>
            <w:vAlign w:val="center"/>
            <w:tcMar>
              <w:top w:w="80" w:type="dxa"/>
              <w:start w:w="120" w:type="dxa"/>
              <w:bottom w:w="80" w:type="dxa"/>
              <w:end w:w="120" w:type="dxa"/>
            </w:tcMar>
          </w:tcPr>
          <w:p>
            <w:pPr>
              <w:spacing w:after="0"/>
              <w:jc w:val="left"/>
            </w:pPr>
            <w:r>
              <w:rPr>
                <w:rFonts w:ascii="Aptos" w:hAnsi="Aptos"/>
                <w:color w:val="252B33"/>
                <w:sz w:val="18"/>
              </w:rPr>
              <w:t>Saved binary decision</w:t>
            </w:r>
          </w:p>
        </w:tc>
        <w:tc>
          <w:tcPr>
            <w:tcW w:type="dxa" w:w="2200"/>
            <w:vAlign w:val="center"/>
            <w:tcMar>
              <w:top w:w="80" w:type="dxa"/>
              <w:start w:w="120" w:type="dxa"/>
              <w:bottom w:w="80" w:type="dxa"/>
              <w:end w:w="120" w:type="dxa"/>
            </w:tcMar>
          </w:tcPr>
          <w:p>
            <w:pPr>
              <w:spacing w:after="0"/>
              <w:jc w:val="center"/>
            </w:pPr>
            <w:r>
              <w:rPr>
                <w:rFonts w:ascii="Aptos" w:hAnsi="Aptos"/>
                <w:color w:val="252B33"/>
                <w:sz w:val="18"/>
              </w:rPr>
              <w:t>predicted_failure_alert</w:t>
            </w:r>
          </w:p>
        </w:tc>
        <w:tc>
          <w:tcPr>
            <w:tcW w:type="dxa" w:w="4960"/>
            <w:vAlign w:val="center"/>
            <w:tcMar>
              <w:top w:w="80" w:type="dxa"/>
              <w:start w:w="120" w:type="dxa"/>
              <w:bottom w:w="80" w:type="dxa"/>
              <w:end w:w="120" w:type="dxa"/>
            </w:tcMar>
          </w:tcPr>
          <w:p>
            <w:pPr>
              <w:spacing w:after="0"/>
              <w:jc w:val="left"/>
            </w:pPr>
            <w:r>
              <w:rPr>
                <w:rFonts w:ascii="Aptos" w:hAnsi="Aptos"/>
                <w:color w:val="252B33"/>
                <w:sz w:val="18"/>
              </w:rPr>
              <w:t>Thresholded inspection alert</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9FC"/>
            <w:vAlign w:val="center"/>
            <w:tcMar>
              <w:top w:w="80" w:type="dxa"/>
              <w:start w:w="120" w:type="dxa"/>
              <w:bottom w:w="80" w:type="dxa"/>
              <w:end w:w="120" w:type="dxa"/>
            </w:tcMar>
          </w:tcPr>
          <w:p>
            <w:pPr>
              <w:spacing w:after="0"/>
              <w:jc w:val="center"/>
            </w:pPr>
            <w:r>
              <w:rPr>
                <w:rFonts w:ascii="Aptos" w:hAnsi="Aptos"/>
                <w:b/>
                <w:color w:val="17365D"/>
                <w:sz w:val="22"/>
              </w:rPr>
              <w:t>Alert rate = 7,003 / 1,183,748 x 100 = 0.5916%</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vAlign w:val="center"/>
          </w:tcPr>
          <w:p>
            <w:pPr>
              <w:spacing w:after="0"/>
            </w:pPr>
            <w:r>
              <w:rPr>
                <w:rFonts w:ascii="Aptos" w:hAnsi="Aptos"/>
                <w:b/>
                <w:color w:val="17365D"/>
              </w:rPr>
              <w:t xml:space="preserve">Test-label limitation  </w:t>
            </w:r>
            <w:r>
              <w:rPr>
                <w:rFonts w:ascii="Aptos" w:hAnsi="Aptos"/>
                <w:color w:val="252B33"/>
              </w:rPr>
              <w:t>The public test set has no Response labels. Therefore test MCC, PR-AUC, precision, recall and confusion matrix cannot be calculated locally. The 7,003 records are predicted alerts, not verified defects.</w:t>
            </w:r>
          </w:p>
        </w:tc>
      </w:tr>
    </w:tbl>
    <w:p/>
    <w:p>
      <w:pPr>
        <w:pStyle w:val="Heading2"/>
      </w:pPr>
      <w:r>
        <w:t>Generated artifacts</w:t>
      </w:r>
    </w:p>
    <w:p>
      <w:pPr>
        <w:pStyle w:val="ListBullet"/>
      </w:pPr>
      <w:r>
        <w:rPr>
          <w:rFonts w:ascii="Aptos" w:hAnsi="Aptos"/>
          <w:color w:val="252B33"/>
        </w:rPr>
        <w:t>models/advanced_ml_lightgbm_80_20_0_0025.joblib - model, frozen feature list, threshold and metadata.</w:t>
      </w:r>
    </w:p>
    <w:p>
      <w:pPr>
        <w:pStyle w:val="ListBullet"/>
      </w:pPr>
      <w:r>
        <w:rPr>
          <w:rFonts w:ascii="Aptos" w:hAnsi="Aptos"/>
          <w:color w:val="252B33"/>
        </w:rPr>
        <w:t>data/processed/advanced_ml_test_predictions.parquet - probability and binary alert for every test product.</w:t>
      </w:r>
    </w:p>
    <w:p>
      <w:pPr>
        <w:pStyle w:val="ListBullet"/>
      </w:pPr>
      <w:r>
        <w:rPr>
          <w:rFonts w:ascii="Aptos" w:hAnsi="Aptos"/>
          <w:color w:val="252B33"/>
        </w:rPr>
        <w:t>reports/advanced_ml_test_prediction_summary.csv - final scoring summary.</w:t>
      </w:r>
    </w:p>
    <w:p>
      <w:pPr>
        <w:pStyle w:val="ListBullet"/>
      </w:pPr>
      <w:r>
        <w:rPr>
          <w:rFonts w:ascii="Aptos" w:hAnsi="Aptos"/>
          <w:color w:val="252B33"/>
        </w:rPr>
        <w:t>reports/advanced_ml_top_test_risk_preview.csv - highest-risk products for dashboard review.</w:t>
      </w:r>
    </w:p>
    <w:p>
      <w:pPr>
        <w:pStyle w:val="ListBullet"/>
      </w:pPr>
      <w:r>
        <w:rPr>
          <w:rFonts w:ascii="Aptos" w:hAnsi="Aptos"/>
          <w:color w:val="252B33"/>
        </w:rPr>
        <w:t>reports/advanced_ml_model_card.json - compact governed metadata for the selected model.</w:t>
      </w:r>
    </w:p>
    <w:p>
      <w:pPr>
        <w:pStyle w:val="Heading1"/>
      </w:pPr>
      <w:r>
        <w:t>CHAPTER 81</w:t>
      </w:r>
    </w:p>
    <w:p>
      <w:pPr>
        <w:pStyle w:val="Heading1"/>
      </w:pPr>
      <w:r>
        <w:t>Interpretation, Governance and Reuse</w:t>
      </w:r>
    </w:p>
    <w:p>
      <w:pPr>
        <w:pStyle w:val="Heading2"/>
      </w:pPr>
      <w:r>
        <w:t>Safe statements</w:t>
      </w:r>
    </w:p>
    <w:p>
      <w:pPr>
        <w:pStyle w:val="ListBullet"/>
      </w:pPr>
      <w:r>
        <w:rPr>
          <w:rFonts w:ascii="Aptos" w:hAnsi="Aptos"/>
          <w:color w:val="252B33"/>
        </w:rPr>
        <w:t>The full-data LightGBM is the preferred final prediction model under the completed benchmark.</w:t>
      </w:r>
    </w:p>
    <w:p>
      <w:pPr>
        <w:pStyle w:val="ListBullet"/>
      </w:pPr>
      <w:r>
        <w:rPr>
          <w:rFonts w:ascii="Aptos" w:hAnsi="Aptos"/>
          <w:color w:val="252B33"/>
        </w:rPr>
        <w:t>MCC 0.2102 is a balanced validation statistic, not 21.02% accuracy.</w:t>
      </w:r>
    </w:p>
    <w:p>
      <w:pPr>
        <w:pStyle w:val="ListBullet"/>
      </w:pPr>
      <w:r>
        <w:rPr>
          <w:rFonts w:ascii="Aptos" w:hAnsi="Aptos"/>
          <w:color w:val="252B33"/>
        </w:rPr>
        <w:t>PR-AUC 0.1271 measures ranking quality across thresholds.</w:t>
      </w:r>
    </w:p>
    <w:p>
      <w:pPr>
        <w:pStyle w:val="ListBullet"/>
      </w:pPr>
      <w:r>
        <w:rPr>
          <w:rFonts w:ascii="Aptos" w:hAnsi="Aptos"/>
          <w:color w:val="252B33"/>
        </w:rPr>
        <w:t>The alert rate estimates inspection workload on unlabelled test products.</w:t>
      </w:r>
    </w:p>
    <w:p>
      <w:pPr>
        <w:pStyle w:val="ListBullet"/>
      </w:pPr>
      <w:r>
        <w:rPr>
          <w:rFonts w:ascii="Aptos" w:hAnsi="Aptos"/>
          <w:color w:val="252B33"/>
        </w:rPr>
        <w:t>SHAP, trajectory and graph signals are predictive evidence, not confirmed physical causes.</w:t>
      </w:r>
    </w:p>
    <w:p>
      <w:pPr>
        <w:pStyle w:val="Heading2"/>
      </w:pPr>
      <w:r>
        <w:t>Claims to avoid</w:t>
      </w:r>
    </w:p>
    <w:p>
      <w:pPr>
        <w:pStyle w:val="ListBullet"/>
      </w:pPr>
      <w:r>
        <w:rPr>
          <w:rFonts w:ascii="Aptos" w:hAnsi="Aptos"/>
          <w:color w:val="252B33"/>
        </w:rPr>
        <w:t>Do not state that the test alerts are actual failures.</w:t>
      </w:r>
    </w:p>
    <w:p>
      <w:pPr>
        <w:pStyle w:val="ListBullet"/>
      </w:pPr>
      <w:r>
        <w:rPr>
          <w:rFonts w:ascii="Aptos" w:hAnsi="Aptos"/>
          <w:color w:val="252B33"/>
        </w:rPr>
        <w:t>Do not compare MCC 0.3386 and 0.2102 without explaining the different populations and protocols.</w:t>
      </w:r>
    </w:p>
    <w:p>
      <w:pPr>
        <w:pStyle w:val="ListBullet"/>
      </w:pPr>
      <w:r>
        <w:rPr>
          <w:rFonts w:ascii="Aptos" w:hAnsi="Aptos"/>
          <w:color w:val="252B33"/>
        </w:rPr>
        <w:t>Do not call relative timestamp gaps verified downtime or OEE.</w:t>
      </w:r>
    </w:p>
    <w:p>
      <w:pPr>
        <w:pStyle w:val="ListBullet"/>
      </w:pPr>
      <w:r>
        <w:rPr>
          <w:rFonts w:ascii="Aptos" w:hAnsi="Aptos"/>
          <w:color w:val="252B33"/>
        </w:rPr>
        <w:t>Do not claim live-factory readiness, drift robustness or realized savings from historical Kaggle data.</w:t>
      </w:r>
    </w:p>
    <w:p>
      <w:pPr>
        <w:pStyle w:val="ListBullet"/>
      </w:pPr>
      <w:r>
        <w:rPr>
          <w:rFonts w:ascii="Aptos" w:hAnsi="Aptos"/>
          <w:color w:val="252B33"/>
        </w:rPr>
        <w:t>Do not allow the Copilot or anomaly models to authorize production actions.</w:t>
      </w:r>
    </w:p>
    <w:p>
      <w:pPr>
        <w:pStyle w:val="Heading2"/>
      </w:pPr>
      <w:r>
        <w:t>Next validation steps</w:t>
      </w:r>
    </w:p>
    <w:p>
      <w:pPr>
        <w:pStyle w:val="ListNumber"/>
      </w:pPr>
      <w:r>
        <w:rPr>
          <w:rFonts w:ascii="Aptos" w:hAnsi="Aptos"/>
          <w:color w:val="252B33"/>
        </w:rPr>
        <w:t>Freeze the model, feature contract, threshold and dependency versions.</w:t>
      </w:r>
    </w:p>
    <w:p>
      <w:pPr>
        <w:pStyle w:val="ListNumber"/>
      </w:pPr>
      <w:r>
        <w:rPr>
          <w:rFonts w:ascii="Aptos" w:hAnsi="Aptos"/>
          <w:color w:val="252B33"/>
        </w:rPr>
        <w:t>Create a golden test set with expected probability tolerances.</w:t>
      </w:r>
    </w:p>
    <w:p>
      <w:pPr>
        <w:pStyle w:val="ListNumber"/>
      </w:pPr>
      <w:r>
        <w:rPr>
          <w:rFonts w:ascii="Aptos" w:hAnsi="Aptos"/>
          <w:color w:val="252B33"/>
        </w:rPr>
        <w:t>Evaluate probability calibration and Precision@K/Recall@K at realistic inspection capacity.</w:t>
      </w:r>
    </w:p>
    <w:p>
      <w:pPr>
        <w:pStyle w:val="ListNumber"/>
      </w:pPr>
      <w:r>
        <w:rPr>
          <w:rFonts w:ascii="Aptos" w:hAnsi="Aptos"/>
          <w:color w:val="252B33"/>
        </w:rPr>
        <w:t>Use a time-based or factory-based locked holdout when new labelled data is available.</w:t>
      </w:r>
    </w:p>
    <w:p>
      <w:pPr>
        <w:pStyle w:val="ListNumber"/>
      </w:pPr>
      <w:r>
        <w:rPr>
          <w:rFonts w:ascii="Aptos" w:hAnsi="Aptos"/>
          <w:color w:val="252B33"/>
        </w:rPr>
        <w:t>Collect engineer feedback and confirmed defect codes.</w:t>
      </w:r>
    </w:p>
    <w:p>
      <w:pPr>
        <w:pStyle w:val="ListNumber"/>
      </w:pPr>
      <w:r>
        <w:rPr>
          <w:rFonts w:ascii="Aptos" w:hAnsi="Aptos"/>
          <w:color w:val="252B33"/>
        </w:rPr>
        <w:t>Monitor schema, missingness, feature drift, score drift, alert rate and eventual outcome performance.</w:t>
      </w:r>
    </w:p>
    <w:p>
      <w:pPr>
        <w:pStyle w:val="Heading2"/>
      </w:pPr>
      <w:r>
        <w:t>Review questions</w:t>
      </w:r>
    </w:p>
    <w:p>
      <w:pPr>
        <w:pStyle w:val="ListBullet"/>
      </w:pPr>
      <w:r>
        <w:rPr>
          <w:rFonts w:ascii="Aptos" w:hAnsi="Aptos"/>
          <w:color w:val="252B33"/>
        </w:rPr>
        <w:t>Why is present rate not a p-value?</w:t>
      </w:r>
    </w:p>
    <w:p>
      <w:pPr>
        <w:pStyle w:val="ListBullet"/>
      </w:pPr>
      <w:r>
        <w:rPr>
          <w:rFonts w:ascii="Aptos" w:hAnsi="Aptos"/>
          <w:color w:val="252B33"/>
        </w:rPr>
        <w:t>Why is the 0.3386 result not directly comparable with 0.2102?</w:t>
      </w:r>
    </w:p>
    <w:p>
      <w:pPr>
        <w:pStyle w:val="ListBullet"/>
      </w:pPr>
      <w:r>
        <w:rPr>
          <w:rFonts w:ascii="Aptos" w:hAnsi="Aptos"/>
          <w:color w:val="252B33"/>
        </w:rPr>
        <w:t>Why are 908 candidates reduced to 283 final features?</w:t>
      </w:r>
    </w:p>
    <w:p>
      <w:pPr>
        <w:pStyle w:val="ListBullet"/>
      </w:pPr>
      <w:r>
        <w:rPr>
          <w:rFonts w:ascii="Aptos" w:hAnsi="Aptos"/>
          <w:color w:val="252B33"/>
        </w:rPr>
        <w:t>Why can PR-AUC and MCC rank models differently?</w:t>
      </w:r>
    </w:p>
    <w:p>
      <w:pPr>
        <w:pStyle w:val="ListBullet"/>
      </w:pPr>
      <w:r>
        <w:rPr>
          <w:rFonts w:ascii="Aptos" w:hAnsi="Aptos"/>
          <w:color w:val="252B33"/>
        </w:rPr>
        <w:t>What does a test alert mean without a Response label?</w:t>
      </w:r>
    </w:p>
    <w:p>
      <w:pPr>
        <w:pStyle w:val="ListBullet"/>
      </w:pPr>
      <w:r>
        <w:rPr>
          <w:rFonts w:ascii="Aptos" w:hAnsi="Aptos"/>
          <w:color w:val="252B33"/>
        </w:rPr>
        <w:t>When should an anomaly score trigger human review?</w:t>
      </w:r>
    </w:p>
    <w:p>
      <w:pPr>
        <w:pStyle w:val="ListBullet"/>
      </w:pPr>
      <w:r>
        <w:rPr>
          <w:rFonts w:ascii="Aptos" w:hAnsi="Aptos"/>
          <w:color w:val="252B33"/>
        </w:rPr>
        <w:t>What evidence is needed before calling a SHAP signal a root cause?</w:t>
      </w:r>
    </w:p>
    <w:p>
      <w:pPr>
        <w:pStyle w:val="Heading2"/>
      </w:pPr>
      <w:r>
        <w:t>Evidence map</w:t>
      </w:r>
    </w:p>
    <w:tbl>
      <w:tblPr>
        <w:tblStyle w:val="TableGrid"/>
        <w:tblW w:type="dxa" w:w="9360"/>
        <w:jc w:val="left"/>
        <w:tblLayout w:type="fixed"/>
        <w:tblLook w:firstColumn="1" w:firstRow="1" w:lastColumn="0" w:lastRow="0" w:noHBand="0" w:noVBand="1" w:val="04A0"/>
        <w:tblInd w:w="120" w:type="dxa"/>
      </w:tblPr>
      <w:tblGrid>
        <w:gridCol w:w="3800"/>
        <w:gridCol w:w="5560"/>
      </w:tblGrid>
      <w:tr>
        <w:trPr>
          <w:tblHeader w:val="true"/>
        </w:trPr>
        <w:tc>
          <w:tcPr>
            <w:tcW w:type="dxa" w:w="3800"/>
            <w:shd w:fill="D9EAF7"/>
            <w:vAlign w:val="center"/>
            <w:tcMar>
              <w:top w:w="80" w:type="dxa"/>
              <w:start w:w="120" w:type="dxa"/>
              <w:bottom w:w="80" w:type="dxa"/>
              <w:end w:w="120" w:type="dxa"/>
            </w:tcMar>
          </w:tcPr>
          <w:p>
            <w:pPr>
              <w:jc w:val="center"/>
            </w:pPr>
            <w:r>
              <w:rPr>
                <w:rFonts w:ascii="Aptos" w:hAnsi="Aptos"/>
                <w:b/>
                <w:color w:val="17365D"/>
                <w:sz w:val="17"/>
              </w:rPr>
              <w:t>Artifact</w:t>
            </w:r>
          </w:p>
        </w:tc>
        <w:tc>
          <w:tcPr>
            <w:tcW w:type="dxa" w:w="5560"/>
            <w:shd w:fill="D9EAF7"/>
            <w:vAlign w:val="center"/>
            <w:tcMar>
              <w:top w:w="80" w:type="dxa"/>
              <w:start w:w="120" w:type="dxa"/>
              <w:bottom w:w="80" w:type="dxa"/>
              <w:end w:w="120" w:type="dxa"/>
            </w:tcMar>
          </w:tcPr>
          <w:p>
            <w:pPr>
              <w:jc w:val="center"/>
            </w:pPr>
            <w:r>
              <w:rPr>
                <w:rFonts w:ascii="Aptos" w:hAnsi="Aptos"/>
                <w:b/>
                <w:color w:val="17365D"/>
                <w:sz w:val="17"/>
              </w:rPr>
              <w:t>Purpose</w:t>
            </w:r>
          </w:p>
        </w:tc>
      </w:tr>
      <w:tr>
        <w:tc>
          <w:tcPr>
            <w:tcW w:type="dxa" w:w="3800"/>
            <w:vAlign w:val="center"/>
            <w:tcMar>
              <w:top w:w="80" w:type="dxa"/>
              <w:start w:w="120" w:type="dxa"/>
              <w:bottom w:w="80" w:type="dxa"/>
              <w:end w:w="120" w:type="dxa"/>
            </w:tcMar>
          </w:tcPr>
          <w:p>
            <w:pPr>
              <w:spacing w:after="0"/>
              <w:jc w:val="left"/>
            </w:pPr>
            <w:r>
              <w:rPr>
                <w:rFonts w:ascii="Aptos" w:hAnsi="Aptos"/>
                <w:color w:val="252B33"/>
                <w:sz w:val="17"/>
              </w:rPr>
              <w:t>adv ML Models/phase6_full_clean_split_rate_metrics_completed.csv</w:t>
            </w:r>
          </w:p>
        </w:tc>
        <w:tc>
          <w:tcPr>
            <w:tcW w:type="dxa" w:w="5560"/>
            <w:vAlign w:val="center"/>
            <w:tcMar>
              <w:top w:w="80" w:type="dxa"/>
              <w:start w:w="120" w:type="dxa"/>
              <w:bottom w:w="80" w:type="dxa"/>
              <w:end w:w="120" w:type="dxa"/>
            </w:tcMar>
          </w:tcPr>
          <w:p>
            <w:pPr>
              <w:spacing w:after="0"/>
              <w:jc w:val="left"/>
            </w:pPr>
            <w:r>
              <w:rPr>
                <w:rFonts w:ascii="Aptos" w:hAnsi="Aptos"/>
                <w:color w:val="252B33"/>
                <w:sz w:val="17"/>
              </w:rPr>
              <w:t>All controlled split/rate/model runs</w:t>
            </w:r>
          </w:p>
        </w:tc>
      </w:tr>
      <w:tr>
        <w:tc>
          <w:tcPr>
            <w:tcW w:type="dxa" w:w="3800"/>
            <w:shd w:fill="F8FAFC"/>
            <w:vAlign w:val="center"/>
            <w:tcMar>
              <w:top w:w="80" w:type="dxa"/>
              <w:start w:w="120" w:type="dxa"/>
              <w:bottom w:w="80" w:type="dxa"/>
              <w:end w:w="120" w:type="dxa"/>
            </w:tcMar>
          </w:tcPr>
          <w:p>
            <w:pPr>
              <w:spacing w:after="0"/>
              <w:jc w:val="left"/>
            </w:pPr>
            <w:r>
              <w:rPr>
                <w:rFonts w:ascii="Aptos" w:hAnsi="Aptos"/>
                <w:color w:val="252B33"/>
                <w:sz w:val="17"/>
              </w:rPr>
              <w:t>scripts/train_final_advanced_lightgbm.py</w:t>
            </w:r>
          </w:p>
        </w:tc>
        <w:tc>
          <w:tcPr>
            <w:tcW w:type="dxa" w:w="5560"/>
            <w:shd w:fill="F8FAFC"/>
            <w:vAlign w:val="center"/>
            <w:tcMar>
              <w:top w:w="80" w:type="dxa"/>
              <w:start w:w="120" w:type="dxa"/>
              <w:bottom w:w="80" w:type="dxa"/>
              <w:end w:w="120" w:type="dxa"/>
            </w:tcMar>
          </w:tcPr>
          <w:p>
            <w:pPr>
              <w:spacing w:after="0"/>
              <w:jc w:val="left"/>
            </w:pPr>
            <w:r>
              <w:rPr>
                <w:rFonts w:ascii="Aptos" w:hAnsi="Aptos"/>
                <w:color w:val="252B33"/>
                <w:sz w:val="17"/>
              </w:rPr>
              <w:t>Final refit and full test scoring workflow</w:t>
            </w:r>
          </w:p>
        </w:tc>
      </w:tr>
      <w:tr>
        <w:tc>
          <w:tcPr>
            <w:tcW w:type="dxa" w:w="3800"/>
            <w:vAlign w:val="center"/>
            <w:tcMar>
              <w:top w:w="80" w:type="dxa"/>
              <w:start w:w="120" w:type="dxa"/>
              <w:bottom w:w="80" w:type="dxa"/>
              <w:end w:w="120" w:type="dxa"/>
            </w:tcMar>
          </w:tcPr>
          <w:p>
            <w:pPr>
              <w:spacing w:after="0"/>
              <w:jc w:val="left"/>
            </w:pPr>
            <w:r>
              <w:rPr>
                <w:rFonts w:ascii="Aptos" w:hAnsi="Aptos"/>
                <w:color w:val="252B33"/>
                <w:sz w:val="17"/>
              </w:rPr>
              <w:t>reports/advanced_ml_model_card.json</w:t>
            </w:r>
          </w:p>
        </w:tc>
        <w:tc>
          <w:tcPr>
            <w:tcW w:type="dxa" w:w="5560"/>
            <w:vAlign w:val="center"/>
            <w:tcMar>
              <w:top w:w="80" w:type="dxa"/>
              <w:start w:w="120" w:type="dxa"/>
              <w:bottom w:w="80" w:type="dxa"/>
              <w:end w:w="120" w:type="dxa"/>
            </w:tcMar>
          </w:tcPr>
          <w:p>
            <w:pPr>
              <w:spacing w:after="0"/>
              <w:jc w:val="left"/>
            </w:pPr>
            <w:r>
              <w:rPr>
                <w:rFonts w:ascii="Aptos" w:hAnsi="Aptos"/>
                <w:color w:val="252B33"/>
                <w:sz w:val="17"/>
              </w:rPr>
              <w:t>Selected configuration and test inference metadata</w:t>
            </w:r>
          </w:p>
        </w:tc>
      </w:tr>
      <w:tr>
        <w:tc>
          <w:tcPr>
            <w:tcW w:type="dxa" w:w="3800"/>
            <w:shd w:fill="F8FAFC"/>
            <w:vAlign w:val="center"/>
            <w:tcMar>
              <w:top w:w="80" w:type="dxa"/>
              <w:start w:w="120" w:type="dxa"/>
              <w:bottom w:w="80" w:type="dxa"/>
              <w:end w:w="120" w:type="dxa"/>
            </w:tcMar>
          </w:tcPr>
          <w:p>
            <w:pPr>
              <w:spacing w:after="0"/>
              <w:jc w:val="left"/>
            </w:pPr>
            <w:r>
              <w:rPr>
                <w:rFonts w:ascii="Aptos" w:hAnsi="Aptos"/>
                <w:color w:val="252B33"/>
                <w:sz w:val="17"/>
              </w:rPr>
              <w:t>reports/advanced_ml_test_prediction_summary.csv</w:t>
            </w:r>
          </w:p>
        </w:tc>
        <w:tc>
          <w:tcPr>
            <w:tcW w:type="dxa" w:w="5560"/>
            <w:shd w:fill="F8FAFC"/>
            <w:vAlign w:val="center"/>
            <w:tcMar>
              <w:top w:w="80" w:type="dxa"/>
              <w:start w:w="120" w:type="dxa"/>
              <w:bottom w:w="80" w:type="dxa"/>
              <w:end w:w="120" w:type="dxa"/>
            </w:tcMar>
          </w:tcPr>
          <w:p>
            <w:pPr>
              <w:spacing w:after="0"/>
              <w:jc w:val="left"/>
            </w:pPr>
            <w:r>
              <w:rPr>
                <w:rFonts w:ascii="Aptos" w:hAnsi="Aptos"/>
                <w:color w:val="252B33"/>
                <w:sz w:val="17"/>
              </w:rPr>
              <w:t>Scored population, alert count, alert rate and cutoff</w:t>
            </w:r>
          </w:p>
        </w:tc>
      </w:tr>
      <w:tr>
        <w:tc>
          <w:tcPr>
            <w:tcW w:type="dxa" w:w="3800"/>
            <w:vAlign w:val="center"/>
            <w:tcMar>
              <w:top w:w="80" w:type="dxa"/>
              <w:start w:w="120" w:type="dxa"/>
              <w:bottom w:w="80" w:type="dxa"/>
              <w:end w:w="120" w:type="dxa"/>
            </w:tcMar>
          </w:tcPr>
          <w:p>
            <w:pPr>
              <w:spacing w:after="0"/>
              <w:jc w:val="left"/>
            </w:pPr>
            <w:r>
              <w:rPr>
                <w:rFonts w:ascii="Aptos" w:hAnsi="Aptos"/>
                <w:color w:val="252B33"/>
                <w:sz w:val="17"/>
              </w:rPr>
              <w:t>reports/phase10_advanced_ai_model_comparison.csv</w:t>
            </w:r>
          </w:p>
        </w:tc>
        <w:tc>
          <w:tcPr>
            <w:tcW w:type="dxa" w:w="5560"/>
            <w:vAlign w:val="center"/>
            <w:tcMar>
              <w:top w:w="80" w:type="dxa"/>
              <w:start w:w="120" w:type="dxa"/>
              <w:bottom w:w="80" w:type="dxa"/>
              <w:end w:w="120" w:type="dxa"/>
            </w:tcMar>
          </w:tcPr>
          <w:p>
            <w:pPr>
              <w:spacing w:after="0"/>
              <w:jc w:val="left"/>
            </w:pPr>
            <w:r>
              <w:rPr>
                <w:rFonts w:ascii="Aptos" w:hAnsi="Aptos"/>
                <w:color w:val="252B33"/>
                <w:sz w:val="17"/>
              </w:rPr>
              <w:t>Research-only advanced diagnostic comparison</w:t>
            </w:r>
          </w:p>
        </w:tc>
      </w:tr>
      <w:tr>
        <w:tc>
          <w:tcPr>
            <w:tcW w:type="dxa" w:w="3800"/>
            <w:shd w:fill="F8FAFC"/>
            <w:vAlign w:val="center"/>
            <w:tcMar>
              <w:top w:w="80" w:type="dxa"/>
              <w:start w:w="120" w:type="dxa"/>
              <w:bottom w:w="80" w:type="dxa"/>
              <w:end w:w="120" w:type="dxa"/>
            </w:tcMar>
          </w:tcPr>
          <w:p>
            <w:pPr>
              <w:spacing w:after="0"/>
              <w:jc w:val="left"/>
            </w:pPr>
            <w:r>
              <w:rPr>
                <w:rFonts w:ascii="Aptos" w:hAnsi="Aptos"/>
                <w:color w:val="252B33"/>
                <w:sz w:val="17"/>
              </w:rPr>
              <w:t>app/project_streamlit_dashboard.py</w:t>
            </w:r>
          </w:p>
        </w:tc>
        <w:tc>
          <w:tcPr>
            <w:tcW w:type="dxa" w:w="5560"/>
            <w:shd w:fill="F8FAFC"/>
            <w:vAlign w:val="center"/>
            <w:tcMar>
              <w:top w:w="80" w:type="dxa"/>
              <w:start w:w="120" w:type="dxa"/>
              <w:bottom w:w="80" w:type="dxa"/>
              <w:end w:w="120" w:type="dxa"/>
            </w:tcMar>
          </w:tcPr>
          <w:p>
            <w:pPr>
              <w:spacing w:after="0"/>
              <w:jc w:val="left"/>
            </w:pPr>
            <w:r>
              <w:rPr>
                <w:rFonts w:ascii="Aptos" w:hAnsi="Aptos"/>
                <w:color w:val="252B33"/>
                <w:sz w:val="17"/>
              </w:rPr>
              <w:t>Dashboard integration and user-facing caveats</w:t>
            </w:r>
          </w:p>
        </w:tc>
      </w:tr>
    </w:tbl>
    <w:p/>
    <w:sectPr w:rsidR="00FC693F" w:rsidRPr="0006063C" w:rsidSect="00034616">
      <w:headerReference w:type="default" r:id="rId9"/>
      <w:footerReference w:type="default" r:id="rId10"/>
      <w:pgSz w:w="11909" w:h="16834"/>
      <w:pgMar w:top="950"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Part XIV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BOSCH PRODUCTION LINE PERFORMANCE | PART XIV - ADVANCED ML MODELS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ummary">
    <w:name w:val="Chapter Summary"/>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Production Line Performance — Part VI: Machine Learning</dc:title>
  <dc:subject>Logistic Regression, Random Forest, XGBoost, CatBoost, LightGBM, and Model Selection</dc:subject>
  <dc:creator>Krishnakanth Reddy Karingula</dc:creator>
  <cp:keywords>Bosch, manufacturing, machine learning, LightGBM, XGBoost, CatBoost, Random Forest, Logistic Regression, MCC</cp:keywords>
  <dc:description>generated by python-docx</dc:description>
  <cp:lastModifiedBy/>
  <cp:revision>1</cp:revision>
  <dcterms:created xsi:type="dcterms:W3CDTF">2013-12-23T23:15:00Z</dcterms:created>
  <dcterms:modified xsi:type="dcterms:W3CDTF">2013-12-23T23:15:00Z</dcterms:modified>
  <cp:category/>
</cp:coreProperties>
</file>