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rPr>
          <w:rFonts w:ascii="Times New Roman"/>
          <w:sz w:val="36"/>
        </w:rPr>
      </w:pPr>
    </w:p>
    <w:p>
      <w:pPr>
        <w:pStyle w:val="Heading1"/>
        <w:ind w:left="25" w:firstLine="0"/>
        <w:jc w:val="center"/>
      </w:pPr>
      <w:r>
        <w:rPr>
          <w:color w:val="111111"/>
        </w:rPr>
        <w:t>Clinical Study </w:t>
      </w:r>
      <w:r>
        <w:rPr>
          <w:color w:val="111111"/>
          <w:spacing w:val="-2"/>
        </w:rPr>
        <w:t>Report</w:t>
      </w:r>
    </w:p>
    <w:p>
      <w:pPr>
        <w:pStyle w:val="BodyText"/>
        <w:spacing w:before="1" w:after="1"/>
        <w:rPr>
          <w:rFonts w:ascii="Arial"/>
          <w:b/>
          <w:sz w:val="18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6915"/>
      </w:tblGrid>
      <w:tr>
        <w:trPr>
          <w:trHeight w:val="569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Sponsor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NovaCura Biotech maybe </w:t>
            </w:r>
            <w:r>
              <w:rPr>
                <w:color w:val="111111"/>
                <w:spacing w:val="-2"/>
                <w:sz w:val="24"/>
              </w:rPr>
              <w:t>final</w:t>
            </w:r>
          </w:p>
        </w:tc>
      </w:tr>
      <w:tr>
        <w:trPr>
          <w:trHeight w:val="569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Study </w:t>
            </w:r>
            <w:r>
              <w:rPr>
                <w:rFonts w:ascii="Arial"/>
                <w:b/>
                <w:color w:val="111111"/>
                <w:spacing w:val="-4"/>
                <w:sz w:val="24"/>
              </w:rPr>
              <w:t>Drug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CLN-</w:t>
            </w:r>
            <w:r>
              <w:rPr>
                <w:color w:val="111111"/>
                <w:spacing w:val="-5"/>
                <w:sz w:val="24"/>
              </w:rPr>
              <w:t>201</w:t>
            </w:r>
          </w:p>
        </w:tc>
      </w:tr>
      <w:tr>
        <w:trPr>
          <w:trHeight w:val="584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Protocol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Number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CLN-201-2026-01 / CLN-201-2026-</w:t>
            </w:r>
            <w:r>
              <w:rPr>
                <w:color w:val="111111"/>
                <w:spacing w:val="-5"/>
                <w:sz w:val="24"/>
              </w:rPr>
              <w:t>07</w:t>
            </w:r>
          </w:p>
        </w:tc>
      </w:tr>
      <w:tr>
        <w:trPr>
          <w:trHeight w:val="569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Phase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Phase II or </w:t>
            </w:r>
            <w:r>
              <w:rPr>
                <w:color w:val="111111"/>
                <w:spacing w:val="-5"/>
                <w:sz w:val="24"/>
              </w:rPr>
              <w:t>III</w:t>
            </w:r>
          </w:p>
        </w:tc>
      </w:tr>
      <w:tr>
        <w:trPr>
          <w:trHeight w:val="584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Report </w:t>
            </w:r>
            <w:r>
              <w:rPr>
                <w:rFonts w:ascii="Arial"/>
                <w:b/>
                <w:color w:val="111111"/>
                <w:spacing w:val="-4"/>
                <w:sz w:val="24"/>
              </w:rPr>
              <w:t>Date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2026-05-16 and revised maybe 2026-06-</w:t>
            </w:r>
            <w:r>
              <w:rPr>
                <w:color w:val="111111"/>
                <w:spacing w:val="-5"/>
                <w:sz w:val="24"/>
              </w:rPr>
              <w:t>01</w:t>
            </w:r>
          </w:p>
        </w:tc>
      </w:tr>
      <w:tr>
        <w:trPr>
          <w:trHeight w:val="569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Version</w:t>
            </w:r>
          </w:p>
        </w:tc>
        <w:tc>
          <w:tcPr>
            <w:tcW w:w="691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Final draft </w:t>
            </w:r>
            <w:r>
              <w:rPr>
                <w:color w:val="111111"/>
                <w:spacing w:val="-2"/>
                <w:sz w:val="24"/>
              </w:rPr>
              <w:t>maybe</w:t>
            </w:r>
          </w:p>
        </w:tc>
      </w:tr>
    </w:tbl>
    <w:p>
      <w:pPr>
        <w:spacing w:before="257"/>
        <w:ind w:left="79" w:right="0" w:firstLine="0"/>
        <w:jc w:val="left"/>
        <w:rPr>
          <w:sz w:val="18"/>
        </w:rPr>
      </w:pPr>
      <w:r>
        <w:rPr>
          <w:rFonts w:ascii="Arial"/>
          <w:b/>
          <w:color w:val="111111"/>
          <w:sz w:val="18"/>
        </w:rPr>
        <w:t>Confidential: </w:t>
      </w:r>
      <w:r>
        <w:rPr>
          <w:color w:val="111111"/>
          <w:sz w:val="18"/>
        </w:rPr>
        <w:t>internal and external use okay if </w:t>
      </w:r>
      <w:r>
        <w:rPr>
          <w:color w:val="111111"/>
          <w:spacing w:val="-2"/>
          <w:sz w:val="18"/>
        </w:rPr>
        <w:t>needed.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20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  <w:spacing w:val="-2"/>
        </w:rPr>
        <w:t>Synopsis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590549</wp:posOffset>
                </wp:positionH>
                <wp:positionV relativeFrom="paragraph">
                  <wp:posOffset>66095</wp:posOffset>
                </wp:positionV>
                <wp:extent cx="63912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4375pt;width:503.24996pt;height:.75pt;mso-position-horizontal-relative:page;mso-position-vertical-relative:paragraph;z-index:-15728640;mso-wrap-distance-left:0;mso-wrap-distance-right:0" id="docshape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/>
        <w:ind w:left="79" w:right="411"/>
      </w:pPr>
      <w:r>
        <w:rPr>
          <w:color w:val="111111"/>
        </w:rPr>
        <w:t>This</w:t>
      </w:r>
      <w:r>
        <w:rPr>
          <w:color w:val="111111"/>
          <w:spacing w:val="-3"/>
        </w:rPr>
        <w:t> </w:t>
      </w:r>
      <w:r>
        <w:rPr>
          <w:color w:val="111111"/>
        </w:rPr>
        <w:t>report</w:t>
      </w:r>
      <w:r>
        <w:rPr>
          <w:color w:val="111111"/>
          <w:spacing w:val="-3"/>
        </w:rPr>
        <w:t> </w:t>
      </w:r>
      <w:r>
        <w:rPr>
          <w:color w:val="111111"/>
        </w:rPr>
        <w:t>describes</w:t>
      </w:r>
      <w:r>
        <w:rPr>
          <w:color w:val="111111"/>
          <w:spacing w:val="-3"/>
        </w:rPr>
        <w:t> </w:t>
      </w:r>
      <w:r>
        <w:rPr>
          <w:color w:val="111111"/>
        </w:rPr>
        <w:t>a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CLN-201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inflammatory</w:t>
      </w:r>
      <w:r>
        <w:rPr>
          <w:color w:val="111111"/>
          <w:spacing w:val="-3"/>
        </w:rPr>
        <w:t> </w:t>
      </w:r>
      <w:r>
        <w:rPr>
          <w:color w:val="111111"/>
        </w:rPr>
        <w:t>disease.</w:t>
      </w:r>
      <w:r>
        <w:rPr>
          <w:color w:val="111111"/>
          <w:spacing w:val="-8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was</w:t>
      </w:r>
      <w:r>
        <w:rPr>
          <w:color w:val="111111"/>
          <w:spacing w:val="-3"/>
        </w:rPr>
        <w:t> </w:t>
      </w:r>
      <w:r>
        <w:rPr>
          <w:color w:val="111111"/>
        </w:rPr>
        <w:t>generally successful although some endpoints were not met and the primary endpoint may have changed during the study.</w:t>
      </w:r>
    </w:p>
    <w:p>
      <w:pPr>
        <w:pStyle w:val="BodyText"/>
        <w:spacing w:before="4" w:after="1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8100"/>
      </w:tblGrid>
      <w:tr>
        <w:trPr>
          <w:trHeight w:val="569" w:hRule="atLeast"/>
        </w:trPr>
        <w:tc>
          <w:tcPr>
            <w:tcW w:w="1950" w:type="dxa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Item</w:t>
            </w:r>
          </w:p>
        </w:tc>
        <w:tc>
          <w:tcPr>
            <w:tcW w:w="8100" w:type="dxa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Description</w:t>
            </w:r>
          </w:p>
        </w:tc>
      </w:tr>
      <w:tr>
        <w:trPr>
          <w:trHeight w:val="914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 </w:t>
            </w:r>
            <w:r>
              <w:rPr>
                <w:color w:val="111111"/>
                <w:spacing w:val="-2"/>
                <w:sz w:val="24"/>
              </w:rPr>
              <w:t>Design</w:t>
            </w:r>
          </w:p>
        </w:tc>
        <w:tc>
          <w:tcPr>
            <w:tcW w:w="8100" w:type="dxa"/>
          </w:tcPr>
          <w:p>
            <w:pPr>
              <w:pStyle w:val="TableParagraph"/>
              <w:spacing w:line="288" w:lineRule="auto"/>
              <w:ind w:left="128" w:right="230"/>
              <w:rPr>
                <w:sz w:val="24"/>
              </w:rPr>
            </w:pPr>
            <w:r>
              <w:rPr>
                <w:color w:val="111111"/>
                <w:sz w:val="24"/>
              </w:rPr>
              <w:t>Randomized,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blinded,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placebo-controlled,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active-controlled,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and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open- label at some sites.</w:t>
            </w:r>
          </w:p>
        </w:tc>
      </w:tr>
      <w:tr>
        <w:trPr>
          <w:trHeight w:val="569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Population</w:t>
            </w:r>
          </w:p>
        </w:tc>
        <w:tc>
          <w:tcPr>
            <w:tcW w:w="810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Adults age 18 to 75, maybe 18 to 70 depending on </w:t>
            </w:r>
            <w:r>
              <w:rPr>
                <w:color w:val="111111"/>
                <w:spacing w:val="-2"/>
                <w:sz w:val="24"/>
              </w:rPr>
              <w:t>site.</w:t>
            </w:r>
          </w:p>
        </w:tc>
      </w:tr>
      <w:tr>
        <w:trPr>
          <w:trHeight w:val="569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Sample </w:t>
            </w:r>
            <w:r>
              <w:rPr>
                <w:color w:val="111111"/>
                <w:spacing w:val="-4"/>
                <w:sz w:val="24"/>
              </w:rPr>
              <w:t>Size</w:t>
            </w:r>
          </w:p>
        </w:tc>
        <w:tc>
          <w:tcPr>
            <w:tcW w:w="810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Planned 100 or 120; enrolled 148; randomized 120 or </w:t>
            </w:r>
            <w:r>
              <w:rPr>
                <w:color w:val="111111"/>
                <w:spacing w:val="-4"/>
                <w:sz w:val="24"/>
              </w:rPr>
              <w:t>140.</w:t>
            </w:r>
          </w:p>
        </w:tc>
      </w:tr>
      <w:tr>
        <w:trPr>
          <w:trHeight w:val="914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Treatment</w:t>
            </w:r>
          </w:p>
        </w:tc>
        <w:tc>
          <w:tcPr>
            <w:tcW w:w="8100" w:type="dxa"/>
          </w:tcPr>
          <w:p>
            <w:pPr>
              <w:pStyle w:val="TableParagraph"/>
              <w:spacing w:line="300" w:lineRule="auto"/>
              <w:ind w:left="128" w:right="230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once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daily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or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twice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daily.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or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comparator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depending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on </w:t>
            </w:r>
            <w:r>
              <w:rPr>
                <w:color w:val="111111"/>
                <w:spacing w:val="-2"/>
                <w:sz w:val="24"/>
              </w:rPr>
              <w:t>region.</w:t>
            </w:r>
          </w:p>
        </w:tc>
      </w:tr>
      <w:tr>
        <w:trPr>
          <w:trHeight w:val="584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Duration</w:t>
            </w:r>
          </w:p>
        </w:tc>
        <w:tc>
          <w:tcPr>
            <w:tcW w:w="810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10 weeks, 12 weeks, or 16 weeks treatment depending on data </w:t>
            </w:r>
            <w:r>
              <w:rPr>
                <w:color w:val="111111"/>
                <w:spacing w:val="-4"/>
                <w:sz w:val="24"/>
              </w:rPr>
              <w:t>cut.</w:t>
            </w:r>
          </w:p>
        </w:tc>
      </w:tr>
      <w:tr>
        <w:trPr>
          <w:trHeight w:val="899" w:hRule="atLeast"/>
        </w:trPr>
        <w:tc>
          <w:tcPr>
            <w:tcW w:w="1950" w:type="dxa"/>
          </w:tcPr>
          <w:p>
            <w:pPr>
              <w:pStyle w:val="TableParagraph"/>
              <w:spacing w:line="288" w:lineRule="auto"/>
              <w:ind w:right="856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Primary Endpoint</w:t>
            </w:r>
          </w:p>
        </w:tc>
        <w:tc>
          <w:tcPr>
            <w:tcW w:w="810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Change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score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at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8,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12,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or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remission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at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pacing w:val="-5"/>
                <w:sz w:val="24"/>
              </w:rPr>
              <w:t>24.</w:t>
            </w:r>
          </w:p>
        </w:tc>
      </w:tr>
      <w:tr>
        <w:trPr>
          <w:trHeight w:val="914" w:hRule="atLeast"/>
        </w:trPr>
        <w:tc>
          <w:tcPr>
            <w:tcW w:w="1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Result</w:t>
            </w:r>
          </w:p>
        </w:tc>
        <w:tc>
          <w:tcPr>
            <w:tcW w:w="8100" w:type="dxa"/>
          </w:tcPr>
          <w:p>
            <w:pPr>
              <w:pStyle w:val="TableParagraph"/>
              <w:spacing w:line="300" w:lineRule="auto"/>
              <w:ind w:left="128" w:right="230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performed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better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than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placebo,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but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primary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endpoint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was not met.</w:t>
            </w:r>
          </w:p>
        </w:tc>
      </w:tr>
    </w:tbl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  <w:spacing w:val="-2"/>
        </w:rPr>
        <w:t>Ethics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590549</wp:posOffset>
                </wp:positionH>
                <wp:positionV relativeFrom="paragraph">
                  <wp:posOffset>75601</wp:posOffset>
                </wp:positionV>
                <wp:extent cx="63912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2902pt;width:503.24996pt;height:.75pt;mso-position-horizontal-relative:page;mso-position-vertical-relative:paragraph;z-index:-15728128;mso-wrap-distance-left:0;mso-wrap-distance-right:0" id="docshape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The</w:t>
      </w:r>
      <w:r>
        <w:rPr>
          <w:color w:val="111111"/>
          <w:spacing w:val="-4"/>
        </w:rPr>
        <w:t> </w:t>
      </w:r>
      <w:r>
        <w:rPr>
          <w:color w:val="111111"/>
        </w:rPr>
        <w:t>study</w:t>
      </w:r>
      <w:r>
        <w:rPr>
          <w:color w:val="111111"/>
          <w:spacing w:val="-4"/>
        </w:rPr>
        <w:t> </w:t>
      </w:r>
      <w:r>
        <w:rPr>
          <w:color w:val="111111"/>
        </w:rPr>
        <w:t>followed</w:t>
      </w:r>
      <w:r>
        <w:rPr>
          <w:color w:val="111111"/>
          <w:spacing w:val="-4"/>
        </w:rPr>
        <w:t> </w:t>
      </w:r>
      <w:r>
        <w:rPr>
          <w:color w:val="111111"/>
        </w:rPr>
        <w:t>GCP</w:t>
      </w:r>
      <w:r>
        <w:rPr>
          <w:color w:val="111111"/>
          <w:spacing w:val="-9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ethics</w:t>
      </w:r>
      <w:r>
        <w:rPr>
          <w:color w:val="111111"/>
          <w:spacing w:val="-4"/>
        </w:rPr>
        <w:t> </w:t>
      </w:r>
      <w:r>
        <w:rPr>
          <w:color w:val="111111"/>
        </w:rPr>
        <w:t>requirements</w:t>
      </w:r>
      <w:r>
        <w:rPr>
          <w:color w:val="111111"/>
          <w:spacing w:val="-4"/>
        </w:rPr>
        <w:t> </w:t>
      </w:r>
      <w:r>
        <w:rPr>
          <w:color w:val="111111"/>
        </w:rPr>
        <w:t>where</w:t>
      </w:r>
      <w:r>
        <w:rPr>
          <w:color w:val="111111"/>
          <w:spacing w:val="-4"/>
        </w:rPr>
        <w:t> </w:t>
      </w:r>
      <w:r>
        <w:rPr>
          <w:color w:val="111111"/>
        </w:rPr>
        <w:t>applicable.</w:t>
      </w:r>
      <w:r>
        <w:rPr>
          <w:color w:val="111111"/>
          <w:spacing w:val="-4"/>
        </w:rPr>
        <w:t> </w:t>
      </w:r>
      <w:r>
        <w:rPr>
          <w:color w:val="111111"/>
        </w:rPr>
        <w:t>Patients</w:t>
      </w:r>
      <w:r>
        <w:rPr>
          <w:color w:val="111111"/>
          <w:spacing w:val="-4"/>
        </w:rPr>
        <w:t> </w:t>
      </w:r>
      <w:r>
        <w:rPr>
          <w:color w:val="111111"/>
        </w:rPr>
        <w:t>signed</w:t>
      </w:r>
      <w:r>
        <w:rPr>
          <w:color w:val="111111"/>
          <w:spacing w:val="-4"/>
        </w:rPr>
        <w:t> </w:t>
      </w:r>
      <w:r>
        <w:rPr>
          <w:color w:val="111111"/>
        </w:rPr>
        <w:t>consent before most procedures.</w:t>
      </w:r>
    </w:p>
    <w:p>
      <w:pPr>
        <w:pStyle w:val="BodyText"/>
        <w:spacing w:after="0" w:line="288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20" w:bottom="460" w:left="850" w:right="850"/>
          <w:pgNumType w:start="1"/>
        </w:sectPr>
      </w:pPr>
    </w:p>
    <w:p>
      <w:pPr>
        <w:pStyle w:val="BodyText"/>
        <w:spacing w:before="6"/>
        <w:rPr>
          <w:sz w:val="3"/>
        </w:rPr>
      </w:pPr>
    </w:p>
    <w:p>
      <w:pPr>
        <w:pStyle w:val="BodyText"/>
        <w:spacing w:before="0"/>
        <w:ind w:left="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1275" cy="6191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91275" cy="619125"/>
                          <a:chExt cx="6391275" cy="6191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912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19125">
                                <a:moveTo>
                                  <a:pt x="6391274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0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099" y="0"/>
                            <a:ext cx="635317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65"/>
                                <w:ind w:left="1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Ethics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committee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names,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approval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dates,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consent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version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this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report.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25pt;height:48.75pt;mso-position-horizontal-relative:char;mso-position-vertical-relative:line" id="docshapegroup7" coordorigin="0,0" coordsize="10065,975">
                <v:rect style="position:absolute;left:0;top:0;width:10065;height:975" id="docshape8" filled="true" fillcolor="#f5f5f5" stroked="false">
                  <v:fill type="solid"/>
                </v:rect>
                <v:rect style="position:absolute;left:0;top:0;width:60;height:975" id="docshape9" filled="true" fillcolor="#999999" stroked="false">
                  <v:fill type="solid"/>
                </v:rect>
                <v:shape style="position:absolute;left:60;top:0;width:10005;height:975" type="#_x0000_t202" id="docshape10" filled="false" stroked="false">
                  <v:textbox inset="0,0,0,0">
                    <w:txbxContent>
                      <w:p>
                        <w:pPr>
                          <w:spacing w:line="288" w:lineRule="auto" w:before="165"/>
                          <w:ind w:left="1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Ethics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committee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names,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approval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dates,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and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consent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version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history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not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available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</w:t>
                        </w:r>
                        <w:r>
                          <w:rPr>
                            <w:color w:val="11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this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report.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372" w:after="0"/>
        <w:ind w:left="479" w:right="0" w:hanging="400"/>
        <w:jc w:val="left"/>
      </w:pPr>
      <w:r>
        <w:rPr>
          <w:color w:val="111111"/>
          <w:spacing w:val="-2"/>
        </w:rPr>
        <w:t>Introduction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590549</wp:posOffset>
                </wp:positionH>
                <wp:positionV relativeFrom="paragraph">
                  <wp:posOffset>66316</wp:posOffset>
                </wp:positionV>
                <wp:extent cx="63912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21788pt;width:503.24996pt;height:.75pt;mso-position-horizontal-relative:page;mso-position-vertical-relative:paragraph;z-index:-15727104;mso-wrap-distance-left:0;mso-wrap-distance-right:0" id="docshape1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/>
        <w:ind w:left="79"/>
      </w:pPr>
      <w:r>
        <w:rPr>
          <w:color w:val="111111"/>
        </w:rPr>
        <w:t>CLN-201</w:t>
      </w:r>
      <w:r>
        <w:rPr>
          <w:color w:val="111111"/>
          <w:spacing w:val="-4"/>
        </w:rPr>
        <w:t> </w:t>
      </w:r>
      <w:r>
        <w:rPr>
          <w:color w:val="111111"/>
        </w:rPr>
        <w:t>is</w:t>
      </w:r>
      <w:r>
        <w:rPr>
          <w:color w:val="111111"/>
          <w:spacing w:val="-4"/>
        </w:rPr>
        <w:t> </w:t>
      </w:r>
      <w:r>
        <w:rPr>
          <w:color w:val="111111"/>
        </w:rPr>
        <w:t>being</w:t>
      </w:r>
      <w:r>
        <w:rPr>
          <w:color w:val="111111"/>
          <w:spacing w:val="-4"/>
        </w:rPr>
        <w:t> </w:t>
      </w:r>
      <w:r>
        <w:rPr>
          <w:color w:val="111111"/>
        </w:rPr>
        <w:t>developed</w:t>
      </w:r>
      <w:r>
        <w:rPr>
          <w:color w:val="111111"/>
          <w:spacing w:val="-4"/>
        </w:rPr>
        <w:t> </w:t>
      </w:r>
      <w:r>
        <w:rPr>
          <w:color w:val="111111"/>
        </w:rPr>
        <w:t>for</w:t>
      </w:r>
      <w:r>
        <w:rPr>
          <w:color w:val="111111"/>
          <w:spacing w:val="-4"/>
        </w:rPr>
        <w:t> </w:t>
      </w:r>
      <w:r>
        <w:rPr>
          <w:color w:val="111111"/>
        </w:rPr>
        <w:t>inflammatory</w:t>
      </w:r>
      <w:r>
        <w:rPr>
          <w:color w:val="111111"/>
          <w:spacing w:val="-4"/>
        </w:rPr>
        <w:t> </w:t>
      </w:r>
      <w:r>
        <w:rPr>
          <w:color w:val="111111"/>
        </w:rPr>
        <w:t>disease.</w:t>
      </w:r>
      <w:r>
        <w:rPr>
          <w:color w:val="111111"/>
          <w:spacing w:val="-4"/>
        </w:rPr>
        <w:t> </w:t>
      </w:r>
      <w:r>
        <w:rPr>
          <w:color w:val="111111"/>
        </w:rPr>
        <w:t>It</w:t>
      </w:r>
      <w:r>
        <w:rPr>
          <w:color w:val="111111"/>
          <w:spacing w:val="-4"/>
        </w:rPr>
        <w:t> </w:t>
      </w:r>
      <w:r>
        <w:rPr>
          <w:color w:val="111111"/>
        </w:rPr>
        <w:t>may</w:t>
      </w:r>
      <w:r>
        <w:rPr>
          <w:color w:val="111111"/>
          <w:spacing w:val="-4"/>
        </w:rPr>
        <w:t> </w:t>
      </w:r>
      <w:r>
        <w:rPr>
          <w:color w:val="111111"/>
        </w:rPr>
        <w:t>help</w:t>
      </w:r>
      <w:r>
        <w:rPr>
          <w:color w:val="111111"/>
          <w:spacing w:val="-4"/>
        </w:rPr>
        <w:t> </w:t>
      </w:r>
      <w:r>
        <w:rPr>
          <w:color w:val="111111"/>
        </w:rPr>
        <w:t>symptoms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disease activity. More background is available in other documents.</w: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Objectives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590549</wp:posOffset>
                </wp:positionH>
                <wp:positionV relativeFrom="paragraph">
                  <wp:posOffset>75639</wp:posOffset>
                </wp:positionV>
                <wp:extent cx="639127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5852pt;width:503.24996pt;height:.75pt;mso-position-horizontal-relative:page;mso-position-vertical-relative:paragraph;z-index:-15726592;mso-wrap-distance-left:0;mso-wrap-distance-right:0" id="docshape1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4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11111"/>
        </w:rPr>
        <w:t>Primary: improve symptoms</w:t>
      </w:r>
    </w:p>
    <w:p>
      <w:pPr>
        <w:pStyle w:val="BodyText"/>
        <w:spacing w:before="54"/>
        <w:ind w:left="4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11111"/>
        </w:rPr>
        <w:t>Secondary: safety, labs, biomarkers, quality of life, other things if useful</w:t>
      </w:r>
    </w:p>
    <w:p>
      <w:pPr>
        <w:pStyle w:val="BodyText"/>
        <w:spacing w:before="175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Investigational </w:t>
      </w:r>
      <w:r>
        <w:rPr>
          <w:color w:val="111111"/>
          <w:spacing w:val="-4"/>
        </w:rPr>
        <w:t>Plan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590549</wp:posOffset>
                </wp:positionH>
                <wp:positionV relativeFrom="paragraph">
                  <wp:posOffset>66106</wp:posOffset>
                </wp:positionV>
                <wp:extent cx="63912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5266pt;width:503.24996pt;height:.75pt;mso-position-horizontal-relative:page;mso-position-vertical-relative:paragraph;z-index:-15726080;mso-wrap-distance-left:0;mso-wrap-distance-right:0" id="docshape1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/>
        <w:ind w:left="79" w:right="411"/>
      </w:pPr>
      <w:r>
        <w:rPr>
          <w:color w:val="111111"/>
        </w:rPr>
        <w:t>This</w:t>
      </w:r>
      <w:r>
        <w:rPr>
          <w:color w:val="111111"/>
          <w:spacing w:val="-5"/>
        </w:rPr>
        <w:t> </w:t>
      </w:r>
      <w:r>
        <w:rPr>
          <w:color w:val="111111"/>
        </w:rPr>
        <w:t>was</w:t>
      </w:r>
      <w:r>
        <w:rPr>
          <w:color w:val="111111"/>
          <w:spacing w:val="-5"/>
        </w:rPr>
        <w:t> </w:t>
      </w:r>
      <w:r>
        <w:rPr>
          <w:color w:val="111111"/>
        </w:rPr>
        <w:t>a</w:t>
      </w:r>
      <w:r>
        <w:rPr>
          <w:color w:val="111111"/>
          <w:spacing w:val="-5"/>
        </w:rPr>
        <w:t> </w:t>
      </w:r>
      <w:r>
        <w:rPr>
          <w:color w:val="111111"/>
        </w:rPr>
        <w:t>multicenter</w:t>
      </w:r>
      <w:r>
        <w:rPr>
          <w:color w:val="111111"/>
          <w:spacing w:val="-5"/>
        </w:rPr>
        <w:t> </w:t>
      </w:r>
      <w:r>
        <w:rPr>
          <w:color w:val="111111"/>
        </w:rPr>
        <w:t>study.</w:t>
      </w:r>
      <w:r>
        <w:rPr>
          <w:color w:val="111111"/>
          <w:spacing w:val="-5"/>
        </w:rPr>
        <w:t> </w:t>
      </w:r>
      <w:r>
        <w:rPr>
          <w:color w:val="111111"/>
        </w:rPr>
        <w:t>Subjects</w:t>
      </w:r>
      <w:r>
        <w:rPr>
          <w:color w:val="111111"/>
          <w:spacing w:val="-5"/>
        </w:rPr>
        <w:t> </w:t>
      </w:r>
      <w:r>
        <w:rPr>
          <w:color w:val="111111"/>
        </w:rPr>
        <w:t>were</w:t>
      </w:r>
      <w:r>
        <w:rPr>
          <w:color w:val="111111"/>
          <w:spacing w:val="-5"/>
        </w:rPr>
        <w:t> </w:t>
      </w:r>
      <w:r>
        <w:rPr>
          <w:color w:val="111111"/>
        </w:rPr>
        <w:t>assigned</w:t>
      </w:r>
      <w:r>
        <w:rPr>
          <w:color w:val="111111"/>
          <w:spacing w:val="-5"/>
        </w:rPr>
        <w:t> </w:t>
      </w:r>
      <w:r>
        <w:rPr>
          <w:color w:val="111111"/>
        </w:rPr>
        <w:t>to</w:t>
      </w:r>
      <w:r>
        <w:rPr>
          <w:color w:val="111111"/>
          <w:spacing w:val="-5"/>
        </w:rPr>
        <w:t> </w:t>
      </w:r>
      <w:r>
        <w:rPr>
          <w:color w:val="111111"/>
        </w:rPr>
        <w:t>treatment</w:t>
      </w:r>
      <w:r>
        <w:rPr>
          <w:color w:val="111111"/>
          <w:spacing w:val="-5"/>
        </w:rPr>
        <w:t> </w:t>
      </w:r>
      <w:r>
        <w:rPr>
          <w:color w:val="111111"/>
        </w:rPr>
        <w:t>groups.</w:t>
      </w:r>
      <w:r>
        <w:rPr>
          <w:color w:val="111111"/>
          <w:spacing w:val="-5"/>
        </w:rPr>
        <w:t> </w:t>
      </w:r>
      <w:r>
        <w:rPr>
          <w:color w:val="111111"/>
        </w:rPr>
        <w:t>Some</w:t>
      </w:r>
      <w:r>
        <w:rPr>
          <w:color w:val="111111"/>
          <w:spacing w:val="-5"/>
        </w:rPr>
        <w:t> </w:t>
      </w:r>
      <w:r>
        <w:rPr>
          <w:color w:val="111111"/>
        </w:rPr>
        <w:t>sites</w:t>
      </w:r>
      <w:r>
        <w:rPr>
          <w:color w:val="111111"/>
          <w:spacing w:val="-5"/>
        </w:rPr>
        <w:t> </w:t>
      </w:r>
      <w:r>
        <w:rPr>
          <w:color w:val="111111"/>
        </w:rPr>
        <w:t>may have used blinded procedures while others may not have depending on operational </w:t>
      </w:r>
      <w:r>
        <w:rPr>
          <w:color w:val="111111"/>
          <w:spacing w:val="-2"/>
        </w:rPr>
        <w:t>needs.</w:t>
      </w:r>
    </w:p>
    <w:p>
      <w:pPr>
        <w:pStyle w:val="BodyText"/>
        <w:spacing w:line="288" w:lineRule="auto" w:before="225"/>
        <w:ind w:left="79"/>
      </w:pPr>
      <w:r>
        <w:rPr>
          <w:color w:val="111111"/>
        </w:rPr>
        <w:t>Visits</w:t>
      </w:r>
      <w:r>
        <w:rPr>
          <w:color w:val="111111"/>
          <w:spacing w:val="-5"/>
        </w:rPr>
        <w:t> </w:t>
      </w:r>
      <w:r>
        <w:rPr>
          <w:color w:val="111111"/>
        </w:rPr>
        <w:t>occurred</w:t>
      </w:r>
      <w:r>
        <w:rPr>
          <w:color w:val="111111"/>
          <w:spacing w:val="-5"/>
        </w:rPr>
        <w:t> </w:t>
      </w:r>
      <w:r>
        <w:rPr>
          <w:color w:val="111111"/>
        </w:rPr>
        <w:t>at</w:t>
      </w:r>
      <w:r>
        <w:rPr>
          <w:color w:val="111111"/>
          <w:spacing w:val="-5"/>
        </w:rPr>
        <w:t> </w:t>
      </w:r>
      <w:r>
        <w:rPr>
          <w:color w:val="111111"/>
        </w:rPr>
        <w:t>screening,</w:t>
      </w:r>
      <w:r>
        <w:rPr>
          <w:color w:val="111111"/>
          <w:spacing w:val="-5"/>
        </w:rPr>
        <w:t> </w:t>
      </w:r>
      <w:r>
        <w:rPr>
          <w:color w:val="111111"/>
        </w:rPr>
        <w:t>baseline,</w:t>
      </w:r>
      <w:r>
        <w:rPr>
          <w:color w:val="111111"/>
          <w:spacing w:val="-5"/>
        </w:rPr>
        <w:t> </w:t>
      </w:r>
      <w:r>
        <w:rPr>
          <w:color w:val="111111"/>
        </w:rPr>
        <w:t>Week</w:t>
      </w:r>
      <w:r>
        <w:rPr>
          <w:color w:val="111111"/>
          <w:spacing w:val="-5"/>
        </w:rPr>
        <w:t> </w:t>
      </w:r>
      <w:r>
        <w:rPr>
          <w:color w:val="111111"/>
        </w:rPr>
        <w:t>1,</w:t>
      </w:r>
      <w:r>
        <w:rPr>
          <w:color w:val="111111"/>
          <w:spacing w:val="-5"/>
        </w:rPr>
        <w:t> </w:t>
      </w:r>
      <w:r>
        <w:rPr>
          <w:color w:val="111111"/>
        </w:rPr>
        <w:t>Week</w:t>
      </w:r>
      <w:r>
        <w:rPr>
          <w:color w:val="111111"/>
          <w:spacing w:val="-5"/>
        </w:rPr>
        <w:t> </w:t>
      </w:r>
      <w:r>
        <w:rPr>
          <w:color w:val="111111"/>
        </w:rPr>
        <w:t>2,</w:t>
      </w:r>
      <w:r>
        <w:rPr>
          <w:color w:val="111111"/>
          <w:spacing w:val="-5"/>
        </w:rPr>
        <w:t> </w:t>
      </w:r>
      <w:r>
        <w:rPr>
          <w:color w:val="111111"/>
        </w:rPr>
        <w:t>Week</w:t>
      </w:r>
      <w:r>
        <w:rPr>
          <w:color w:val="111111"/>
          <w:spacing w:val="-5"/>
        </w:rPr>
        <w:t> </w:t>
      </w:r>
      <w:r>
        <w:rPr>
          <w:color w:val="111111"/>
        </w:rPr>
        <w:t>4,</w:t>
      </w:r>
      <w:r>
        <w:rPr>
          <w:color w:val="111111"/>
          <w:spacing w:val="-5"/>
        </w:rPr>
        <w:t> </w:t>
      </w:r>
      <w:r>
        <w:rPr>
          <w:color w:val="111111"/>
        </w:rPr>
        <w:t>Week</w:t>
      </w:r>
      <w:r>
        <w:rPr>
          <w:color w:val="111111"/>
          <w:spacing w:val="-5"/>
        </w:rPr>
        <w:t> </w:t>
      </w:r>
      <w:r>
        <w:rPr>
          <w:color w:val="111111"/>
        </w:rPr>
        <w:t>8,</w:t>
      </w:r>
      <w:r>
        <w:rPr>
          <w:color w:val="111111"/>
          <w:spacing w:val="-5"/>
        </w:rPr>
        <w:t> </w:t>
      </w:r>
      <w:r>
        <w:rPr>
          <w:color w:val="111111"/>
        </w:rPr>
        <w:t>and</w:t>
      </w:r>
      <w:r>
        <w:rPr>
          <w:color w:val="111111"/>
          <w:spacing w:val="-5"/>
        </w:rPr>
        <w:t> </w:t>
      </w:r>
      <w:r>
        <w:rPr>
          <w:color w:val="111111"/>
        </w:rPr>
        <w:t>end</w:t>
      </w:r>
      <w:r>
        <w:rPr>
          <w:color w:val="111111"/>
          <w:spacing w:val="-5"/>
        </w:rPr>
        <w:t> </w:t>
      </w:r>
      <w:r>
        <w:rPr>
          <w:color w:val="111111"/>
        </w:rPr>
        <w:t>of</w:t>
      </w:r>
      <w:r>
        <w:rPr>
          <w:color w:val="111111"/>
          <w:spacing w:val="-5"/>
        </w:rPr>
        <w:t> </w:t>
      </w:r>
      <w:r>
        <w:rPr>
          <w:color w:val="111111"/>
        </w:rPr>
        <w:t>study, although Week 12 and Week 24 were also used for endpoint review.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467"/>
        <w:jc w:val="left"/>
      </w:pPr>
      <w:r>
        <w:rPr>
          <w:color w:val="111111"/>
        </w:rPr>
        <w:t>Selection of </w:t>
      </w:r>
      <w:r>
        <w:rPr>
          <w:color w:val="111111"/>
          <w:spacing w:val="-2"/>
        </w:rPr>
        <w:t>Patients</w:t>
      </w:r>
    </w:p>
    <w:p>
      <w:pPr>
        <w:pStyle w:val="BodyText"/>
        <w:spacing w:before="315"/>
        <w:ind w:left="79"/>
      </w:pPr>
      <w:r>
        <w:rPr>
          <w:color w:val="111111"/>
        </w:rPr>
        <w:t>Adults with inflammatory disease were </w:t>
      </w:r>
      <w:r>
        <w:rPr>
          <w:color w:val="111111"/>
          <w:spacing w:val="-2"/>
        </w:rPr>
        <w:t>eligible.</w:t>
      </w:r>
    </w:p>
    <w:p>
      <w:pPr>
        <w:pStyle w:val="BodyText"/>
        <w:spacing w:before="18"/>
      </w:pPr>
    </w:p>
    <w:p>
      <w:pPr>
        <w:pStyle w:val="BodyText"/>
        <w:spacing w:line="288" w:lineRule="auto" w:before="0"/>
        <w:ind w:left="439" w:right="626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11111"/>
        </w:rPr>
        <w:t>Inclusion</w:t>
      </w:r>
      <w:r>
        <w:rPr>
          <w:color w:val="111111"/>
          <w:spacing w:val="-6"/>
        </w:rPr>
        <w:t> </w:t>
      </w:r>
      <w:r>
        <w:rPr>
          <w:color w:val="111111"/>
        </w:rPr>
        <w:t>criteria</w:t>
      </w:r>
      <w:r>
        <w:rPr>
          <w:color w:val="111111"/>
          <w:spacing w:val="-6"/>
        </w:rPr>
        <w:t> </w:t>
      </w:r>
      <w:r>
        <w:rPr>
          <w:color w:val="111111"/>
        </w:rPr>
        <w:t>not</w:t>
      </w:r>
      <w:r>
        <w:rPr>
          <w:color w:val="111111"/>
          <w:spacing w:val="-6"/>
        </w:rPr>
        <w:t> </w:t>
      </w:r>
      <w:r>
        <w:rPr>
          <w:color w:val="111111"/>
        </w:rPr>
        <w:t>fully</w:t>
      </w:r>
      <w:r>
        <w:rPr>
          <w:color w:val="111111"/>
          <w:spacing w:val="-6"/>
        </w:rPr>
        <w:t> </w:t>
      </w:r>
      <w:r>
        <w:rPr>
          <w:color w:val="111111"/>
        </w:rPr>
        <w:t>listed </w:t>
      </w:r>
      <w:r>
        <w:rPr>
          <w:color w:val="111111"/>
          <w:position w:val="3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/>
          <w:color w:val="111111"/>
          <w:spacing w:val="80"/>
        </w:rPr>
        <w:t> </w:t>
      </w:r>
      <w:r>
        <w:rPr>
          <w:color w:val="111111"/>
        </w:rPr>
        <w:t>Exclusion criteria to be added</w:t>
      </w:r>
    </w:p>
    <w:p>
      <w:pPr>
        <w:pStyle w:val="BodyText"/>
        <w:spacing w:before="29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1" w:after="0"/>
        <w:ind w:left="546" w:right="0" w:hanging="467"/>
        <w:jc w:val="left"/>
      </w:pPr>
      <w:r>
        <w:rPr>
          <w:color w:val="111111"/>
          <w:spacing w:val="-2"/>
        </w:rPr>
        <w:t>Treatment</w:t>
      </w:r>
    </w:p>
    <w:p>
      <w:pPr>
        <w:pStyle w:val="BodyText"/>
        <w:spacing w:line="288" w:lineRule="auto" w:before="300"/>
        <w:ind w:left="79"/>
      </w:pPr>
      <w:r>
        <w:rPr>
          <w:color w:val="111111"/>
        </w:rPr>
        <w:t>Patients</w:t>
      </w:r>
      <w:r>
        <w:rPr>
          <w:color w:val="111111"/>
          <w:spacing w:val="-6"/>
        </w:rPr>
        <w:t> </w:t>
      </w:r>
      <w:r>
        <w:rPr>
          <w:color w:val="111111"/>
        </w:rPr>
        <w:t>received</w:t>
      </w:r>
      <w:r>
        <w:rPr>
          <w:color w:val="111111"/>
          <w:spacing w:val="-6"/>
        </w:rPr>
        <w:t> </w:t>
      </w:r>
      <w:r>
        <w:rPr>
          <w:color w:val="111111"/>
        </w:rPr>
        <w:t>CLN-201</w:t>
      </w:r>
      <w:r>
        <w:rPr>
          <w:color w:val="111111"/>
          <w:spacing w:val="-6"/>
        </w:rPr>
        <w:t> </w:t>
      </w:r>
      <w:r>
        <w:rPr>
          <w:color w:val="111111"/>
        </w:rPr>
        <w:t>orally.</w:t>
      </w:r>
      <w:r>
        <w:rPr>
          <w:color w:val="111111"/>
          <w:spacing w:val="-6"/>
        </w:rPr>
        <w:t> </w:t>
      </w:r>
      <w:r>
        <w:rPr>
          <w:color w:val="111111"/>
        </w:rPr>
        <w:t>Dose</w:t>
      </w:r>
      <w:r>
        <w:rPr>
          <w:color w:val="111111"/>
          <w:spacing w:val="-6"/>
        </w:rPr>
        <w:t> </w:t>
      </w:r>
      <w:r>
        <w:rPr>
          <w:color w:val="111111"/>
        </w:rPr>
        <w:t>was</w:t>
      </w:r>
      <w:r>
        <w:rPr>
          <w:color w:val="111111"/>
          <w:spacing w:val="-6"/>
        </w:rPr>
        <w:t> </w:t>
      </w:r>
      <w:r>
        <w:rPr>
          <w:color w:val="111111"/>
        </w:rPr>
        <w:t>10</w:t>
      </w:r>
      <w:r>
        <w:rPr>
          <w:color w:val="111111"/>
          <w:spacing w:val="-6"/>
        </w:rPr>
        <w:t> </w:t>
      </w:r>
      <w:r>
        <w:rPr>
          <w:color w:val="111111"/>
        </w:rPr>
        <w:t>mg</w:t>
      </w:r>
      <w:r>
        <w:rPr>
          <w:color w:val="111111"/>
          <w:spacing w:val="-6"/>
        </w:rPr>
        <w:t> </w:t>
      </w:r>
      <w:r>
        <w:rPr>
          <w:color w:val="111111"/>
        </w:rPr>
        <w:t>daily,</w:t>
      </w:r>
      <w:r>
        <w:rPr>
          <w:color w:val="111111"/>
          <w:spacing w:val="-6"/>
        </w:rPr>
        <w:t> </w:t>
      </w:r>
      <w:r>
        <w:rPr>
          <w:color w:val="111111"/>
        </w:rPr>
        <w:t>but</w:t>
      </w:r>
      <w:r>
        <w:rPr>
          <w:color w:val="111111"/>
          <w:spacing w:val="-6"/>
        </w:rPr>
        <w:t> </w:t>
      </w:r>
      <w:r>
        <w:rPr>
          <w:color w:val="111111"/>
        </w:rPr>
        <w:t>could</w:t>
      </w:r>
      <w:r>
        <w:rPr>
          <w:color w:val="111111"/>
          <w:spacing w:val="-6"/>
        </w:rPr>
        <w:t> </w:t>
      </w:r>
      <w:r>
        <w:rPr>
          <w:color w:val="111111"/>
        </w:rPr>
        <w:t>increase</w:t>
      </w:r>
      <w:r>
        <w:rPr>
          <w:color w:val="111111"/>
          <w:spacing w:val="-6"/>
        </w:rPr>
        <w:t> </w:t>
      </w:r>
      <w:r>
        <w:rPr>
          <w:color w:val="111111"/>
        </w:rPr>
        <w:t>if</w:t>
      </w:r>
      <w:r>
        <w:rPr>
          <w:color w:val="111111"/>
          <w:spacing w:val="-6"/>
        </w:rPr>
        <w:t> </w:t>
      </w:r>
      <w:r>
        <w:rPr>
          <w:color w:val="111111"/>
        </w:rPr>
        <w:t>needed. Comparator details were not finalized in all countries.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467"/>
        <w:jc w:val="left"/>
      </w:pPr>
      <w:r>
        <w:rPr>
          <w:color w:val="111111"/>
        </w:rPr>
        <w:t>Efficacy </w:t>
      </w:r>
      <w:r>
        <w:rPr>
          <w:color w:val="111111"/>
          <w:spacing w:val="-2"/>
        </w:rPr>
        <w:t>Variables</w:t>
      </w:r>
    </w:p>
    <w:p>
      <w:pPr>
        <w:pStyle w:val="BodyText"/>
        <w:spacing w:line="300" w:lineRule="auto" w:before="301"/>
        <w:ind w:left="79"/>
      </w:pP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main</w:t>
      </w:r>
      <w:r>
        <w:rPr>
          <w:color w:val="111111"/>
          <w:spacing w:val="-3"/>
        </w:rPr>
        <w:t> </w:t>
      </w:r>
      <w:r>
        <w:rPr>
          <w:color w:val="111111"/>
        </w:rPr>
        <w:t>endpoint</w:t>
      </w:r>
      <w:r>
        <w:rPr>
          <w:color w:val="111111"/>
          <w:spacing w:val="-3"/>
        </w:rPr>
        <w:t> </w:t>
      </w:r>
      <w:r>
        <w:rPr>
          <w:color w:val="111111"/>
        </w:rPr>
        <w:t>was</w:t>
      </w:r>
      <w:r>
        <w:rPr>
          <w:color w:val="111111"/>
          <w:spacing w:val="-3"/>
        </w:rPr>
        <w:t> </w:t>
      </w:r>
      <w:r>
        <w:rPr>
          <w:color w:val="111111"/>
        </w:rPr>
        <w:t>clinical</w:t>
      </w:r>
      <w:r>
        <w:rPr>
          <w:color w:val="111111"/>
          <w:spacing w:val="-3"/>
        </w:rPr>
        <w:t> </w:t>
      </w:r>
      <w:r>
        <w:rPr>
          <w:color w:val="111111"/>
        </w:rPr>
        <w:t>improvement</w:t>
      </w:r>
      <w:r>
        <w:rPr>
          <w:color w:val="111111"/>
          <w:spacing w:val="-3"/>
        </w:rPr>
        <w:t> </w:t>
      </w:r>
      <w:r>
        <w:rPr>
          <w:color w:val="111111"/>
        </w:rPr>
        <w:t>using</w:t>
      </w:r>
      <w:r>
        <w:rPr>
          <w:color w:val="111111"/>
          <w:spacing w:val="-3"/>
        </w:rPr>
        <w:t> </w:t>
      </w:r>
      <w:r>
        <w:rPr>
          <w:color w:val="111111"/>
        </w:rPr>
        <w:t>a</w:t>
      </w:r>
      <w:r>
        <w:rPr>
          <w:color w:val="111111"/>
          <w:spacing w:val="-3"/>
        </w:rPr>
        <w:t> </w:t>
      </w:r>
      <w:r>
        <w:rPr>
          <w:color w:val="111111"/>
        </w:rPr>
        <w:t>score.</w:t>
      </w:r>
      <w:r>
        <w:rPr>
          <w:color w:val="111111"/>
          <w:spacing w:val="-8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exact</w:t>
      </w:r>
      <w:r>
        <w:rPr>
          <w:color w:val="111111"/>
          <w:spacing w:val="-3"/>
        </w:rPr>
        <w:t> </w:t>
      </w:r>
      <w:r>
        <w:rPr>
          <w:color w:val="111111"/>
        </w:rPr>
        <w:t>score</w:t>
      </w:r>
      <w:r>
        <w:rPr>
          <w:color w:val="111111"/>
          <w:spacing w:val="-3"/>
        </w:rPr>
        <w:t> </w:t>
      </w:r>
      <w:r>
        <w:rPr>
          <w:color w:val="111111"/>
        </w:rPr>
        <w:t>definition</w:t>
      </w:r>
      <w:r>
        <w:rPr>
          <w:color w:val="111111"/>
          <w:spacing w:val="-3"/>
        </w:rPr>
        <w:t> </w:t>
      </w:r>
      <w:r>
        <w:rPr>
          <w:color w:val="111111"/>
        </w:rPr>
        <w:t>is</w:t>
      </w:r>
      <w:r>
        <w:rPr>
          <w:color w:val="111111"/>
          <w:spacing w:val="-3"/>
        </w:rPr>
        <w:t> </w:t>
      </w:r>
      <w:r>
        <w:rPr>
          <w:color w:val="111111"/>
        </w:rPr>
        <w:t>not included here.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467"/>
        <w:jc w:val="left"/>
      </w:pPr>
      <w:r>
        <w:rPr>
          <w:color w:val="111111"/>
        </w:rPr>
        <w:t>Safety </w:t>
      </w:r>
      <w:r>
        <w:rPr>
          <w:color w:val="111111"/>
          <w:spacing w:val="-2"/>
        </w:rPr>
        <w:t>Variables</w:t>
      </w:r>
    </w:p>
    <w:p>
      <w:pPr>
        <w:pStyle w:val="BodyText"/>
        <w:spacing w:before="301"/>
        <w:ind w:left="79"/>
      </w:pPr>
      <w:r>
        <w:rPr>
          <w:color w:val="111111"/>
        </w:rPr>
        <w:t>Adverse events and serious adverse events were </w:t>
      </w:r>
      <w:r>
        <w:rPr>
          <w:color w:val="111111"/>
          <w:spacing w:val="-2"/>
        </w:rPr>
        <w:t>collected.</w:t>
      </w: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467"/>
        <w:jc w:val="left"/>
      </w:pPr>
      <w:r>
        <w:rPr>
          <w:color w:val="111111"/>
        </w:rPr>
        <w:t>Statistical </w:t>
      </w:r>
      <w:r>
        <w:rPr>
          <w:color w:val="111111"/>
          <w:spacing w:val="-2"/>
        </w:rPr>
        <w:t>Methods</w:t>
      </w:r>
    </w:p>
    <w:p>
      <w:pPr>
        <w:pStyle w:val="BodyText"/>
        <w:spacing w:before="301"/>
        <w:ind w:left="79"/>
      </w:pPr>
      <w:r>
        <w:rPr>
          <w:color w:val="111111"/>
        </w:rPr>
        <w:t>Standard statistical methods were used. Detailed methods are in a separate file not </w:t>
      </w:r>
      <w:r>
        <w:rPr>
          <w:color w:val="111111"/>
          <w:spacing w:val="-2"/>
        </w:rPr>
        <w:t>attached.</w:t>
      </w:r>
    </w:p>
    <w:p>
      <w:pPr>
        <w:pStyle w:val="BodyText"/>
        <w:spacing w:after="0"/>
        <w:sectPr>
          <w:pgSz w:w="11900" w:h="16840"/>
          <w:pgMar w:header="284" w:footer="268" w:top="520" w:bottom="460" w:left="850" w:right="850"/>
        </w:sectPr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78" w:after="0"/>
        <w:ind w:left="479" w:right="0" w:hanging="4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Patients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590549</wp:posOffset>
                </wp:positionH>
                <wp:positionV relativeFrom="paragraph">
                  <wp:posOffset>75522</wp:posOffset>
                </wp:positionV>
                <wp:extent cx="639127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46618pt;width:503.24996pt;height:.75pt;mso-position-horizontal-relative:page;mso-position-vertical-relative:paragraph;z-index:-15725568;mso-wrap-distance-left:0;mso-wrap-distance-right:0" id="docshape1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 w:right="411"/>
      </w:pPr>
      <w:r>
        <w:rPr>
          <w:color w:val="111111"/>
        </w:rPr>
        <w:t>A</w:t>
      </w:r>
      <w:r>
        <w:rPr>
          <w:color w:val="111111"/>
          <w:spacing w:val="-17"/>
        </w:rPr>
        <w:t> </w:t>
      </w:r>
      <w:r>
        <w:rPr>
          <w:color w:val="111111"/>
        </w:rPr>
        <w:t>total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4"/>
        </w:rPr>
        <w:t> </w:t>
      </w:r>
      <w:r>
        <w:rPr>
          <w:color w:val="111111"/>
        </w:rPr>
        <w:t>148</w:t>
      </w:r>
      <w:r>
        <w:rPr>
          <w:color w:val="111111"/>
          <w:spacing w:val="-4"/>
        </w:rPr>
        <w:t> </w:t>
      </w:r>
      <w:r>
        <w:rPr>
          <w:color w:val="111111"/>
        </w:rPr>
        <w:t>patients</w:t>
      </w:r>
      <w:r>
        <w:rPr>
          <w:color w:val="111111"/>
          <w:spacing w:val="-4"/>
        </w:rPr>
        <w:t> </w:t>
      </w:r>
      <w:r>
        <w:rPr>
          <w:color w:val="111111"/>
        </w:rPr>
        <w:t>were</w:t>
      </w:r>
      <w:r>
        <w:rPr>
          <w:color w:val="111111"/>
          <w:spacing w:val="-4"/>
        </w:rPr>
        <w:t> </w:t>
      </w:r>
      <w:r>
        <w:rPr>
          <w:color w:val="111111"/>
        </w:rPr>
        <w:t>screened.</w:t>
      </w:r>
      <w:r>
        <w:rPr>
          <w:color w:val="111111"/>
          <w:spacing w:val="-4"/>
        </w:rPr>
        <w:t> </w:t>
      </w:r>
      <w:r>
        <w:rPr>
          <w:color w:val="111111"/>
        </w:rPr>
        <w:t>Randomized</w:t>
      </w:r>
      <w:r>
        <w:rPr>
          <w:color w:val="111111"/>
          <w:spacing w:val="-4"/>
        </w:rPr>
        <w:t> </w:t>
      </w:r>
      <w:r>
        <w:rPr>
          <w:color w:val="111111"/>
        </w:rPr>
        <w:t>patients</w:t>
      </w:r>
      <w:r>
        <w:rPr>
          <w:color w:val="111111"/>
          <w:spacing w:val="-4"/>
        </w:rPr>
        <w:t> </w:t>
      </w:r>
      <w:r>
        <w:rPr>
          <w:color w:val="111111"/>
        </w:rPr>
        <w:t>were</w:t>
      </w:r>
      <w:r>
        <w:rPr>
          <w:color w:val="111111"/>
          <w:spacing w:val="-4"/>
        </w:rPr>
        <w:t> </w:t>
      </w:r>
      <w:r>
        <w:rPr>
          <w:color w:val="111111"/>
        </w:rPr>
        <w:t>120,</w:t>
      </w:r>
      <w:r>
        <w:rPr>
          <w:color w:val="111111"/>
          <w:spacing w:val="-4"/>
        </w:rPr>
        <w:t> </w:t>
      </w:r>
      <w:r>
        <w:rPr>
          <w:color w:val="111111"/>
        </w:rPr>
        <w:t>although</w:t>
      </w:r>
      <w:r>
        <w:rPr>
          <w:color w:val="111111"/>
          <w:spacing w:val="-4"/>
        </w:rPr>
        <w:t> </w:t>
      </w:r>
      <w:r>
        <w:rPr>
          <w:color w:val="111111"/>
        </w:rPr>
        <w:t>another dataset shows 140. Most patients completed the study.</w:t>
      </w:r>
    </w:p>
    <w:p>
      <w:pPr>
        <w:pStyle w:val="BodyText"/>
        <w:spacing w:line="300" w:lineRule="auto" w:before="237"/>
        <w:ind w:left="79"/>
      </w:pPr>
      <w:r>
        <w:rPr>
          <w:color w:val="111111"/>
        </w:rPr>
        <w:t>Demographics</w:t>
      </w:r>
      <w:r>
        <w:rPr>
          <w:color w:val="111111"/>
          <w:spacing w:val="-4"/>
        </w:rPr>
        <w:t> </w:t>
      </w:r>
      <w:r>
        <w:rPr>
          <w:color w:val="111111"/>
        </w:rPr>
        <w:t>were</w:t>
      </w:r>
      <w:r>
        <w:rPr>
          <w:color w:val="111111"/>
          <w:spacing w:val="-4"/>
        </w:rPr>
        <w:t> </w:t>
      </w:r>
      <w:r>
        <w:rPr>
          <w:color w:val="111111"/>
        </w:rPr>
        <w:t>generally</w:t>
      </w:r>
      <w:r>
        <w:rPr>
          <w:color w:val="111111"/>
          <w:spacing w:val="-4"/>
        </w:rPr>
        <w:t> </w:t>
      </w:r>
      <w:r>
        <w:rPr>
          <w:color w:val="111111"/>
        </w:rPr>
        <w:t>balanced.</w:t>
      </w:r>
      <w:r>
        <w:rPr>
          <w:color w:val="111111"/>
          <w:spacing w:val="-17"/>
        </w:rPr>
        <w:t> </w:t>
      </w:r>
      <w:r>
        <w:rPr>
          <w:color w:val="111111"/>
        </w:rPr>
        <w:t>Average</w:t>
      </w:r>
      <w:r>
        <w:rPr>
          <w:color w:val="111111"/>
          <w:spacing w:val="-3"/>
        </w:rPr>
        <w:t> </w:t>
      </w:r>
      <w:r>
        <w:rPr>
          <w:color w:val="111111"/>
        </w:rPr>
        <w:t>age</w:t>
      </w:r>
      <w:r>
        <w:rPr>
          <w:color w:val="111111"/>
          <w:spacing w:val="-4"/>
        </w:rPr>
        <w:t> </w:t>
      </w:r>
      <w:r>
        <w:rPr>
          <w:color w:val="111111"/>
        </w:rPr>
        <w:t>was</w:t>
      </w:r>
      <w:r>
        <w:rPr>
          <w:color w:val="111111"/>
          <w:spacing w:val="-4"/>
        </w:rPr>
        <w:t> </w:t>
      </w:r>
      <w:r>
        <w:rPr>
          <w:color w:val="111111"/>
        </w:rPr>
        <w:t>46</w:t>
      </w:r>
      <w:r>
        <w:rPr>
          <w:color w:val="111111"/>
          <w:spacing w:val="-4"/>
        </w:rPr>
        <w:t> </w:t>
      </w:r>
      <w:r>
        <w:rPr>
          <w:color w:val="111111"/>
        </w:rPr>
        <w:t>or</w:t>
      </w:r>
      <w:r>
        <w:rPr>
          <w:color w:val="111111"/>
          <w:spacing w:val="-4"/>
        </w:rPr>
        <w:t> </w:t>
      </w:r>
      <w:r>
        <w:rPr>
          <w:color w:val="111111"/>
        </w:rPr>
        <w:t>59</w:t>
      </w:r>
      <w:r>
        <w:rPr>
          <w:color w:val="111111"/>
          <w:spacing w:val="-4"/>
        </w:rPr>
        <w:t> </w:t>
      </w:r>
      <w:r>
        <w:rPr>
          <w:color w:val="111111"/>
        </w:rPr>
        <w:t>years.</w:t>
      </w:r>
      <w:r>
        <w:rPr>
          <w:color w:val="111111"/>
          <w:spacing w:val="-4"/>
        </w:rPr>
        <w:t> </w:t>
      </w:r>
      <w:r>
        <w:rPr>
          <w:color w:val="111111"/>
        </w:rPr>
        <w:t>Most</w:t>
      </w:r>
      <w:r>
        <w:rPr>
          <w:color w:val="111111"/>
          <w:spacing w:val="-4"/>
        </w:rPr>
        <w:t> </w:t>
      </w:r>
      <w:r>
        <w:rPr>
          <w:color w:val="111111"/>
        </w:rPr>
        <w:t>patients</w:t>
      </w:r>
      <w:r>
        <w:rPr>
          <w:color w:val="111111"/>
          <w:spacing w:val="-4"/>
        </w:rPr>
        <w:t> </w:t>
      </w:r>
      <w:r>
        <w:rPr>
          <w:color w:val="111111"/>
        </w:rPr>
        <w:t>were female, but another summary says most were male.</w:t>
      </w: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Efficacy </w:t>
      </w:r>
      <w:r>
        <w:rPr>
          <w:color w:val="111111"/>
          <w:spacing w:val="-2"/>
        </w:rPr>
        <w:t>Evaluation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590549</wp:posOffset>
                </wp:positionH>
                <wp:positionV relativeFrom="paragraph">
                  <wp:posOffset>75420</wp:posOffset>
                </wp:positionV>
                <wp:extent cx="639127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38661pt;width:503.24996pt;height:.75pt;mso-position-horizontal-relative:page;mso-position-vertical-relative:paragraph;z-index:-15725056;mso-wrap-distance-left:0;mso-wrap-distance-right:0" id="docshape1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CLN-201 showed improvement over placebo/comparator in several </w:t>
      </w:r>
      <w:r>
        <w:rPr>
          <w:color w:val="111111"/>
          <w:spacing w:val="-2"/>
        </w:rPr>
        <w:t>measures.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5"/>
        <w:gridCol w:w="2355"/>
        <w:gridCol w:w="2130"/>
      </w:tblGrid>
      <w:tr>
        <w:trPr>
          <w:trHeight w:val="584" w:hRule="atLeast"/>
        </w:trPr>
        <w:tc>
          <w:tcPr>
            <w:tcW w:w="5565" w:type="dxa"/>
          </w:tcPr>
          <w:p>
            <w:pPr>
              <w:pStyle w:val="TableParagraph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Measure</w:t>
            </w:r>
          </w:p>
        </w:tc>
        <w:tc>
          <w:tcPr>
            <w:tcW w:w="2355" w:type="dxa"/>
          </w:tcPr>
          <w:p>
            <w:pPr>
              <w:pStyle w:val="TableParagraph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CLN-</w:t>
            </w:r>
            <w:r>
              <w:rPr>
                <w:rFonts w:ascii="Arial"/>
                <w:b/>
                <w:color w:val="111111"/>
                <w:spacing w:val="-5"/>
                <w:sz w:val="24"/>
              </w:rPr>
              <w:t>201</w:t>
            </w:r>
          </w:p>
        </w:tc>
        <w:tc>
          <w:tcPr>
            <w:tcW w:w="2130" w:type="dxa"/>
          </w:tcPr>
          <w:p>
            <w:pPr>
              <w:pStyle w:val="TableParagraph"/>
              <w:ind w:left="6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Control</w:t>
            </w:r>
          </w:p>
        </w:tc>
      </w:tr>
      <w:tr>
        <w:trPr>
          <w:trHeight w:val="569" w:hRule="atLeast"/>
        </w:trPr>
        <w:tc>
          <w:tcPr>
            <w:tcW w:w="55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Score </w:t>
            </w:r>
            <w:r>
              <w:rPr>
                <w:color w:val="111111"/>
                <w:spacing w:val="-2"/>
                <w:sz w:val="24"/>
              </w:rPr>
              <w:t>change</w:t>
            </w:r>
          </w:p>
        </w:tc>
        <w:tc>
          <w:tcPr>
            <w:tcW w:w="2355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3.8</w:t>
            </w:r>
          </w:p>
        </w:tc>
        <w:tc>
          <w:tcPr>
            <w:tcW w:w="2130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2.1</w:t>
            </w:r>
          </w:p>
        </w:tc>
      </w:tr>
      <w:tr>
        <w:trPr>
          <w:trHeight w:val="569" w:hRule="atLeast"/>
        </w:trPr>
        <w:tc>
          <w:tcPr>
            <w:tcW w:w="55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Alternative score </w:t>
            </w:r>
            <w:r>
              <w:rPr>
                <w:color w:val="111111"/>
                <w:spacing w:val="-2"/>
                <w:sz w:val="24"/>
              </w:rPr>
              <w:t>change</w:t>
            </w:r>
          </w:p>
        </w:tc>
        <w:tc>
          <w:tcPr>
            <w:tcW w:w="2355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1.2</w:t>
            </w:r>
          </w:p>
        </w:tc>
        <w:tc>
          <w:tcPr>
            <w:tcW w:w="2130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1.4</w:t>
            </w:r>
          </w:p>
        </w:tc>
      </w:tr>
    </w:tbl>
    <w:p>
      <w:pPr>
        <w:pStyle w:val="BodyText"/>
        <w:spacing w:line="300" w:lineRule="auto" w:before="258"/>
        <w:ind w:left="79"/>
      </w:pPr>
      <w:r>
        <w:rPr>
          <w:color w:val="111111"/>
        </w:rPr>
        <w:t>The</w:t>
      </w:r>
      <w:r>
        <w:rPr>
          <w:color w:val="111111"/>
          <w:spacing w:val="-5"/>
        </w:rPr>
        <w:t> </w:t>
      </w:r>
      <w:r>
        <w:rPr>
          <w:color w:val="111111"/>
        </w:rPr>
        <w:t>treatment</w:t>
      </w:r>
      <w:r>
        <w:rPr>
          <w:color w:val="111111"/>
          <w:spacing w:val="-5"/>
        </w:rPr>
        <w:t> </w:t>
      </w:r>
      <w:r>
        <w:rPr>
          <w:color w:val="111111"/>
        </w:rPr>
        <w:t>difference</w:t>
      </w:r>
      <w:r>
        <w:rPr>
          <w:color w:val="111111"/>
          <w:spacing w:val="-5"/>
        </w:rPr>
        <w:t> </w:t>
      </w:r>
      <w:r>
        <w:rPr>
          <w:color w:val="111111"/>
        </w:rPr>
        <w:t>favored</w:t>
      </w:r>
      <w:r>
        <w:rPr>
          <w:color w:val="111111"/>
          <w:spacing w:val="-5"/>
        </w:rPr>
        <w:t> </w:t>
      </w:r>
      <w:r>
        <w:rPr>
          <w:color w:val="111111"/>
        </w:rPr>
        <w:t>CLN-201.</w:t>
      </w:r>
      <w:r>
        <w:rPr>
          <w:color w:val="111111"/>
          <w:spacing w:val="-5"/>
        </w:rPr>
        <w:t> </w:t>
      </w:r>
      <w:r>
        <w:rPr>
          <w:color w:val="111111"/>
        </w:rPr>
        <w:t>However,</w:t>
      </w:r>
      <w:r>
        <w:rPr>
          <w:color w:val="111111"/>
          <w:spacing w:val="-5"/>
        </w:rPr>
        <w:t> </w:t>
      </w:r>
      <w:r>
        <w:rPr>
          <w:color w:val="111111"/>
        </w:rPr>
        <w:t>the</w:t>
      </w:r>
      <w:r>
        <w:rPr>
          <w:color w:val="111111"/>
          <w:spacing w:val="-5"/>
        </w:rPr>
        <w:t> </w:t>
      </w:r>
      <w:r>
        <w:rPr>
          <w:color w:val="111111"/>
        </w:rPr>
        <w:t>primary</w:t>
      </w:r>
      <w:r>
        <w:rPr>
          <w:color w:val="111111"/>
          <w:spacing w:val="-5"/>
        </w:rPr>
        <w:t> </w:t>
      </w:r>
      <w:r>
        <w:rPr>
          <w:color w:val="111111"/>
        </w:rPr>
        <w:t>endpoint</w:t>
      </w:r>
      <w:r>
        <w:rPr>
          <w:color w:val="111111"/>
          <w:spacing w:val="-5"/>
        </w:rPr>
        <w:t> </w:t>
      </w:r>
      <w:r>
        <w:rPr>
          <w:color w:val="111111"/>
        </w:rPr>
        <w:t>was</w:t>
      </w:r>
      <w:r>
        <w:rPr>
          <w:color w:val="111111"/>
          <w:spacing w:val="-5"/>
        </w:rPr>
        <w:t> </w:t>
      </w:r>
      <w:r>
        <w:rPr>
          <w:color w:val="111111"/>
        </w:rPr>
        <w:t>not</w:t>
      </w:r>
      <w:r>
        <w:rPr>
          <w:color w:val="111111"/>
          <w:spacing w:val="-5"/>
        </w:rPr>
        <w:t> </w:t>
      </w:r>
      <w:r>
        <w:rPr>
          <w:color w:val="111111"/>
        </w:rPr>
        <w:t>met</w:t>
      </w:r>
      <w:r>
        <w:rPr>
          <w:color w:val="111111"/>
          <w:spacing w:val="-5"/>
        </w:rPr>
        <w:t> </w:t>
      </w:r>
      <w:r>
        <w:rPr>
          <w:color w:val="111111"/>
        </w:rPr>
        <w:t>based on a different analysis.</w: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Safety </w:t>
      </w:r>
      <w:r>
        <w:rPr>
          <w:color w:val="111111"/>
          <w:spacing w:val="-2"/>
        </w:rPr>
        <w:t>Evaluation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590549</wp:posOffset>
                </wp:positionH>
                <wp:positionV relativeFrom="paragraph">
                  <wp:posOffset>75639</wp:posOffset>
                </wp:positionV>
                <wp:extent cx="639127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5845pt;width:503.24996pt;height:.75pt;mso-position-horizontal-relative:page;mso-position-vertical-relative:paragraph;z-index:-15724544;mso-wrap-distance-left:0;mso-wrap-distance-right:0" id="docshape1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CLN-201</w:t>
      </w:r>
      <w:r>
        <w:rPr>
          <w:color w:val="111111"/>
          <w:spacing w:val="-3"/>
        </w:rPr>
        <w:t> </w:t>
      </w:r>
      <w:r>
        <w:rPr>
          <w:color w:val="111111"/>
        </w:rPr>
        <w:t>was</w:t>
      </w:r>
      <w:r>
        <w:rPr>
          <w:color w:val="111111"/>
          <w:spacing w:val="-3"/>
        </w:rPr>
        <w:t> </w:t>
      </w:r>
      <w:r>
        <w:rPr>
          <w:color w:val="111111"/>
        </w:rPr>
        <w:t>generally</w:t>
      </w:r>
      <w:r>
        <w:rPr>
          <w:color w:val="111111"/>
          <w:spacing w:val="-3"/>
        </w:rPr>
        <w:t> </w:t>
      </w:r>
      <w:r>
        <w:rPr>
          <w:color w:val="111111"/>
        </w:rPr>
        <w:t>well</w:t>
      </w:r>
      <w:r>
        <w:rPr>
          <w:color w:val="111111"/>
          <w:spacing w:val="-3"/>
        </w:rPr>
        <w:t> </w:t>
      </w:r>
      <w:r>
        <w:rPr>
          <w:color w:val="111111"/>
        </w:rPr>
        <w:t>tolerated</w:t>
      </w:r>
      <w:r>
        <w:rPr>
          <w:color w:val="111111"/>
          <w:spacing w:val="-3"/>
        </w:rPr>
        <w:t> </w:t>
      </w:r>
      <w:r>
        <w:rPr>
          <w:color w:val="111111"/>
        </w:rPr>
        <w:t>with</w:t>
      </w:r>
      <w:r>
        <w:rPr>
          <w:color w:val="111111"/>
          <w:spacing w:val="-3"/>
        </w:rPr>
        <w:t> </w:t>
      </w:r>
      <w:r>
        <w:rPr>
          <w:color w:val="111111"/>
        </w:rPr>
        <w:t>no</w:t>
      </w:r>
      <w:r>
        <w:rPr>
          <w:color w:val="111111"/>
          <w:spacing w:val="-3"/>
        </w:rPr>
        <w:t> </w:t>
      </w:r>
      <w:r>
        <w:rPr>
          <w:color w:val="111111"/>
        </w:rPr>
        <w:t>major</w:t>
      </w:r>
      <w:r>
        <w:rPr>
          <w:color w:val="111111"/>
          <w:spacing w:val="-3"/>
        </w:rPr>
        <w:t> </w:t>
      </w:r>
      <w:r>
        <w:rPr>
          <w:color w:val="111111"/>
        </w:rPr>
        <w:t>new</w:t>
      </w:r>
      <w:r>
        <w:rPr>
          <w:color w:val="111111"/>
          <w:spacing w:val="-3"/>
        </w:rPr>
        <w:t> </w:t>
      </w:r>
      <w:r>
        <w:rPr>
          <w:color w:val="111111"/>
        </w:rPr>
        <w:t>safety</w:t>
      </w:r>
      <w:r>
        <w:rPr>
          <w:color w:val="111111"/>
          <w:spacing w:val="-3"/>
        </w:rPr>
        <w:t> </w:t>
      </w:r>
      <w:r>
        <w:rPr>
          <w:color w:val="111111"/>
        </w:rPr>
        <w:t>concerns,</w:t>
      </w:r>
      <w:r>
        <w:rPr>
          <w:color w:val="111111"/>
          <w:spacing w:val="-3"/>
        </w:rPr>
        <w:t> </w:t>
      </w:r>
      <w:r>
        <w:rPr>
          <w:color w:val="111111"/>
        </w:rPr>
        <w:t>except</w:t>
      </w:r>
      <w:r>
        <w:rPr>
          <w:color w:val="111111"/>
          <w:spacing w:val="-3"/>
        </w:rPr>
        <w:t> </w:t>
      </w:r>
      <w:r>
        <w:rPr>
          <w:color w:val="111111"/>
        </w:rPr>
        <w:t>for</w:t>
      </w:r>
      <w:r>
        <w:rPr>
          <w:color w:val="111111"/>
          <w:spacing w:val="-3"/>
        </w:rPr>
        <w:t> </w:t>
      </w:r>
      <w:r>
        <w:rPr>
          <w:color w:val="111111"/>
        </w:rPr>
        <w:t>several severe events.</w:t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0"/>
        <w:gridCol w:w="1665"/>
        <w:gridCol w:w="2175"/>
      </w:tblGrid>
      <w:tr>
        <w:trPr>
          <w:trHeight w:val="584" w:hRule="atLeast"/>
        </w:trPr>
        <w:tc>
          <w:tcPr>
            <w:tcW w:w="6210" w:type="dxa"/>
          </w:tcPr>
          <w:p>
            <w:pPr>
              <w:pStyle w:val="TableParagraph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Safety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Measure</w:t>
            </w:r>
          </w:p>
        </w:tc>
        <w:tc>
          <w:tcPr>
            <w:tcW w:w="1665" w:type="dxa"/>
          </w:tcPr>
          <w:p>
            <w:pPr>
              <w:pStyle w:val="TableParagraph"/>
              <w:ind w:left="3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CLN-</w:t>
            </w:r>
            <w:r>
              <w:rPr>
                <w:rFonts w:ascii="Arial"/>
                <w:b/>
                <w:color w:val="111111"/>
                <w:spacing w:val="-5"/>
                <w:sz w:val="24"/>
              </w:rPr>
              <w:t>201</w:t>
            </w:r>
          </w:p>
        </w:tc>
        <w:tc>
          <w:tcPr>
            <w:tcW w:w="2175" w:type="dxa"/>
          </w:tcPr>
          <w:p>
            <w:pPr>
              <w:pStyle w:val="TableParagraph"/>
              <w:ind w:left="6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Control</w:t>
            </w:r>
          </w:p>
        </w:tc>
      </w:tr>
      <w:tr>
        <w:trPr>
          <w:trHeight w:val="569" w:hRule="atLeast"/>
        </w:trPr>
        <w:tc>
          <w:tcPr>
            <w:tcW w:w="6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At least one</w:t>
            </w:r>
            <w:r>
              <w:rPr>
                <w:color w:val="111111"/>
                <w:spacing w:val="-14"/>
                <w:sz w:val="24"/>
              </w:rPr>
              <w:t> </w:t>
            </w:r>
            <w:r>
              <w:rPr>
                <w:color w:val="111111"/>
                <w:spacing w:val="-5"/>
                <w:sz w:val="24"/>
              </w:rPr>
              <w:t>AE</w:t>
            </w:r>
          </w:p>
        </w:tc>
        <w:tc>
          <w:tcPr>
            <w:tcW w:w="16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38%</w:t>
            </w:r>
          </w:p>
        </w:tc>
        <w:tc>
          <w:tcPr>
            <w:tcW w:w="21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31%</w:t>
            </w:r>
          </w:p>
        </w:tc>
      </w:tr>
      <w:tr>
        <w:trPr>
          <w:trHeight w:val="584" w:hRule="atLeast"/>
        </w:trPr>
        <w:tc>
          <w:tcPr>
            <w:tcW w:w="6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Serious adverse </w:t>
            </w:r>
            <w:r>
              <w:rPr>
                <w:color w:val="111111"/>
                <w:spacing w:val="-2"/>
                <w:sz w:val="24"/>
              </w:rPr>
              <w:t>events</w:t>
            </w:r>
          </w:p>
        </w:tc>
        <w:tc>
          <w:tcPr>
            <w:tcW w:w="16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2%</w:t>
            </w:r>
          </w:p>
        </w:tc>
        <w:tc>
          <w:tcPr>
            <w:tcW w:w="21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1%</w:t>
            </w:r>
          </w:p>
        </w:tc>
      </w:tr>
      <w:tr>
        <w:trPr>
          <w:trHeight w:val="569" w:hRule="atLeast"/>
        </w:trPr>
        <w:tc>
          <w:tcPr>
            <w:tcW w:w="6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Serious adverse events (other </w:t>
            </w:r>
            <w:r>
              <w:rPr>
                <w:color w:val="111111"/>
                <w:spacing w:val="-2"/>
                <w:sz w:val="24"/>
              </w:rPr>
              <w:t>summary)</w:t>
            </w:r>
          </w:p>
        </w:tc>
        <w:tc>
          <w:tcPr>
            <w:tcW w:w="16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11%</w:t>
            </w:r>
          </w:p>
        </w:tc>
        <w:tc>
          <w:tcPr>
            <w:tcW w:w="217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not </w:t>
            </w:r>
            <w:r>
              <w:rPr>
                <w:color w:val="111111"/>
                <w:spacing w:val="-2"/>
                <w:sz w:val="24"/>
              </w:rPr>
              <w:t>available</w:t>
            </w:r>
          </w:p>
        </w:tc>
      </w:tr>
    </w:tbl>
    <w:p>
      <w:pPr>
        <w:pStyle w:val="BodyText"/>
        <w:spacing w:line="288" w:lineRule="auto" w:before="259"/>
        <w:ind w:left="79"/>
      </w:pPr>
      <w:r>
        <w:rPr>
          <w:color w:val="111111"/>
        </w:rPr>
        <w:t>Common</w:t>
      </w:r>
      <w:r>
        <w:rPr>
          <w:color w:val="111111"/>
          <w:spacing w:val="-4"/>
        </w:rPr>
        <w:t> </w:t>
      </w:r>
      <w:r>
        <w:rPr>
          <w:color w:val="111111"/>
        </w:rPr>
        <w:t>adverse</w:t>
      </w:r>
      <w:r>
        <w:rPr>
          <w:color w:val="111111"/>
          <w:spacing w:val="-4"/>
        </w:rPr>
        <w:t> </w:t>
      </w:r>
      <w:r>
        <w:rPr>
          <w:color w:val="111111"/>
        </w:rPr>
        <w:t>events</w:t>
      </w:r>
      <w:r>
        <w:rPr>
          <w:color w:val="111111"/>
          <w:spacing w:val="-4"/>
        </w:rPr>
        <w:t> </w:t>
      </w:r>
      <w:r>
        <w:rPr>
          <w:color w:val="111111"/>
        </w:rPr>
        <w:t>included</w:t>
      </w:r>
      <w:r>
        <w:rPr>
          <w:color w:val="111111"/>
          <w:spacing w:val="-4"/>
        </w:rPr>
        <w:t> </w:t>
      </w:r>
      <w:r>
        <w:rPr>
          <w:color w:val="111111"/>
        </w:rPr>
        <w:t>headache,</w:t>
      </w:r>
      <w:r>
        <w:rPr>
          <w:color w:val="111111"/>
          <w:spacing w:val="-4"/>
        </w:rPr>
        <w:t> </w:t>
      </w:r>
      <w:r>
        <w:rPr>
          <w:color w:val="111111"/>
        </w:rPr>
        <w:t>nausea,</w:t>
      </w:r>
      <w:r>
        <w:rPr>
          <w:color w:val="111111"/>
          <w:spacing w:val="-4"/>
        </w:rPr>
        <w:t> </w:t>
      </w:r>
      <w:r>
        <w:rPr>
          <w:color w:val="111111"/>
        </w:rPr>
        <w:t>fatigue,</w:t>
      </w:r>
      <w:r>
        <w:rPr>
          <w:color w:val="111111"/>
          <w:spacing w:val="-4"/>
        </w:rPr>
        <w:t> </w:t>
      </w:r>
      <w:r>
        <w:rPr>
          <w:color w:val="111111"/>
        </w:rPr>
        <w:t>rash,</w:t>
      </w:r>
      <w:r>
        <w:rPr>
          <w:color w:val="111111"/>
          <w:spacing w:val="-4"/>
        </w:rPr>
        <w:t> </w:t>
      </w:r>
      <w:r>
        <w:rPr>
          <w:color w:val="111111"/>
        </w:rPr>
        <w:t>vomiting,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severe </w:t>
      </w:r>
      <w:r>
        <w:rPr>
          <w:color w:val="111111"/>
          <w:spacing w:val="-2"/>
        </w:rPr>
        <w:t>dizziness.</w:t>
      </w:r>
    </w:p>
    <w:p>
      <w:pPr>
        <w:pStyle w:val="BodyText"/>
        <w:spacing w:line="288" w:lineRule="auto" w:before="252"/>
        <w:ind w:left="79"/>
      </w:pPr>
      <w:r>
        <w:rPr>
          <w:color w:val="111111"/>
        </w:rPr>
        <w:t>No</w:t>
      </w:r>
      <w:r>
        <w:rPr>
          <w:color w:val="111111"/>
          <w:spacing w:val="-4"/>
        </w:rPr>
        <w:t> </w:t>
      </w:r>
      <w:r>
        <w:rPr>
          <w:color w:val="111111"/>
        </w:rPr>
        <w:t>deaths</w:t>
      </w:r>
      <w:r>
        <w:rPr>
          <w:color w:val="111111"/>
          <w:spacing w:val="-4"/>
        </w:rPr>
        <w:t> </w:t>
      </w:r>
      <w:r>
        <w:rPr>
          <w:color w:val="111111"/>
        </w:rPr>
        <w:t>were</w:t>
      </w:r>
      <w:r>
        <w:rPr>
          <w:color w:val="111111"/>
          <w:spacing w:val="-4"/>
        </w:rPr>
        <w:t> </w:t>
      </w:r>
      <w:r>
        <w:rPr>
          <w:color w:val="111111"/>
        </w:rPr>
        <w:t>noted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the</w:t>
      </w:r>
      <w:r>
        <w:rPr>
          <w:color w:val="111111"/>
          <w:spacing w:val="-4"/>
        </w:rPr>
        <w:t> </w:t>
      </w:r>
      <w:r>
        <w:rPr>
          <w:color w:val="111111"/>
        </w:rPr>
        <w:t>main</w:t>
      </w:r>
      <w:r>
        <w:rPr>
          <w:color w:val="111111"/>
          <w:spacing w:val="-4"/>
        </w:rPr>
        <w:t> </w:t>
      </w:r>
      <w:r>
        <w:rPr>
          <w:color w:val="111111"/>
        </w:rPr>
        <w:t>summary.</w:t>
      </w:r>
      <w:r>
        <w:rPr>
          <w:color w:val="111111"/>
          <w:spacing w:val="-4"/>
        </w:rPr>
        <w:t> </w:t>
      </w:r>
      <w:r>
        <w:rPr>
          <w:color w:val="111111"/>
        </w:rPr>
        <w:t>Death</w:t>
      </w:r>
      <w:r>
        <w:rPr>
          <w:color w:val="111111"/>
          <w:spacing w:val="-4"/>
        </w:rPr>
        <w:t> </w:t>
      </w:r>
      <w:r>
        <w:rPr>
          <w:color w:val="111111"/>
        </w:rPr>
        <w:t>information</w:t>
      </w:r>
      <w:r>
        <w:rPr>
          <w:color w:val="111111"/>
          <w:spacing w:val="-4"/>
        </w:rPr>
        <w:t> </w:t>
      </w:r>
      <w:r>
        <w:rPr>
          <w:color w:val="111111"/>
        </w:rPr>
        <w:t>was</w:t>
      </w:r>
      <w:r>
        <w:rPr>
          <w:color w:val="111111"/>
          <w:spacing w:val="-4"/>
        </w:rPr>
        <w:t> </w:t>
      </w:r>
      <w:r>
        <w:rPr>
          <w:color w:val="111111"/>
        </w:rPr>
        <w:t>not</w:t>
      </w:r>
      <w:r>
        <w:rPr>
          <w:color w:val="111111"/>
          <w:spacing w:val="-4"/>
        </w:rPr>
        <w:t> </w:t>
      </w:r>
      <w:r>
        <w:rPr>
          <w:color w:val="111111"/>
        </w:rPr>
        <w:t>collected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some </w:t>
      </w:r>
      <w:r>
        <w:rPr>
          <w:color w:val="111111"/>
          <w:spacing w:val="-2"/>
        </w:rPr>
        <w:t>listings.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Discussion and </w:t>
      </w:r>
      <w:r>
        <w:rPr>
          <w:color w:val="111111"/>
          <w:spacing w:val="-2"/>
        </w:rPr>
        <w:t>Conclusion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590549</wp:posOffset>
                </wp:positionH>
                <wp:positionV relativeFrom="paragraph">
                  <wp:posOffset>66275</wp:posOffset>
                </wp:positionV>
                <wp:extent cx="639127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18534pt;width:503.24996pt;height:.75pt;mso-position-horizontal-relative:page;mso-position-vertical-relative:paragraph;z-index:-15724032;mso-wrap-distance-left:0;mso-wrap-distance-right:0" id="docshape1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508" w:lineRule="auto"/>
        <w:ind w:left="79" w:right="411"/>
      </w:pPr>
      <w:r>
        <w:rPr>
          <w:color w:val="111111"/>
        </w:rPr>
        <w:t>This</w:t>
      </w:r>
      <w:r>
        <w:rPr>
          <w:color w:val="111111"/>
          <w:spacing w:val="-3"/>
        </w:rPr>
        <w:t> </w:t>
      </w:r>
      <w:r>
        <w:rPr>
          <w:color w:val="111111"/>
        </w:rPr>
        <w:t>Phase</w:t>
      </w:r>
      <w:r>
        <w:rPr>
          <w:color w:val="111111"/>
          <w:spacing w:val="-3"/>
        </w:rPr>
        <w:t> </w:t>
      </w:r>
      <w:r>
        <w:rPr>
          <w:color w:val="111111"/>
        </w:rPr>
        <w:t>II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met</w:t>
      </w:r>
      <w:r>
        <w:rPr>
          <w:color w:val="111111"/>
          <w:spacing w:val="-3"/>
        </w:rPr>
        <w:t> </w:t>
      </w:r>
      <w:r>
        <w:rPr>
          <w:color w:val="111111"/>
        </w:rPr>
        <w:t>its</w:t>
      </w:r>
      <w:r>
        <w:rPr>
          <w:color w:val="111111"/>
          <w:spacing w:val="-3"/>
        </w:rPr>
        <w:t> </w:t>
      </w:r>
      <w:r>
        <w:rPr>
          <w:color w:val="111111"/>
        </w:rPr>
        <w:t>objectives</w:t>
      </w:r>
      <w:r>
        <w:rPr>
          <w:color w:val="111111"/>
          <w:spacing w:val="-3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supports</w:t>
      </w:r>
      <w:r>
        <w:rPr>
          <w:color w:val="111111"/>
          <w:spacing w:val="-3"/>
        </w:rPr>
        <w:t> </w:t>
      </w:r>
      <w:r>
        <w:rPr>
          <w:color w:val="111111"/>
        </w:rPr>
        <w:t>continued</w:t>
      </w:r>
      <w:r>
        <w:rPr>
          <w:color w:val="111111"/>
          <w:spacing w:val="-3"/>
        </w:rPr>
        <w:t> </w:t>
      </w:r>
      <w:r>
        <w:rPr>
          <w:color w:val="111111"/>
        </w:rPr>
        <w:t>development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CLN-</w:t>
      </w:r>
      <w:r>
        <w:rPr>
          <w:color w:val="111111"/>
        </w:rPr>
        <w:t>201. This Phase III study did not meet the primary endpoint but still appears positive overall.</w:t>
      </w:r>
    </w:p>
    <w:p>
      <w:pPr>
        <w:pStyle w:val="BodyText"/>
        <w:spacing w:after="0" w:line="508" w:lineRule="auto"/>
        <w:sectPr>
          <w:pgSz w:w="11900" w:h="16840"/>
          <w:pgMar w:header="284" w:footer="268" w:top="520" w:bottom="460" w:left="850" w:right="850"/>
        </w:sectPr>
      </w:pPr>
    </w:p>
    <w:p>
      <w:pPr>
        <w:pStyle w:val="Heading1"/>
        <w:numPr>
          <w:ilvl w:val="0"/>
          <w:numId w:val="1"/>
        </w:numPr>
        <w:tabs>
          <w:tab w:pos="665" w:val="left" w:leader="none"/>
        </w:tabs>
        <w:spacing w:line="240" w:lineRule="auto" w:before="78" w:after="0"/>
        <w:ind w:left="665" w:right="0" w:hanging="586"/>
        <w:jc w:val="left"/>
      </w:pPr>
      <w:r>
        <w:rPr>
          <w:color w:val="111111"/>
          <w:spacing w:val="-2"/>
        </w:rPr>
        <w:t>Appendices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590549</wp:posOffset>
                </wp:positionH>
                <wp:positionV relativeFrom="paragraph">
                  <wp:posOffset>75521</wp:posOffset>
                </wp:positionV>
                <wp:extent cx="639127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46588pt;width:503.24996pt;height:.75pt;mso-position-horizontal-relative:page;mso-position-vertical-relative:paragraph;z-index:-15723520;mso-wrap-distance-left:0;mso-wrap-distance-right:0" id="docshape1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679" w:right="4204"/>
      </w:pPr>
      <w:r>
        <w:rPr>
          <w:color w:val="111111"/>
        </w:rPr>
        <w:t>Protocol</w:t>
      </w:r>
      <w:r>
        <w:rPr>
          <w:color w:val="111111"/>
          <w:spacing w:val="-10"/>
        </w:rPr>
        <w:t> </w:t>
      </w:r>
      <w:r>
        <w:rPr>
          <w:color w:val="111111"/>
        </w:rPr>
        <w:t>and</w:t>
      </w:r>
      <w:r>
        <w:rPr>
          <w:color w:val="111111"/>
          <w:spacing w:val="-10"/>
        </w:rPr>
        <w:t> </w:t>
      </w:r>
      <w:r>
        <w:rPr>
          <w:color w:val="111111"/>
        </w:rPr>
        <w:t>amendments</w:t>
      </w:r>
      <w:r>
        <w:rPr>
          <w:color w:val="111111"/>
          <w:spacing w:val="-10"/>
        </w:rPr>
        <w:t> </w:t>
      </w:r>
      <w:r>
        <w:rPr>
          <w:color w:val="111111"/>
        </w:rPr>
        <w:t>(not</w:t>
      </w:r>
      <w:r>
        <w:rPr>
          <w:color w:val="111111"/>
          <w:spacing w:val="-10"/>
        </w:rPr>
        <w:t> </w:t>
      </w:r>
      <w:r>
        <w:rPr>
          <w:color w:val="111111"/>
        </w:rPr>
        <w:t>attached) Statistical analysis plan (missing)</w:t>
      </w:r>
    </w:p>
    <w:p>
      <w:pPr>
        <w:pStyle w:val="BodyText"/>
        <w:spacing w:line="274" w:lineRule="exact" w:before="0"/>
        <w:ind w:left="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590549</wp:posOffset>
                </wp:positionH>
                <wp:positionV relativeFrom="paragraph">
                  <wp:posOffset>-344388</wp:posOffset>
                </wp:positionV>
                <wp:extent cx="6391275" cy="19621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91275" cy="1962150"/>
                          <a:chExt cx="6391275" cy="19621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133474"/>
                            <a:ext cx="63912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828675">
                                <a:moveTo>
                                  <a:pt x="63912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133474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0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8587" y="0"/>
                            <a:ext cx="476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95350">
                                <a:moveTo>
                                  <a:pt x="47625" y="868387"/>
                                </a:moveTo>
                                <a:lnTo>
                                  <a:pt x="26974" y="847725"/>
                                </a:lnTo>
                                <a:lnTo>
                                  <a:pt x="20662" y="847725"/>
                                </a:lnTo>
                                <a:lnTo>
                                  <a:pt x="0" y="868387"/>
                                </a:lnTo>
                                <a:lnTo>
                                  <a:pt x="0" y="874699"/>
                                </a:lnTo>
                                <a:lnTo>
                                  <a:pt x="20662" y="895350"/>
                                </a:lnTo>
                                <a:lnTo>
                                  <a:pt x="26974" y="895350"/>
                                </a:lnTo>
                                <a:lnTo>
                                  <a:pt x="47625" y="874699"/>
                                </a:lnTo>
                                <a:lnTo>
                                  <a:pt x="47625" y="871537"/>
                                </a:lnTo>
                                <a:lnTo>
                                  <a:pt x="47625" y="868387"/>
                                </a:lnTo>
                                <a:close/>
                              </a:path>
                              <a:path w="47625" h="895350">
                                <a:moveTo>
                                  <a:pt x="47625" y="658837"/>
                                </a:moveTo>
                                <a:lnTo>
                                  <a:pt x="26974" y="638175"/>
                                </a:lnTo>
                                <a:lnTo>
                                  <a:pt x="20662" y="638175"/>
                                </a:lnTo>
                                <a:lnTo>
                                  <a:pt x="0" y="658837"/>
                                </a:lnTo>
                                <a:lnTo>
                                  <a:pt x="0" y="665149"/>
                                </a:lnTo>
                                <a:lnTo>
                                  <a:pt x="20662" y="685800"/>
                                </a:lnTo>
                                <a:lnTo>
                                  <a:pt x="26974" y="685800"/>
                                </a:lnTo>
                                <a:lnTo>
                                  <a:pt x="47625" y="665149"/>
                                </a:lnTo>
                                <a:lnTo>
                                  <a:pt x="47625" y="661987"/>
                                </a:lnTo>
                                <a:lnTo>
                                  <a:pt x="47625" y="658837"/>
                                </a:lnTo>
                                <a:close/>
                              </a:path>
                              <a:path w="47625" h="895350">
                                <a:moveTo>
                                  <a:pt x="47625" y="439762"/>
                                </a:moveTo>
                                <a:lnTo>
                                  <a:pt x="26974" y="419100"/>
                                </a:lnTo>
                                <a:lnTo>
                                  <a:pt x="20662" y="419100"/>
                                </a:lnTo>
                                <a:lnTo>
                                  <a:pt x="0" y="439762"/>
                                </a:lnTo>
                                <a:lnTo>
                                  <a:pt x="0" y="446074"/>
                                </a:lnTo>
                                <a:lnTo>
                                  <a:pt x="20662" y="466725"/>
                                </a:lnTo>
                                <a:lnTo>
                                  <a:pt x="26974" y="466725"/>
                                </a:lnTo>
                                <a:lnTo>
                                  <a:pt x="47625" y="446074"/>
                                </a:lnTo>
                                <a:lnTo>
                                  <a:pt x="47625" y="442912"/>
                                </a:lnTo>
                                <a:lnTo>
                                  <a:pt x="47625" y="439762"/>
                                </a:lnTo>
                                <a:close/>
                              </a:path>
                              <a:path w="47625" h="895350">
                                <a:moveTo>
                                  <a:pt x="47625" y="230212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212"/>
                                </a:lnTo>
                                <a:lnTo>
                                  <a:pt x="0" y="236524"/>
                                </a:lnTo>
                                <a:lnTo>
                                  <a:pt x="20662" y="257175"/>
                                </a:lnTo>
                                <a:lnTo>
                                  <a:pt x="26974" y="257175"/>
                                </a:lnTo>
                                <a:lnTo>
                                  <a:pt x="47625" y="236524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12"/>
                                </a:lnTo>
                                <a:close/>
                              </a:path>
                              <a:path w="47625" h="8953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1133474"/>
                            <a:ext cx="63531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65"/>
                                <w:ind w:left="150" w:right="67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intentionally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negative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testing.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resembles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E3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CSR format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contains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structural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gaps,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ambiguities,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missing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content,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internal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inconsistencies.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-27.117189pt;width:503.25pt;height:154.5pt;mso-position-horizontal-relative:page;mso-position-vertical-relative:paragraph;z-index:-15881728" id="docshapegroup19" coordorigin="930,-542" coordsize="10065,3090">
                <v:rect style="position:absolute;left:930;top:1242;width:10065;height:1305" id="docshape20" filled="true" fillcolor="#f5f5f5" stroked="false">
                  <v:fill type="solid"/>
                </v:rect>
                <v:rect style="position:absolute;left:930;top:1242;width:60;height:1305" id="docshape21" filled="true" fillcolor="#999999" stroked="false">
                  <v:fill type="solid"/>
                </v:rect>
                <v:shape style="position:absolute;left:1289;top:-543;width:75;height:1410" id="docshape22" coordorigin="1290,-542" coordsize="75,1410" path="m1365,825l1364,820,1360,811,1358,807,1351,800,1346,797,1337,794,1332,793,1323,793,1318,794,1309,797,1304,800,1297,807,1295,811,1291,820,1290,825,1290,835,1291,840,1295,849,1297,853,1304,860,1309,863,1318,867,1323,868,1332,868,1337,867,1346,863,1351,860,1358,853,1360,849,1364,840,1365,835,1365,830,1365,825xm1365,495l1364,490,1360,481,1358,477,1351,470,1346,467,1337,464,1332,463,1323,463,1318,464,1309,467,1304,470,1297,477,1295,481,1291,490,1290,495,1290,505,1291,510,1295,519,1297,523,1304,530,1309,533,1318,537,1323,538,1332,538,1337,537,1346,533,1351,530,1358,523,1360,519,1364,510,1365,505,1365,500,1365,495xm1365,150l1364,145,1360,136,1358,132,1351,125,1346,122,1337,119,1332,118,1323,118,1318,119,1309,122,1304,125,1297,132,1295,136,1291,145,1290,150,1290,160,1291,165,1295,174,1297,178,1304,185,1309,188,1318,192,1323,193,1332,193,1337,192,1346,188,1351,185,1358,178,1360,174,1364,165,1365,160,1365,155,1365,150xm1365,-180l1364,-185,1360,-194,1358,-198,1351,-205,1346,-208,1337,-211,1332,-212,1323,-212,1318,-211,1309,-208,1304,-205,1297,-198,1295,-194,1291,-185,1290,-180,1290,-170,1291,-165,1295,-156,1297,-152,1304,-145,1309,-142,1318,-138,1323,-137,1332,-137,1337,-138,1346,-142,1351,-145,1358,-152,1360,-156,1364,-165,1365,-170,1365,-175,1365,-180xm1365,-510l1364,-515,1360,-524,1358,-528,1351,-535,1346,-538,1337,-541,1332,-542,1323,-542,1318,-541,1309,-538,1304,-535,1297,-528,1295,-524,1291,-515,1290,-510,1290,-500,1291,-495,1295,-486,1297,-482,1304,-475,1309,-472,1318,-468,1323,-467,1332,-467,1337,-468,1346,-472,1351,-475,1358,-482,1360,-486,1364,-495,1365,-500,1365,-505,1365,-510xe" filled="true" fillcolor="#111111" stroked="false">
                  <v:path arrowok="t"/>
                  <v:fill type="solid"/>
                </v:shape>
                <v:shape style="position:absolute;left:990;top:1242;width:10005;height:1305" type="#_x0000_t202" id="docshape23" filled="false" stroked="false">
                  <v:textbox inset="0,0,0,0">
                    <w:txbxContent>
                      <w:p>
                        <w:pPr>
                          <w:spacing w:line="288" w:lineRule="auto" w:before="165"/>
                          <w:ind w:left="150" w:right="67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This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document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is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intentionally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invalid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for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negative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testing.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It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resembles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an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ICH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E3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CSR format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but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contains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structural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gaps,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ambiguities,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missing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required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content,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and</w:t>
                        </w:r>
                        <w:r>
                          <w:rPr>
                            <w:color w:val="11111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internal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inconsistencies.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</w:rPr>
        <w:t>Patient listings (not </w:t>
      </w:r>
      <w:r>
        <w:rPr>
          <w:color w:val="111111"/>
          <w:spacing w:val="-2"/>
        </w:rPr>
        <w:t>available)</w:t>
      </w:r>
    </w:p>
    <w:p>
      <w:pPr>
        <w:pStyle w:val="BodyText"/>
        <w:spacing w:line="288" w:lineRule="auto" w:before="69"/>
        <w:ind w:left="679" w:right="4204"/>
      </w:pPr>
      <w:r>
        <w:rPr>
          <w:color w:val="111111"/>
        </w:rPr>
        <w:t>Tables</w:t>
      </w:r>
      <w:r>
        <w:rPr>
          <w:color w:val="111111"/>
          <w:spacing w:val="-11"/>
        </w:rPr>
        <w:t> </w:t>
      </w:r>
      <w:r>
        <w:rPr>
          <w:color w:val="111111"/>
        </w:rPr>
        <w:t>and</w:t>
      </w:r>
      <w:r>
        <w:rPr>
          <w:color w:val="111111"/>
          <w:spacing w:val="-11"/>
        </w:rPr>
        <w:t> </w:t>
      </w:r>
      <w:r>
        <w:rPr>
          <w:color w:val="111111"/>
        </w:rPr>
        <w:t>figures</w:t>
      </w:r>
      <w:r>
        <w:rPr>
          <w:color w:val="111111"/>
          <w:spacing w:val="-11"/>
        </w:rPr>
        <w:t> </w:t>
      </w:r>
      <w:r>
        <w:rPr>
          <w:color w:val="111111"/>
        </w:rPr>
        <w:t>(to</w:t>
      </w:r>
      <w:r>
        <w:rPr>
          <w:color w:val="111111"/>
          <w:spacing w:val="-11"/>
        </w:rPr>
        <w:t> </w:t>
      </w:r>
      <w:r>
        <w:rPr>
          <w:color w:val="111111"/>
        </w:rPr>
        <w:t>be</w:t>
      </w:r>
      <w:r>
        <w:rPr>
          <w:color w:val="111111"/>
          <w:spacing w:val="-11"/>
        </w:rPr>
        <w:t> </w:t>
      </w:r>
      <w:r>
        <w:rPr>
          <w:color w:val="111111"/>
        </w:rPr>
        <w:t>inserted</w:t>
      </w:r>
      <w:r>
        <w:rPr>
          <w:color w:val="111111"/>
          <w:spacing w:val="-11"/>
        </w:rPr>
        <w:t> </w:t>
      </w:r>
      <w:r>
        <w:rPr>
          <w:color w:val="111111"/>
        </w:rPr>
        <w:t>later) Investigator list (not included)</w:t>
      </w:r>
    </w:p>
    <w:sectPr>
      <w:pgSz w:w="11900" w:h="16840"/>
      <w:pgMar w:header="284" w:footer="268" w:top="520" w:bottom="4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22008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20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file:///C:/Users/dmukopad/Downloads/negative_csr_ich_e3_invalid.html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53.55pt;height:10.95pt;mso-position-horizontal-relative:page;mso-position-vertical-relative:page;z-index:-158863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file:///C:/Users/dmukopad/Downloads/negative_csr_ich_e3_invalid.html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8582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5/16/26,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2:35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58873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5/16/26,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2:35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3618855</wp:posOffset>
              </wp:positionH>
              <wp:positionV relativeFrom="page">
                <wp:posOffset>181131</wp:posOffset>
              </wp:positionV>
              <wp:extent cx="14706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06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Clinical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Report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CLN-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949219pt;margin-top:14.262341pt;width:115.8pt;height:10.95pt;mso-position-horizontal-relative:page;mso-position-vertical-relative:page;z-index:-1588684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Clinical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Study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Report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CLN-</w:t>
                    </w:r>
                    <w:r>
                      <w:rPr>
                        <w:spacing w:val="-5"/>
                        <w:sz w:val="16"/>
                      </w:rPr>
                      <w:t>201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469"/>
        <w:jc w:val="left"/>
      </w:pPr>
      <w:rPr>
        <w:rFonts w:hint="default" w:ascii="Arial" w:hAnsi="Arial" w:eastAsia="Arial" w:cs="Arial"/>
        <w:b/>
        <w:bCs/>
        <w:i w:val="0"/>
        <w:iCs w:val="0"/>
        <w:color w:val="111111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9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2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9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4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5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9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6" w:hanging="46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4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Study Report - CLN-201</dc:title>
  <dcterms:created xsi:type="dcterms:W3CDTF">2026-05-16T07:43:42Z</dcterms:created>
  <dcterms:modified xsi:type="dcterms:W3CDTF">2026-05-16T07:43:42Z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m148</vt:lpwstr>
  </property>
</Properties>
</file>