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0"/>
        <w:rPr>
          <w:rFonts w:ascii="Times New Roman"/>
          <w:sz w:val="36"/>
        </w:rPr>
      </w:pPr>
    </w:p>
    <w:p>
      <w:pPr>
        <w:pStyle w:val="Heading1"/>
        <w:ind w:left="25" w:firstLine="0"/>
        <w:jc w:val="center"/>
      </w:pPr>
      <w:r>
        <w:rPr>
          <w:color w:val="111111"/>
        </w:rPr>
        <w:t>Clinical </w:t>
      </w:r>
      <w:r>
        <w:rPr>
          <w:color w:val="111111"/>
          <w:spacing w:val="-2"/>
        </w:rPr>
        <w:t>Protocol</w:t>
      </w:r>
    </w:p>
    <w:p>
      <w:pPr>
        <w:pStyle w:val="BodyText"/>
        <w:spacing w:before="2"/>
        <w:rPr>
          <w:rFonts w:ascii="Arial"/>
          <w:b/>
          <w:sz w:val="18"/>
        </w:rPr>
      </w:pPr>
    </w:p>
    <w:tbl>
      <w:tblPr>
        <w:tblW w:w="0" w:type="auto"/>
        <w:jc w:val="left"/>
        <w:tblInd w:w="9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0"/>
        <w:gridCol w:w="6840"/>
      </w:tblGrid>
      <w:tr>
        <w:trPr>
          <w:trHeight w:val="569" w:hRule="atLeast"/>
        </w:trPr>
        <w:tc>
          <w:tcPr>
            <w:tcW w:w="3210" w:type="dxa"/>
          </w:tcPr>
          <w:p>
            <w:pPr>
              <w:pStyle w:val="TableParagraph"/>
              <w:ind w:left="1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z w:val="24"/>
              </w:rPr>
              <w:t>Protocol </w:t>
            </w:r>
            <w:r>
              <w:rPr>
                <w:rFonts w:ascii="Arial"/>
                <w:b/>
                <w:color w:val="111111"/>
                <w:spacing w:val="-2"/>
                <w:sz w:val="24"/>
              </w:rPr>
              <w:t>Title</w:t>
            </w:r>
          </w:p>
        </w:tc>
        <w:tc>
          <w:tcPr>
            <w:tcW w:w="684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111111"/>
                <w:sz w:val="24"/>
              </w:rPr>
              <w:t>Study of CLN-201 in inflammatory condition maybe </w:t>
            </w:r>
            <w:r>
              <w:rPr>
                <w:color w:val="111111"/>
                <w:spacing w:val="-2"/>
                <w:sz w:val="24"/>
              </w:rPr>
              <w:t>final</w:t>
            </w:r>
          </w:p>
        </w:tc>
      </w:tr>
      <w:tr>
        <w:trPr>
          <w:trHeight w:val="569" w:hRule="atLeast"/>
        </w:trPr>
        <w:tc>
          <w:tcPr>
            <w:tcW w:w="3210" w:type="dxa"/>
          </w:tcPr>
          <w:p>
            <w:pPr>
              <w:pStyle w:val="TableParagraph"/>
              <w:ind w:left="1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z w:val="24"/>
              </w:rPr>
              <w:t>Protocol </w:t>
            </w:r>
            <w:r>
              <w:rPr>
                <w:rFonts w:ascii="Arial"/>
                <w:b/>
                <w:color w:val="111111"/>
                <w:spacing w:val="-2"/>
                <w:sz w:val="24"/>
              </w:rPr>
              <w:t>Number</w:t>
            </w:r>
          </w:p>
        </w:tc>
        <w:tc>
          <w:tcPr>
            <w:tcW w:w="684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111111"/>
                <w:sz w:val="24"/>
              </w:rPr>
              <w:t>CLN-201-2026-01 / CLN-201-2026-</w:t>
            </w:r>
            <w:r>
              <w:rPr>
                <w:color w:val="111111"/>
                <w:spacing w:val="-5"/>
                <w:sz w:val="24"/>
              </w:rPr>
              <w:t>07</w:t>
            </w:r>
          </w:p>
        </w:tc>
      </w:tr>
      <w:tr>
        <w:trPr>
          <w:trHeight w:val="584" w:hRule="atLeast"/>
        </w:trPr>
        <w:tc>
          <w:tcPr>
            <w:tcW w:w="3210" w:type="dxa"/>
          </w:tcPr>
          <w:p>
            <w:pPr>
              <w:pStyle w:val="TableParagraph"/>
              <w:ind w:left="1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z w:val="24"/>
              </w:rPr>
              <w:t>Investigational </w:t>
            </w:r>
            <w:r>
              <w:rPr>
                <w:rFonts w:ascii="Arial"/>
                <w:b/>
                <w:color w:val="111111"/>
                <w:spacing w:val="-2"/>
                <w:sz w:val="24"/>
              </w:rPr>
              <w:t>Product</w:t>
            </w:r>
          </w:p>
        </w:tc>
        <w:tc>
          <w:tcPr>
            <w:tcW w:w="684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111111"/>
                <w:sz w:val="24"/>
              </w:rPr>
              <w:t>CLN-</w:t>
            </w:r>
            <w:r>
              <w:rPr>
                <w:color w:val="111111"/>
                <w:spacing w:val="-5"/>
                <w:sz w:val="24"/>
              </w:rPr>
              <w:t>201</w:t>
            </w:r>
          </w:p>
        </w:tc>
      </w:tr>
      <w:tr>
        <w:trPr>
          <w:trHeight w:val="569" w:hRule="atLeast"/>
        </w:trPr>
        <w:tc>
          <w:tcPr>
            <w:tcW w:w="3210" w:type="dxa"/>
          </w:tcPr>
          <w:p>
            <w:pPr>
              <w:pStyle w:val="TableParagraph"/>
              <w:ind w:left="1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2"/>
                <w:sz w:val="24"/>
              </w:rPr>
              <w:t>Sponsor</w:t>
            </w:r>
          </w:p>
        </w:tc>
        <w:tc>
          <w:tcPr>
            <w:tcW w:w="684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111111"/>
                <w:sz w:val="24"/>
              </w:rPr>
              <w:t>NovaCura Biotech or NovaCura </w:t>
            </w:r>
            <w:r>
              <w:rPr>
                <w:color w:val="111111"/>
                <w:spacing w:val="-5"/>
                <w:sz w:val="24"/>
              </w:rPr>
              <w:t>Bio</w:t>
            </w:r>
          </w:p>
        </w:tc>
      </w:tr>
      <w:tr>
        <w:trPr>
          <w:trHeight w:val="584" w:hRule="atLeast"/>
        </w:trPr>
        <w:tc>
          <w:tcPr>
            <w:tcW w:w="3210" w:type="dxa"/>
          </w:tcPr>
          <w:p>
            <w:pPr>
              <w:pStyle w:val="TableParagraph"/>
              <w:ind w:left="1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2"/>
                <w:sz w:val="24"/>
              </w:rPr>
              <w:t>Phase</w:t>
            </w:r>
          </w:p>
        </w:tc>
        <w:tc>
          <w:tcPr>
            <w:tcW w:w="684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111111"/>
                <w:sz w:val="24"/>
              </w:rPr>
              <w:t>Phase II or </w:t>
            </w:r>
            <w:r>
              <w:rPr>
                <w:color w:val="111111"/>
                <w:spacing w:val="-5"/>
                <w:sz w:val="24"/>
              </w:rPr>
              <w:t>III</w:t>
            </w:r>
          </w:p>
        </w:tc>
      </w:tr>
      <w:tr>
        <w:trPr>
          <w:trHeight w:val="569" w:hRule="atLeast"/>
        </w:trPr>
        <w:tc>
          <w:tcPr>
            <w:tcW w:w="3210" w:type="dxa"/>
          </w:tcPr>
          <w:p>
            <w:pPr>
              <w:pStyle w:val="TableParagraph"/>
              <w:ind w:left="1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4"/>
                <w:sz w:val="24"/>
              </w:rPr>
              <w:t>Date</w:t>
            </w:r>
          </w:p>
        </w:tc>
        <w:tc>
          <w:tcPr>
            <w:tcW w:w="684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111111"/>
                <w:sz w:val="24"/>
              </w:rPr>
              <w:t>2026-05-10 maybe updated 2026-05-</w:t>
            </w:r>
            <w:r>
              <w:rPr>
                <w:color w:val="111111"/>
                <w:spacing w:val="-5"/>
                <w:sz w:val="24"/>
              </w:rPr>
              <w:t>16</w:t>
            </w:r>
          </w:p>
        </w:tc>
      </w:tr>
      <w:tr>
        <w:trPr>
          <w:trHeight w:val="569" w:hRule="atLeast"/>
        </w:trPr>
        <w:tc>
          <w:tcPr>
            <w:tcW w:w="3210" w:type="dxa"/>
          </w:tcPr>
          <w:p>
            <w:pPr>
              <w:pStyle w:val="TableParagraph"/>
              <w:ind w:left="1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2"/>
                <w:sz w:val="24"/>
              </w:rPr>
              <w:t>Version</w:t>
            </w:r>
          </w:p>
        </w:tc>
        <w:tc>
          <w:tcPr>
            <w:tcW w:w="684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111111"/>
                <w:sz w:val="24"/>
              </w:rPr>
              <w:t>draft / final </w:t>
            </w:r>
            <w:r>
              <w:rPr>
                <w:color w:val="111111"/>
                <w:spacing w:val="-2"/>
                <w:sz w:val="24"/>
              </w:rPr>
              <w:t>pending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404" w:after="0"/>
        <w:ind w:left="479" w:right="0" w:hanging="400"/>
        <w:jc w:val="left"/>
        <w:rPr>
          <w:b/>
          <w:sz w:val="36"/>
        </w:rPr>
      </w:pPr>
      <w:r>
        <w:rPr>
          <w:b/>
          <w:color w:val="111111"/>
          <w:sz w:val="36"/>
        </w:rPr>
        <w:t>Protocol </w:t>
      </w:r>
      <w:r>
        <w:rPr>
          <w:b/>
          <w:color w:val="111111"/>
          <w:spacing w:val="-2"/>
          <w:sz w:val="36"/>
        </w:rPr>
        <w:t>Summary</w:t>
      </w:r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590549</wp:posOffset>
                </wp:positionH>
                <wp:positionV relativeFrom="paragraph">
                  <wp:posOffset>75587</wp:posOffset>
                </wp:positionV>
                <wp:extent cx="639127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951738pt;width:503.24996pt;height:.75pt;mso-position-horizontal-relative:page;mso-position-vertical-relative:paragraph;z-index:-15728640;mso-wrap-distance-left:0;mso-wrap-distance-right:0" id="docshape5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8" w:lineRule="auto"/>
        <w:ind w:left="79"/>
      </w:pPr>
      <w:r>
        <w:rPr>
          <w:color w:val="111111"/>
        </w:rPr>
        <w:t>This</w:t>
      </w:r>
      <w:r>
        <w:rPr>
          <w:color w:val="111111"/>
          <w:spacing w:val="-3"/>
        </w:rPr>
        <w:t> </w:t>
      </w:r>
      <w:r>
        <w:rPr>
          <w:color w:val="111111"/>
        </w:rPr>
        <w:t>protocol</w:t>
      </w:r>
      <w:r>
        <w:rPr>
          <w:color w:val="111111"/>
          <w:spacing w:val="-3"/>
        </w:rPr>
        <w:t> </w:t>
      </w:r>
      <w:r>
        <w:rPr>
          <w:color w:val="111111"/>
        </w:rPr>
        <w:t>describes</w:t>
      </w:r>
      <w:r>
        <w:rPr>
          <w:color w:val="111111"/>
          <w:spacing w:val="-3"/>
        </w:rPr>
        <w:t> </w:t>
      </w:r>
      <w:r>
        <w:rPr>
          <w:color w:val="111111"/>
        </w:rPr>
        <w:t>a</w:t>
      </w:r>
      <w:r>
        <w:rPr>
          <w:color w:val="111111"/>
          <w:spacing w:val="-3"/>
        </w:rPr>
        <w:t> </w:t>
      </w:r>
      <w:r>
        <w:rPr>
          <w:color w:val="111111"/>
        </w:rPr>
        <w:t>study</w:t>
      </w:r>
      <w:r>
        <w:rPr>
          <w:color w:val="111111"/>
          <w:spacing w:val="-3"/>
        </w:rPr>
        <w:t> </w:t>
      </w:r>
      <w:r>
        <w:rPr>
          <w:color w:val="111111"/>
        </w:rPr>
        <w:t>of</w:t>
      </w:r>
      <w:r>
        <w:rPr>
          <w:color w:val="111111"/>
          <w:spacing w:val="-3"/>
        </w:rPr>
        <w:t> </w:t>
      </w:r>
      <w:r>
        <w:rPr>
          <w:color w:val="111111"/>
        </w:rPr>
        <w:t>CLN-201</w:t>
      </w:r>
      <w:r>
        <w:rPr>
          <w:color w:val="111111"/>
          <w:spacing w:val="-3"/>
        </w:rPr>
        <w:t> </w:t>
      </w:r>
      <w:r>
        <w:rPr>
          <w:color w:val="111111"/>
        </w:rPr>
        <w:t>in</w:t>
      </w:r>
      <w:r>
        <w:rPr>
          <w:color w:val="111111"/>
          <w:spacing w:val="-3"/>
        </w:rPr>
        <w:t> </w:t>
      </w:r>
      <w:r>
        <w:rPr>
          <w:color w:val="111111"/>
        </w:rPr>
        <w:t>inflammatory</w:t>
      </w:r>
      <w:r>
        <w:rPr>
          <w:color w:val="111111"/>
          <w:spacing w:val="-3"/>
        </w:rPr>
        <w:t> </w:t>
      </w:r>
      <w:r>
        <w:rPr>
          <w:color w:val="111111"/>
        </w:rPr>
        <w:t>disease.</w:t>
      </w:r>
      <w:r>
        <w:rPr>
          <w:color w:val="111111"/>
          <w:spacing w:val="-8"/>
        </w:rPr>
        <w:t> </w:t>
      </w:r>
      <w:r>
        <w:rPr>
          <w:color w:val="111111"/>
        </w:rPr>
        <w:t>The</w:t>
      </w:r>
      <w:r>
        <w:rPr>
          <w:color w:val="111111"/>
          <w:spacing w:val="-3"/>
        </w:rPr>
        <w:t> </w:t>
      </w:r>
      <w:r>
        <w:rPr>
          <w:color w:val="111111"/>
        </w:rPr>
        <w:t>study</w:t>
      </w:r>
      <w:r>
        <w:rPr>
          <w:color w:val="111111"/>
          <w:spacing w:val="-3"/>
        </w:rPr>
        <w:t> </w:t>
      </w:r>
      <w:r>
        <w:rPr>
          <w:color w:val="111111"/>
        </w:rPr>
        <w:t>is</w:t>
      </w:r>
      <w:r>
        <w:rPr>
          <w:color w:val="111111"/>
          <w:spacing w:val="-3"/>
        </w:rPr>
        <w:t> </w:t>
      </w:r>
      <w:r>
        <w:rPr>
          <w:color w:val="111111"/>
        </w:rPr>
        <w:t>designed</w:t>
      </w:r>
      <w:r>
        <w:rPr>
          <w:color w:val="111111"/>
          <w:spacing w:val="-3"/>
        </w:rPr>
        <w:t> </w:t>
      </w:r>
      <w:r>
        <w:rPr>
          <w:color w:val="111111"/>
        </w:rPr>
        <w:t>to assess if the drug works and is safe.</w:t>
      </w: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9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7830"/>
      </w:tblGrid>
      <w:tr>
        <w:trPr>
          <w:trHeight w:val="569" w:hRule="atLeast"/>
        </w:trPr>
        <w:tc>
          <w:tcPr>
            <w:tcW w:w="2220" w:type="dxa"/>
          </w:tcPr>
          <w:p>
            <w:pPr>
              <w:pStyle w:val="TableParagraph"/>
              <w:ind w:left="2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4"/>
                <w:sz w:val="24"/>
              </w:rPr>
              <w:t>Item</w:t>
            </w:r>
          </w:p>
        </w:tc>
        <w:tc>
          <w:tcPr>
            <w:tcW w:w="7830" w:type="dxa"/>
          </w:tcPr>
          <w:p>
            <w:pPr>
              <w:pStyle w:val="TableParagraph"/>
              <w:ind w:left="2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2"/>
                <w:sz w:val="24"/>
              </w:rPr>
              <w:t>Description</w:t>
            </w:r>
          </w:p>
        </w:tc>
      </w:tr>
      <w:tr>
        <w:trPr>
          <w:trHeight w:val="569" w:hRule="atLeast"/>
        </w:trPr>
        <w:tc>
          <w:tcPr>
            <w:tcW w:w="2220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Design</w:t>
            </w:r>
          </w:p>
        </w:tc>
        <w:tc>
          <w:tcPr>
            <w:tcW w:w="783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111111"/>
                <w:sz w:val="24"/>
              </w:rPr>
              <w:t>Randomized,</w:t>
            </w:r>
            <w:r>
              <w:rPr>
                <w:color w:val="111111"/>
                <w:spacing w:val="-3"/>
                <w:sz w:val="24"/>
              </w:rPr>
              <w:t> </w:t>
            </w:r>
            <w:r>
              <w:rPr>
                <w:color w:val="111111"/>
                <w:sz w:val="24"/>
              </w:rPr>
              <w:t>blind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placebo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study,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maybe</w:t>
            </w:r>
            <w:r>
              <w:rPr>
                <w:color w:val="111111"/>
                <w:spacing w:val="-3"/>
                <w:sz w:val="24"/>
              </w:rPr>
              <w:t> </w:t>
            </w:r>
            <w:r>
              <w:rPr>
                <w:color w:val="111111"/>
                <w:sz w:val="24"/>
              </w:rPr>
              <w:t>open-label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at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some</w:t>
            </w:r>
            <w:r>
              <w:rPr>
                <w:color w:val="111111"/>
                <w:spacing w:val="-2"/>
                <w:sz w:val="24"/>
              </w:rPr>
              <w:t> sites.</w:t>
            </w:r>
          </w:p>
        </w:tc>
      </w:tr>
      <w:tr>
        <w:trPr>
          <w:trHeight w:val="584" w:hRule="atLeast"/>
        </w:trPr>
        <w:tc>
          <w:tcPr>
            <w:tcW w:w="2220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Population</w:t>
            </w:r>
          </w:p>
        </w:tc>
        <w:tc>
          <w:tcPr>
            <w:tcW w:w="783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111111"/>
                <w:sz w:val="24"/>
              </w:rPr>
              <w:t>Adults 18 to 70 or 75 years </w:t>
            </w:r>
            <w:r>
              <w:rPr>
                <w:color w:val="111111"/>
                <w:spacing w:val="-4"/>
                <w:sz w:val="24"/>
              </w:rPr>
              <w:t>old.</w:t>
            </w:r>
          </w:p>
        </w:tc>
      </w:tr>
      <w:tr>
        <w:trPr>
          <w:trHeight w:val="569" w:hRule="atLeast"/>
        </w:trPr>
        <w:tc>
          <w:tcPr>
            <w:tcW w:w="2220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111111"/>
                <w:sz w:val="24"/>
              </w:rPr>
              <w:t>Sample </w:t>
            </w:r>
            <w:r>
              <w:rPr>
                <w:color w:val="111111"/>
                <w:spacing w:val="-4"/>
                <w:sz w:val="24"/>
              </w:rPr>
              <w:t>Size</w:t>
            </w:r>
          </w:p>
        </w:tc>
        <w:tc>
          <w:tcPr>
            <w:tcW w:w="783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111111"/>
                <w:sz w:val="24"/>
              </w:rPr>
              <w:t>100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or 120 patients depending on enrollment </w:t>
            </w:r>
            <w:r>
              <w:rPr>
                <w:color w:val="111111"/>
                <w:spacing w:val="-2"/>
                <w:sz w:val="24"/>
              </w:rPr>
              <w:t>feasibility.</w:t>
            </w:r>
          </w:p>
        </w:tc>
      </w:tr>
      <w:tr>
        <w:trPr>
          <w:trHeight w:val="584" w:hRule="atLeast"/>
        </w:trPr>
        <w:tc>
          <w:tcPr>
            <w:tcW w:w="2220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Treatment</w:t>
            </w:r>
          </w:p>
        </w:tc>
        <w:tc>
          <w:tcPr>
            <w:tcW w:w="783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111111"/>
                <w:sz w:val="24"/>
              </w:rPr>
              <w:t>CLN-201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10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mg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once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daily,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possibly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twice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daily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if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not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pacing w:val="-2"/>
                <w:sz w:val="24"/>
              </w:rPr>
              <w:t>responding.</w:t>
            </w:r>
          </w:p>
        </w:tc>
      </w:tr>
      <w:tr>
        <w:trPr>
          <w:trHeight w:val="569" w:hRule="atLeast"/>
        </w:trPr>
        <w:tc>
          <w:tcPr>
            <w:tcW w:w="2220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Control</w:t>
            </w:r>
          </w:p>
        </w:tc>
        <w:tc>
          <w:tcPr>
            <w:tcW w:w="783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111111"/>
                <w:sz w:val="24"/>
              </w:rPr>
              <w:t>Placebo / comparator not </w:t>
            </w:r>
            <w:r>
              <w:rPr>
                <w:color w:val="111111"/>
                <w:spacing w:val="-2"/>
                <w:sz w:val="24"/>
              </w:rPr>
              <w:t>finalized.</w:t>
            </w:r>
          </w:p>
        </w:tc>
      </w:tr>
      <w:tr>
        <w:trPr>
          <w:trHeight w:val="569" w:hRule="atLeast"/>
        </w:trPr>
        <w:tc>
          <w:tcPr>
            <w:tcW w:w="2220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Duration</w:t>
            </w:r>
          </w:p>
        </w:tc>
        <w:tc>
          <w:tcPr>
            <w:tcW w:w="783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111111"/>
                <w:sz w:val="24"/>
              </w:rPr>
              <w:t>10 weeks treatment, or 12 weeks, with follow-up 2 weeks maybe </w:t>
            </w:r>
            <w:r>
              <w:rPr>
                <w:color w:val="111111"/>
                <w:spacing w:val="-5"/>
                <w:sz w:val="24"/>
              </w:rPr>
              <w:t>4.</w:t>
            </w:r>
          </w:p>
        </w:tc>
      </w:tr>
      <w:tr>
        <w:trPr>
          <w:trHeight w:val="584" w:hRule="atLeast"/>
        </w:trPr>
        <w:tc>
          <w:tcPr>
            <w:tcW w:w="2220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111111"/>
                <w:sz w:val="24"/>
              </w:rPr>
              <w:t>Primary </w:t>
            </w:r>
            <w:r>
              <w:rPr>
                <w:color w:val="111111"/>
                <w:spacing w:val="-2"/>
                <w:sz w:val="24"/>
              </w:rPr>
              <w:t>Endpoint</w:t>
            </w:r>
          </w:p>
        </w:tc>
        <w:tc>
          <w:tcPr>
            <w:tcW w:w="783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111111"/>
                <w:sz w:val="24"/>
              </w:rPr>
              <w:t>Change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in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score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at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Week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8,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maybe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Week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12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if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pacing w:val="-2"/>
                <w:sz w:val="24"/>
              </w:rPr>
              <w:t>available.</w:t>
            </w:r>
          </w:p>
        </w:tc>
      </w:tr>
    </w:tbl>
    <w:p>
      <w:pPr>
        <w:pStyle w:val="BodyText"/>
        <w:spacing w:before="129"/>
      </w:pPr>
    </w:p>
    <w:p>
      <w:pPr>
        <w:pStyle w:val="Heading1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400"/>
        <w:jc w:val="left"/>
      </w:pPr>
      <w:r>
        <w:rPr>
          <w:color w:val="111111"/>
          <w:spacing w:val="-2"/>
        </w:rPr>
        <w:t>Introduction</w:t>
      </w:r>
    </w:p>
    <w:p>
      <w:pPr>
        <w:pStyle w:val="BodyText"/>
        <w:spacing w:before="11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590549</wp:posOffset>
                </wp:positionH>
                <wp:positionV relativeFrom="paragraph">
                  <wp:posOffset>66076</wp:posOffset>
                </wp:positionV>
                <wp:extent cx="639127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202907pt;width:503.24996pt;height:.75pt;mso-position-horizontal-relative:page;mso-position-vertical-relative:paragraph;z-index:-15728128;mso-wrap-distance-left:0;mso-wrap-distance-right:0" id="docshape6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79"/>
      </w:pPr>
      <w:r>
        <w:rPr>
          <w:color w:val="111111"/>
        </w:rPr>
        <w:t>CLN-201 may help inflammatory disease symptoms. More details will be added </w:t>
      </w:r>
      <w:r>
        <w:rPr>
          <w:color w:val="111111"/>
          <w:spacing w:val="-2"/>
        </w:rPr>
        <w:t>later.</w:t>
      </w:r>
    </w:p>
    <w:p>
      <w:pPr>
        <w:pStyle w:val="BodyText"/>
        <w:spacing w:before="175"/>
      </w:pPr>
    </w:p>
    <w:p>
      <w:pPr>
        <w:pStyle w:val="Heading1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400"/>
        <w:jc w:val="left"/>
      </w:pPr>
      <w:r>
        <w:rPr>
          <w:color w:val="111111"/>
        </w:rPr>
        <w:t>Objectives and </w:t>
      </w:r>
      <w:r>
        <w:rPr>
          <w:color w:val="111111"/>
          <w:spacing w:val="-2"/>
        </w:rPr>
        <w:t>Endpoints</w:t>
      </w:r>
    </w:p>
    <w:p>
      <w:pPr>
        <w:pStyle w:val="BodyText"/>
        <w:spacing w:before="11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590549</wp:posOffset>
                </wp:positionH>
                <wp:positionV relativeFrom="paragraph">
                  <wp:posOffset>66092</wp:posOffset>
                </wp:positionV>
                <wp:extent cx="6391275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204096pt;width:503.24996pt;height:.75pt;mso-position-horizontal-relative:page;mso-position-vertical-relative:paragraph;z-index:-15727616;mso-wrap-distance-left:0;mso-wrap-distance-right:0" id="docshape7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679"/>
      </w:pPr>
      <w:r>
        <w:rPr>
          <w:color w:val="111111"/>
        </w:rPr>
        <w:t>Primary objective: improve </w:t>
      </w:r>
      <w:r>
        <w:rPr>
          <w:color w:val="111111"/>
          <w:spacing w:val="-2"/>
        </w:rPr>
        <w:t>symptoms</w:t>
      </w:r>
    </w:p>
    <w:p>
      <w:pPr>
        <w:pStyle w:val="BodyText"/>
        <w:spacing w:before="69"/>
        <w:ind w:left="6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819149</wp:posOffset>
                </wp:positionH>
                <wp:positionV relativeFrom="paragraph">
                  <wp:posOffset>-99045</wp:posOffset>
                </wp:positionV>
                <wp:extent cx="47625" cy="476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499992pt;margin-top:-7.79883pt;width:3.75pt;height:3.75pt;mso-position-horizontal-relative:page;mso-position-vertical-relative:paragraph;z-index:15730176" id="docshape8" coordorigin="1290,-156" coordsize="75,75" path="m1332,-81l1323,-81,1318,-82,1290,-114,1290,-123,1323,-156,1332,-156,1365,-118,1365,-114,1332,-81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819149</wp:posOffset>
                </wp:positionH>
                <wp:positionV relativeFrom="paragraph">
                  <wp:posOffset>120029</wp:posOffset>
                </wp:positionV>
                <wp:extent cx="47625" cy="476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499992pt;margin-top:9.451169pt;width:3.75pt;height:3.75pt;mso-position-horizontal-relative:page;mso-position-vertical-relative:paragraph;z-index:15730688" id="docshape9" coordorigin="1290,189" coordsize="75,75" path="m1332,264l1323,264,1318,263,1290,231,1290,222,1323,189,1332,189,1365,227,1365,231,1332,264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11111"/>
        </w:rPr>
        <w:t>Secondary</w:t>
      </w:r>
      <w:r>
        <w:rPr>
          <w:color w:val="111111"/>
          <w:spacing w:val="-2"/>
        </w:rPr>
        <w:t> </w:t>
      </w:r>
      <w:r>
        <w:rPr>
          <w:color w:val="111111"/>
        </w:rPr>
        <w:t>objectives:</w:t>
      </w:r>
      <w:r>
        <w:rPr>
          <w:color w:val="111111"/>
          <w:spacing w:val="-2"/>
        </w:rPr>
        <w:t> </w:t>
      </w:r>
      <w:r>
        <w:rPr>
          <w:color w:val="111111"/>
        </w:rPr>
        <w:t>safety,</w:t>
      </w:r>
      <w:r>
        <w:rPr>
          <w:color w:val="111111"/>
          <w:spacing w:val="-2"/>
        </w:rPr>
        <w:t> </w:t>
      </w:r>
      <w:r>
        <w:rPr>
          <w:color w:val="111111"/>
        </w:rPr>
        <w:t>labs,</w:t>
      </w:r>
      <w:r>
        <w:rPr>
          <w:color w:val="111111"/>
          <w:spacing w:val="-2"/>
        </w:rPr>
        <w:t> </w:t>
      </w:r>
      <w:r>
        <w:rPr>
          <w:color w:val="111111"/>
        </w:rPr>
        <w:t>quality</w:t>
      </w:r>
      <w:r>
        <w:rPr>
          <w:color w:val="111111"/>
          <w:spacing w:val="-2"/>
        </w:rPr>
        <w:t> </w:t>
      </w:r>
      <w:r>
        <w:rPr>
          <w:color w:val="111111"/>
        </w:rPr>
        <w:t>of</w:t>
      </w:r>
      <w:r>
        <w:rPr>
          <w:color w:val="111111"/>
          <w:spacing w:val="-2"/>
        </w:rPr>
        <w:t> </w:t>
      </w:r>
      <w:r>
        <w:rPr>
          <w:color w:val="111111"/>
        </w:rPr>
        <w:t>life,</w:t>
      </w:r>
      <w:r>
        <w:rPr>
          <w:color w:val="111111"/>
          <w:spacing w:val="-2"/>
        </w:rPr>
        <w:t> </w:t>
      </w:r>
      <w:r>
        <w:rPr>
          <w:color w:val="111111"/>
        </w:rPr>
        <w:t>biomarkers,</w:t>
      </w:r>
      <w:r>
        <w:rPr>
          <w:color w:val="111111"/>
          <w:spacing w:val="-2"/>
        </w:rPr>
        <w:t> </w:t>
      </w:r>
      <w:r>
        <w:rPr>
          <w:color w:val="111111"/>
        </w:rPr>
        <w:t>other</w:t>
      </w:r>
      <w:r>
        <w:rPr>
          <w:color w:val="111111"/>
          <w:spacing w:val="-2"/>
        </w:rPr>
        <w:t> outcomes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500" w:bottom="460" w:left="850" w:right="850"/>
          <w:pgNumType w:start="1"/>
        </w:sectPr>
      </w:pPr>
    </w:p>
    <w:p>
      <w:pPr>
        <w:pStyle w:val="BodyText"/>
        <w:spacing w:before="82"/>
        <w:ind w:left="79"/>
      </w:pPr>
      <w:r>
        <w:rPr>
          <w:color w:val="111111"/>
        </w:rPr>
        <w:t>The main endpoint is disease improvement using a score that will be defined </w:t>
      </w:r>
      <w:r>
        <w:rPr>
          <w:color w:val="111111"/>
          <w:spacing w:val="-2"/>
        </w:rPr>
        <w:t>elsewhere.</w:t>
      </w:r>
    </w:p>
    <w:p>
      <w:pPr>
        <w:pStyle w:val="BodyText"/>
        <w:spacing w:before="160"/>
      </w:pPr>
    </w:p>
    <w:p>
      <w:pPr>
        <w:pStyle w:val="Heading1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400"/>
        <w:jc w:val="left"/>
      </w:pPr>
      <w:r>
        <w:rPr>
          <w:color w:val="111111"/>
        </w:rPr>
        <w:t>Study </w:t>
      </w:r>
      <w:r>
        <w:rPr>
          <w:color w:val="111111"/>
          <w:spacing w:val="-2"/>
        </w:rPr>
        <w:t>Design</w:t>
      </w:r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590549</wp:posOffset>
                </wp:positionH>
                <wp:positionV relativeFrom="paragraph">
                  <wp:posOffset>75785</wp:posOffset>
                </wp:positionV>
                <wp:extent cx="639127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967348pt;width:503.24996pt;height:.75pt;mso-position-horizontal-relative:page;mso-position-vertical-relative:paragraph;z-index:-15726080;mso-wrap-distance-left:0;mso-wrap-distance-right:0" id="docshape10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8" w:lineRule="auto"/>
        <w:ind w:left="79" w:right="139"/>
      </w:pPr>
      <w:r>
        <w:rPr>
          <w:color w:val="111111"/>
        </w:rPr>
        <w:t>This</w:t>
      </w:r>
      <w:r>
        <w:rPr>
          <w:color w:val="111111"/>
          <w:spacing w:val="-3"/>
        </w:rPr>
        <w:t> </w:t>
      </w:r>
      <w:r>
        <w:rPr>
          <w:color w:val="111111"/>
        </w:rPr>
        <w:t>is</w:t>
      </w:r>
      <w:r>
        <w:rPr>
          <w:color w:val="111111"/>
          <w:spacing w:val="-3"/>
        </w:rPr>
        <w:t> </w:t>
      </w:r>
      <w:r>
        <w:rPr>
          <w:color w:val="111111"/>
        </w:rPr>
        <w:t>a</w:t>
      </w:r>
      <w:r>
        <w:rPr>
          <w:color w:val="111111"/>
          <w:spacing w:val="-3"/>
        </w:rPr>
        <w:t> </w:t>
      </w:r>
      <w:r>
        <w:rPr>
          <w:color w:val="111111"/>
        </w:rPr>
        <w:t>multicenter</w:t>
      </w:r>
      <w:r>
        <w:rPr>
          <w:color w:val="111111"/>
          <w:spacing w:val="-3"/>
        </w:rPr>
        <w:t> </w:t>
      </w:r>
      <w:r>
        <w:rPr>
          <w:color w:val="111111"/>
        </w:rPr>
        <w:t>study</w:t>
      </w:r>
      <w:r>
        <w:rPr>
          <w:color w:val="111111"/>
          <w:spacing w:val="-3"/>
        </w:rPr>
        <w:t> </w:t>
      </w:r>
      <w:r>
        <w:rPr>
          <w:color w:val="111111"/>
        </w:rPr>
        <w:t>with</w:t>
      </w:r>
      <w:r>
        <w:rPr>
          <w:color w:val="111111"/>
          <w:spacing w:val="-3"/>
        </w:rPr>
        <w:t> </w:t>
      </w:r>
      <w:r>
        <w:rPr>
          <w:color w:val="111111"/>
        </w:rPr>
        <w:t>blinded</w:t>
      </w:r>
      <w:r>
        <w:rPr>
          <w:color w:val="111111"/>
          <w:spacing w:val="-3"/>
        </w:rPr>
        <w:t> </w:t>
      </w:r>
      <w:r>
        <w:rPr>
          <w:color w:val="111111"/>
        </w:rPr>
        <w:t>procedures</w:t>
      </w:r>
      <w:r>
        <w:rPr>
          <w:color w:val="111111"/>
          <w:spacing w:val="-3"/>
        </w:rPr>
        <w:t> </w:t>
      </w:r>
      <w:r>
        <w:rPr>
          <w:color w:val="111111"/>
        </w:rPr>
        <w:t>where</w:t>
      </w:r>
      <w:r>
        <w:rPr>
          <w:color w:val="111111"/>
          <w:spacing w:val="-3"/>
        </w:rPr>
        <w:t> </w:t>
      </w:r>
      <w:r>
        <w:rPr>
          <w:color w:val="111111"/>
        </w:rPr>
        <w:t>possible.</w:t>
      </w:r>
      <w:r>
        <w:rPr>
          <w:color w:val="111111"/>
          <w:spacing w:val="-3"/>
        </w:rPr>
        <w:t> </w:t>
      </w:r>
      <w:r>
        <w:rPr>
          <w:color w:val="111111"/>
        </w:rPr>
        <w:t>Some</w:t>
      </w:r>
      <w:r>
        <w:rPr>
          <w:color w:val="111111"/>
          <w:spacing w:val="-3"/>
        </w:rPr>
        <w:t> </w:t>
      </w:r>
      <w:r>
        <w:rPr>
          <w:color w:val="111111"/>
        </w:rPr>
        <w:t>study</w:t>
      </w:r>
      <w:r>
        <w:rPr>
          <w:color w:val="111111"/>
          <w:spacing w:val="-3"/>
        </w:rPr>
        <w:t> </w:t>
      </w:r>
      <w:r>
        <w:rPr>
          <w:color w:val="111111"/>
        </w:rPr>
        <w:t>sites</w:t>
      </w:r>
      <w:r>
        <w:rPr>
          <w:color w:val="111111"/>
          <w:spacing w:val="-3"/>
        </w:rPr>
        <w:t> </w:t>
      </w:r>
      <w:r>
        <w:rPr>
          <w:color w:val="111111"/>
        </w:rPr>
        <w:t>may</w:t>
      </w:r>
      <w:r>
        <w:rPr>
          <w:color w:val="111111"/>
          <w:spacing w:val="-3"/>
        </w:rPr>
        <w:t> </w:t>
      </w:r>
      <w:r>
        <w:rPr>
          <w:color w:val="111111"/>
        </w:rPr>
        <w:t>use open-label operations due to logistics.</w:t>
      </w:r>
    </w:p>
    <w:p>
      <w:pPr>
        <w:pStyle w:val="BodyText"/>
        <w:spacing w:before="252"/>
        <w:ind w:left="79"/>
      </w:pPr>
      <w:r>
        <w:rPr>
          <w:color w:val="111111"/>
        </w:rPr>
        <w:t>Participants may be randomized 1:1, although alternative allocation may be used if </w:t>
      </w:r>
      <w:r>
        <w:rPr>
          <w:color w:val="111111"/>
          <w:spacing w:val="-2"/>
        </w:rPr>
        <w:t>needed.</w:t>
      </w:r>
    </w:p>
    <w:p>
      <w:pPr>
        <w:pStyle w:val="BodyText"/>
        <w:spacing w:before="161"/>
      </w:pPr>
    </w:p>
    <w:p>
      <w:pPr>
        <w:pStyle w:val="Heading1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400"/>
        <w:jc w:val="left"/>
      </w:pPr>
      <w:r>
        <w:rPr>
          <w:color w:val="111111"/>
        </w:rPr>
        <w:t>Study </w:t>
      </w:r>
      <w:r>
        <w:rPr>
          <w:color w:val="111111"/>
          <w:spacing w:val="-2"/>
        </w:rPr>
        <w:t>Population</w:t>
      </w:r>
    </w:p>
    <w:p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590549</wp:posOffset>
                </wp:positionH>
                <wp:positionV relativeFrom="paragraph">
                  <wp:posOffset>75398</wp:posOffset>
                </wp:positionV>
                <wp:extent cx="6391275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936904pt;width:503.24996pt;height:.75pt;mso-position-horizontal-relative:page;mso-position-vertical-relative:paragraph;z-index:-15725568;mso-wrap-distance-left:0;mso-wrap-distance-right:0" id="docshape11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46" w:val="left" w:leader="none"/>
        </w:tabs>
        <w:spacing w:line="240" w:lineRule="auto" w:before="292" w:after="0"/>
        <w:ind w:left="546" w:right="0" w:hanging="467"/>
        <w:jc w:val="left"/>
      </w:pPr>
      <w:r>
        <w:rPr>
          <w:color w:val="111111"/>
        </w:rPr>
        <w:t>Inclusion </w:t>
      </w:r>
      <w:r>
        <w:rPr>
          <w:color w:val="111111"/>
          <w:spacing w:val="-2"/>
        </w:rPr>
        <w:t>Criteria</w:t>
      </w:r>
    </w:p>
    <w:p>
      <w:pPr>
        <w:pStyle w:val="BodyText"/>
        <w:spacing w:before="39"/>
        <w:rPr>
          <w:rFonts w:ascii="Arial"/>
          <w:b/>
        </w:rPr>
      </w:pPr>
    </w:p>
    <w:p>
      <w:pPr>
        <w:pStyle w:val="BodyText"/>
        <w:spacing w:before="1"/>
        <w:ind w:left="43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11111"/>
        </w:rPr>
        <w:t>Adults with inflammatory disease</w:t>
      </w:r>
    </w:p>
    <w:p>
      <w:pPr>
        <w:pStyle w:val="BodyText"/>
        <w:spacing w:line="288" w:lineRule="auto" w:before="54"/>
        <w:ind w:left="439" w:right="5755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11111"/>
        </w:rPr>
        <w:t>Stable</w:t>
      </w:r>
      <w:r>
        <w:rPr>
          <w:color w:val="111111"/>
          <w:spacing w:val="-6"/>
        </w:rPr>
        <w:t> </w:t>
      </w:r>
      <w:r>
        <w:rPr>
          <w:color w:val="111111"/>
        </w:rPr>
        <w:t>medications</w:t>
      </w:r>
      <w:r>
        <w:rPr>
          <w:color w:val="111111"/>
          <w:spacing w:val="-6"/>
        </w:rPr>
        <w:t> </w:t>
      </w:r>
      <w:r>
        <w:rPr>
          <w:color w:val="111111"/>
        </w:rPr>
        <w:t>maybe</w:t>
      </w:r>
      <w:r>
        <w:rPr>
          <w:color w:val="111111"/>
          <w:spacing w:val="-6"/>
        </w:rPr>
        <w:t> </w:t>
      </w:r>
      <w:r>
        <w:rPr>
          <w:color w:val="111111"/>
        </w:rPr>
        <w:t>4</w:t>
      </w:r>
      <w:r>
        <w:rPr>
          <w:color w:val="111111"/>
          <w:spacing w:val="-6"/>
        </w:rPr>
        <w:t> </w:t>
      </w:r>
      <w:r>
        <w:rPr>
          <w:color w:val="111111"/>
        </w:rPr>
        <w:t>weeks </w:t>
      </w:r>
      <w:r>
        <w:rPr>
          <w:color w:val="111111"/>
          <w:position w:val="3"/>
        </w:rPr>
        <w:drawing>
          <wp:inline distT="0" distB="0" distL="0" distR="0">
            <wp:extent cx="47625" cy="4762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position w:val="3"/>
        </w:rPr>
      </w:r>
      <w:r>
        <w:rPr>
          <w:rFonts w:ascii="Times New Roman"/>
          <w:color w:val="111111"/>
          <w:spacing w:val="80"/>
        </w:rPr>
        <w:t> </w:t>
      </w:r>
      <w:r>
        <w:rPr>
          <w:color w:val="111111"/>
        </w:rPr>
        <w:t>Can sign consent</w:t>
      </w:r>
    </w:p>
    <w:p>
      <w:pPr>
        <w:pStyle w:val="BodyText"/>
        <w:spacing w:before="29"/>
      </w:pPr>
    </w:p>
    <w:p>
      <w:pPr>
        <w:pStyle w:val="Heading2"/>
        <w:numPr>
          <w:ilvl w:val="1"/>
          <w:numId w:val="1"/>
        </w:numPr>
        <w:tabs>
          <w:tab w:pos="546" w:val="left" w:leader="none"/>
        </w:tabs>
        <w:spacing w:line="240" w:lineRule="auto" w:before="0" w:after="0"/>
        <w:ind w:left="546" w:right="0" w:hanging="467"/>
        <w:jc w:val="left"/>
      </w:pPr>
      <w:r>
        <w:rPr>
          <w:color w:val="111111"/>
        </w:rPr>
        <w:t>Exclusion </w:t>
      </w:r>
      <w:r>
        <w:rPr>
          <w:color w:val="111111"/>
          <w:spacing w:val="-2"/>
        </w:rPr>
        <w:t>Criteria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BodyText"/>
        <w:spacing w:line="288" w:lineRule="auto" w:before="0"/>
        <w:ind w:left="439" w:right="8553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11111"/>
        </w:rPr>
        <w:t>Infection</w:t>
      </w:r>
      <w:r>
        <w:rPr>
          <w:color w:val="111111"/>
          <w:spacing w:val="40"/>
        </w:rPr>
        <w:t> </w:t>
      </w:r>
      <w:r>
        <w:rPr>
          <w:color w:val="111111"/>
          <w:position w:val="3"/>
        </w:rPr>
        <w:drawing>
          <wp:inline distT="0" distB="0" distL="0" distR="0">
            <wp:extent cx="47625" cy="4762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position w:val="3"/>
        </w:rPr>
      </w:r>
      <w:r>
        <w:rPr>
          <w:rFonts w:ascii="Times New Roman"/>
          <w:color w:val="111111"/>
          <w:spacing w:val="68"/>
        </w:rPr>
        <w:t> </w:t>
      </w:r>
      <w:r>
        <w:rPr>
          <w:color w:val="111111"/>
        </w:rPr>
        <w:t>Pregnant</w:t>
      </w:r>
    </w:p>
    <w:p>
      <w:pPr>
        <w:pStyle w:val="BodyText"/>
        <w:spacing w:before="13"/>
        <w:ind w:left="43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11111"/>
        </w:rPr>
        <w:t>Heart issue</w:t>
      </w:r>
    </w:p>
    <w:p>
      <w:pPr>
        <w:pStyle w:val="BodyText"/>
        <w:spacing w:before="54"/>
        <w:ind w:left="43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11111"/>
        </w:rPr>
        <w:t>Other exclusions to be added</w:t>
      </w:r>
    </w:p>
    <w:p>
      <w:pPr>
        <w:pStyle w:val="BodyText"/>
        <w:spacing w:before="160"/>
      </w:pPr>
    </w:p>
    <w:p>
      <w:pPr>
        <w:pStyle w:val="Heading1"/>
        <w:numPr>
          <w:ilvl w:val="0"/>
          <w:numId w:val="1"/>
        </w:numPr>
        <w:tabs>
          <w:tab w:pos="479" w:val="left" w:leader="none"/>
        </w:tabs>
        <w:spacing w:line="240" w:lineRule="auto" w:before="1" w:after="0"/>
        <w:ind w:left="479" w:right="0" w:hanging="400"/>
        <w:jc w:val="left"/>
      </w:pPr>
      <w:r>
        <w:rPr>
          <w:color w:val="111111"/>
        </w:rPr>
        <w:t>Treatment</w:t>
      </w:r>
      <w:r>
        <w:rPr>
          <w:color w:val="111111"/>
          <w:spacing w:val="-10"/>
        </w:rPr>
        <w:t> </w:t>
      </w:r>
      <w:r>
        <w:rPr>
          <w:color w:val="111111"/>
        </w:rPr>
        <w:t>of</w:t>
      </w:r>
      <w:r>
        <w:rPr>
          <w:color w:val="111111"/>
          <w:spacing w:val="-10"/>
        </w:rPr>
        <w:t> </w:t>
      </w:r>
      <w:r>
        <w:rPr>
          <w:color w:val="111111"/>
          <w:spacing w:val="-2"/>
        </w:rPr>
        <w:t>Participants</w:t>
      </w:r>
    </w:p>
    <w:p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590549</wp:posOffset>
                </wp:positionH>
                <wp:positionV relativeFrom="paragraph">
                  <wp:posOffset>75289</wp:posOffset>
                </wp:positionV>
                <wp:extent cx="6391275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9283pt;width:503.24996pt;height:.75pt;mso-position-horizontal-relative:page;mso-position-vertical-relative:paragraph;z-index:-15725056;mso-wrap-distance-left:0;mso-wrap-distance-right:0" id="docshape12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8" w:lineRule="auto"/>
        <w:ind w:left="79"/>
      </w:pPr>
      <w:r>
        <w:rPr>
          <w:color w:val="111111"/>
        </w:rPr>
        <w:t>Participants</w:t>
      </w:r>
      <w:r>
        <w:rPr>
          <w:color w:val="111111"/>
          <w:spacing w:val="-3"/>
        </w:rPr>
        <w:t> </w:t>
      </w:r>
      <w:r>
        <w:rPr>
          <w:color w:val="111111"/>
        </w:rPr>
        <w:t>will</w:t>
      </w:r>
      <w:r>
        <w:rPr>
          <w:color w:val="111111"/>
          <w:spacing w:val="-3"/>
        </w:rPr>
        <w:t> </w:t>
      </w:r>
      <w:r>
        <w:rPr>
          <w:color w:val="111111"/>
        </w:rPr>
        <w:t>receive</w:t>
      </w:r>
      <w:r>
        <w:rPr>
          <w:color w:val="111111"/>
          <w:spacing w:val="-3"/>
        </w:rPr>
        <w:t> </w:t>
      </w:r>
      <w:r>
        <w:rPr>
          <w:color w:val="111111"/>
        </w:rPr>
        <w:t>CLN-201.</w:t>
      </w:r>
      <w:r>
        <w:rPr>
          <w:color w:val="111111"/>
          <w:spacing w:val="-3"/>
        </w:rPr>
        <w:t> </w:t>
      </w:r>
      <w:r>
        <w:rPr>
          <w:color w:val="111111"/>
        </w:rPr>
        <w:t>Placebo</w:t>
      </w:r>
      <w:r>
        <w:rPr>
          <w:color w:val="111111"/>
          <w:spacing w:val="-3"/>
        </w:rPr>
        <w:t> </w:t>
      </w:r>
      <w:r>
        <w:rPr>
          <w:color w:val="111111"/>
        </w:rPr>
        <w:t>or</w:t>
      </w:r>
      <w:r>
        <w:rPr>
          <w:color w:val="111111"/>
          <w:spacing w:val="-3"/>
        </w:rPr>
        <w:t> </w:t>
      </w:r>
      <w:r>
        <w:rPr>
          <w:color w:val="111111"/>
        </w:rPr>
        <w:t>active</w:t>
      </w:r>
      <w:r>
        <w:rPr>
          <w:color w:val="111111"/>
          <w:spacing w:val="-3"/>
        </w:rPr>
        <w:t> </w:t>
      </w:r>
      <w:r>
        <w:rPr>
          <w:color w:val="111111"/>
        </w:rPr>
        <w:t>comparator</w:t>
      </w:r>
      <w:r>
        <w:rPr>
          <w:color w:val="111111"/>
          <w:spacing w:val="-3"/>
        </w:rPr>
        <w:t> </w:t>
      </w:r>
      <w:r>
        <w:rPr>
          <w:color w:val="111111"/>
        </w:rPr>
        <w:t>may</w:t>
      </w:r>
      <w:r>
        <w:rPr>
          <w:color w:val="111111"/>
          <w:spacing w:val="-3"/>
        </w:rPr>
        <w:t> </w:t>
      </w:r>
      <w:r>
        <w:rPr>
          <w:color w:val="111111"/>
        </w:rPr>
        <w:t>be</w:t>
      </w:r>
      <w:r>
        <w:rPr>
          <w:color w:val="111111"/>
          <w:spacing w:val="-3"/>
        </w:rPr>
        <w:t> </w:t>
      </w:r>
      <w:r>
        <w:rPr>
          <w:color w:val="111111"/>
        </w:rPr>
        <w:t>used</w:t>
      </w:r>
      <w:r>
        <w:rPr>
          <w:color w:val="111111"/>
          <w:spacing w:val="-3"/>
        </w:rPr>
        <w:t> </w:t>
      </w:r>
      <w:r>
        <w:rPr>
          <w:color w:val="111111"/>
        </w:rPr>
        <w:t>depending</w:t>
      </w:r>
      <w:r>
        <w:rPr>
          <w:color w:val="111111"/>
          <w:spacing w:val="-3"/>
        </w:rPr>
        <w:t> </w:t>
      </w:r>
      <w:r>
        <w:rPr>
          <w:color w:val="111111"/>
        </w:rPr>
        <w:t>on final regional strategy.</w:t>
      </w:r>
    </w:p>
    <w:p>
      <w:pPr>
        <w:pStyle w:val="BodyText"/>
        <w:spacing w:before="252"/>
        <w:ind w:left="79"/>
      </w:pPr>
      <w:r>
        <w:rPr>
          <w:color w:val="111111"/>
        </w:rPr>
        <w:t>Dose may increase if participants do not </w:t>
      </w:r>
      <w:r>
        <w:rPr>
          <w:color w:val="111111"/>
          <w:spacing w:val="-2"/>
        </w:rPr>
        <w:t>respond.</w:t>
      </w:r>
    </w:p>
    <w:p>
      <w:pPr>
        <w:pStyle w:val="BodyText"/>
        <w:spacing w:before="161"/>
      </w:pPr>
    </w:p>
    <w:p>
      <w:pPr>
        <w:pStyle w:val="Heading1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400"/>
        <w:jc w:val="left"/>
      </w:pPr>
      <w:r>
        <w:rPr>
          <w:color w:val="111111"/>
        </w:rPr>
        <w:t>Study</w:t>
      </w:r>
      <w:r>
        <w:rPr>
          <w:color w:val="111111"/>
          <w:spacing w:val="-14"/>
        </w:rPr>
        <w:t> </w:t>
      </w:r>
      <w:r>
        <w:rPr>
          <w:color w:val="111111"/>
        </w:rPr>
        <w:t>Assessments and </w:t>
      </w:r>
      <w:r>
        <w:rPr>
          <w:color w:val="111111"/>
          <w:spacing w:val="-2"/>
        </w:rPr>
        <w:t>Procedures</w:t>
      </w:r>
    </w:p>
    <w:p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590549</wp:posOffset>
                </wp:positionH>
                <wp:positionV relativeFrom="paragraph">
                  <wp:posOffset>75398</wp:posOffset>
                </wp:positionV>
                <wp:extent cx="6391275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936904pt;width:503.24996pt;height:.75pt;mso-position-horizontal-relative:page;mso-position-vertical-relative:paragraph;z-index:-15724544;mso-wrap-distance-left:0;mso-wrap-distance-right:0" id="docshape13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8" w:lineRule="auto"/>
        <w:ind w:left="79"/>
      </w:pPr>
      <w:r>
        <w:rPr>
          <w:color w:val="111111"/>
        </w:rPr>
        <w:t>Visits</w:t>
      </w:r>
      <w:r>
        <w:rPr>
          <w:color w:val="111111"/>
          <w:spacing w:val="-4"/>
        </w:rPr>
        <w:t> </w:t>
      </w:r>
      <w:r>
        <w:rPr>
          <w:color w:val="111111"/>
        </w:rPr>
        <w:t>include</w:t>
      </w:r>
      <w:r>
        <w:rPr>
          <w:color w:val="111111"/>
          <w:spacing w:val="-4"/>
        </w:rPr>
        <w:t> </w:t>
      </w:r>
      <w:r>
        <w:rPr>
          <w:color w:val="111111"/>
        </w:rPr>
        <w:t>screening,</w:t>
      </w:r>
      <w:r>
        <w:rPr>
          <w:color w:val="111111"/>
          <w:spacing w:val="-4"/>
        </w:rPr>
        <w:t> </w:t>
      </w:r>
      <w:r>
        <w:rPr>
          <w:color w:val="111111"/>
        </w:rPr>
        <w:t>Week</w:t>
      </w:r>
      <w:r>
        <w:rPr>
          <w:color w:val="111111"/>
          <w:spacing w:val="-4"/>
        </w:rPr>
        <w:t> </w:t>
      </w:r>
      <w:r>
        <w:rPr>
          <w:color w:val="111111"/>
        </w:rPr>
        <w:t>1,</w:t>
      </w:r>
      <w:r>
        <w:rPr>
          <w:color w:val="111111"/>
          <w:spacing w:val="-4"/>
        </w:rPr>
        <w:t> </w:t>
      </w:r>
      <w:r>
        <w:rPr>
          <w:color w:val="111111"/>
        </w:rPr>
        <w:t>Week</w:t>
      </w:r>
      <w:r>
        <w:rPr>
          <w:color w:val="111111"/>
          <w:spacing w:val="-4"/>
        </w:rPr>
        <w:t> </w:t>
      </w:r>
      <w:r>
        <w:rPr>
          <w:color w:val="111111"/>
        </w:rPr>
        <w:t>2,</w:t>
      </w:r>
      <w:r>
        <w:rPr>
          <w:color w:val="111111"/>
          <w:spacing w:val="-4"/>
        </w:rPr>
        <w:t> </w:t>
      </w:r>
      <w:r>
        <w:rPr>
          <w:color w:val="111111"/>
        </w:rPr>
        <w:t>Week</w:t>
      </w:r>
      <w:r>
        <w:rPr>
          <w:color w:val="111111"/>
          <w:spacing w:val="-4"/>
        </w:rPr>
        <w:t> </w:t>
      </w:r>
      <w:r>
        <w:rPr>
          <w:color w:val="111111"/>
        </w:rPr>
        <w:t>4,</w:t>
      </w:r>
      <w:r>
        <w:rPr>
          <w:color w:val="111111"/>
          <w:spacing w:val="-4"/>
        </w:rPr>
        <w:t> </w:t>
      </w:r>
      <w:r>
        <w:rPr>
          <w:color w:val="111111"/>
        </w:rPr>
        <w:t>Week</w:t>
      </w:r>
      <w:r>
        <w:rPr>
          <w:color w:val="111111"/>
          <w:spacing w:val="-4"/>
        </w:rPr>
        <w:t> </w:t>
      </w:r>
      <w:r>
        <w:rPr>
          <w:color w:val="111111"/>
        </w:rPr>
        <w:t>8,</w:t>
      </w:r>
      <w:r>
        <w:rPr>
          <w:color w:val="111111"/>
          <w:spacing w:val="-4"/>
        </w:rPr>
        <w:t> </w:t>
      </w:r>
      <w:r>
        <w:rPr>
          <w:color w:val="111111"/>
        </w:rPr>
        <w:t>and</w:t>
      </w:r>
      <w:r>
        <w:rPr>
          <w:color w:val="111111"/>
          <w:spacing w:val="-4"/>
        </w:rPr>
        <w:t> </w:t>
      </w:r>
      <w:r>
        <w:rPr>
          <w:color w:val="111111"/>
        </w:rPr>
        <w:t>end.</w:t>
      </w:r>
      <w:r>
        <w:rPr>
          <w:color w:val="111111"/>
          <w:spacing w:val="-4"/>
        </w:rPr>
        <w:t> </w:t>
      </w:r>
      <w:r>
        <w:rPr>
          <w:color w:val="111111"/>
        </w:rPr>
        <w:t>Week</w:t>
      </w:r>
      <w:r>
        <w:rPr>
          <w:color w:val="111111"/>
          <w:spacing w:val="-4"/>
        </w:rPr>
        <w:t> </w:t>
      </w:r>
      <w:r>
        <w:rPr>
          <w:color w:val="111111"/>
        </w:rPr>
        <w:t>12</w:t>
      </w:r>
      <w:r>
        <w:rPr>
          <w:color w:val="111111"/>
          <w:spacing w:val="-4"/>
        </w:rPr>
        <w:t> </w:t>
      </w:r>
      <w:r>
        <w:rPr>
          <w:color w:val="111111"/>
        </w:rPr>
        <w:t>may</w:t>
      </w:r>
      <w:r>
        <w:rPr>
          <w:color w:val="111111"/>
          <w:spacing w:val="-4"/>
        </w:rPr>
        <w:t> </w:t>
      </w:r>
      <w:r>
        <w:rPr>
          <w:color w:val="111111"/>
        </w:rPr>
        <w:t>also</w:t>
      </w:r>
      <w:r>
        <w:rPr>
          <w:color w:val="111111"/>
          <w:spacing w:val="-4"/>
        </w:rPr>
        <w:t> </w:t>
      </w:r>
      <w:r>
        <w:rPr>
          <w:color w:val="111111"/>
        </w:rPr>
        <w:t>be used for endpoint collection.</w:t>
      </w:r>
    </w:p>
    <w:p>
      <w:pPr>
        <w:pStyle w:val="BodyText"/>
        <w:spacing w:before="4"/>
        <w:rPr>
          <w:sz w:val="19"/>
        </w:rPr>
      </w:pPr>
    </w:p>
    <w:tbl>
      <w:tblPr>
        <w:tblW w:w="0" w:type="auto"/>
        <w:jc w:val="left"/>
        <w:tblInd w:w="9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5"/>
        <w:gridCol w:w="1410"/>
        <w:gridCol w:w="1245"/>
        <w:gridCol w:w="945"/>
        <w:gridCol w:w="945"/>
        <w:gridCol w:w="930"/>
        <w:gridCol w:w="945"/>
        <w:gridCol w:w="990"/>
        <w:gridCol w:w="705"/>
      </w:tblGrid>
      <w:tr>
        <w:trPr>
          <w:trHeight w:val="914" w:hRule="atLeast"/>
        </w:trPr>
        <w:tc>
          <w:tcPr>
            <w:tcW w:w="1935" w:type="dxa"/>
          </w:tcPr>
          <w:p>
            <w:pPr>
              <w:pStyle w:val="TableParagraph"/>
              <w:ind w:left="2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2"/>
                <w:sz w:val="24"/>
              </w:rPr>
              <w:t>Assessment</w:t>
            </w:r>
          </w:p>
        </w:tc>
        <w:tc>
          <w:tcPr>
            <w:tcW w:w="1410" w:type="dxa"/>
          </w:tcPr>
          <w:p>
            <w:pPr>
              <w:pStyle w:val="TableParagraph"/>
              <w:ind w:left="1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2"/>
                <w:sz w:val="24"/>
              </w:rPr>
              <w:t>Screening</w:t>
            </w:r>
          </w:p>
        </w:tc>
        <w:tc>
          <w:tcPr>
            <w:tcW w:w="1245" w:type="dxa"/>
          </w:tcPr>
          <w:p>
            <w:pPr>
              <w:pStyle w:val="TableParagraph"/>
              <w:ind w:left="1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2"/>
                <w:sz w:val="24"/>
              </w:rPr>
              <w:t>Baseline</w:t>
            </w:r>
          </w:p>
        </w:tc>
        <w:tc>
          <w:tcPr>
            <w:tcW w:w="945" w:type="dxa"/>
          </w:tcPr>
          <w:p>
            <w:pPr>
              <w:pStyle w:val="TableParagraph"/>
              <w:spacing w:line="300" w:lineRule="auto"/>
              <w:ind w:left="407" w:right="137" w:hanging="24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4"/>
                <w:sz w:val="24"/>
              </w:rPr>
              <w:t>Week </w:t>
            </w:r>
            <w:r>
              <w:rPr>
                <w:rFonts w:ascii="Arial"/>
                <w:b/>
                <w:color w:val="111111"/>
                <w:spacing w:val="-10"/>
                <w:sz w:val="24"/>
              </w:rPr>
              <w:t>1</w:t>
            </w:r>
          </w:p>
        </w:tc>
        <w:tc>
          <w:tcPr>
            <w:tcW w:w="945" w:type="dxa"/>
          </w:tcPr>
          <w:p>
            <w:pPr>
              <w:pStyle w:val="TableParagraph"/>
              <w:spacing w:line="300" w:lineRule="auto"/>
              <w:ind w:left="403" w:right="141" w:hanging="24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4"/>
                <w:sz w:val="24"/>
              </w:rPr>
              <w:t>Week </w:t>
            </w:r>
            <w:r>
              <w:rPr>
                <w:rFonts w:ascii="Arial"/>
                <w:b/>
                <w:color w:val="111111"/>
                <w:spacing w:val="-10"/>
                <w:sz w:val="24"/>
              </w:rPr>
              <w:t>2</w:t>
            </w:r>
          </w:p>
        </w:tc>
        <w:tc>
          <w:tcPr>
            <w:tcW w:w="930" w:type="dxa"/>
          </w:tcPr>
          <w:p>
            <w:pPr>
              <w:pStyle w:val="TableParagraph"/>
              <w:spacing w:line="300" w:lineRule="auto"/>
              <w:ind w:left="399" w:right="130" w:hanging="24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4"/>
                <w:sz w:val="24"/>
              </w:rPr>
              <w:t>Week </w:t>
            </w:r>
            <w:r>
              <w:rPr>
                <w:rFonts w:ascii="Arial"/>
                <w:b/>
                <w:color w:val="111111"/>
                <w:spacing w:val="-10"/>
                <w:sz w:val="24"/>
              </w:rPr>
              <w:t>4</w:t>
            </w:r>
          </w:p>
        </w:tc>
        <w:tc>
          <w:tcPr>
            <w:tcW w:w="945" w:type="dxa"/>
          </w:tcPr>
          <w:p>
            <w:pPr>
              <w:pStyle w:val="TableParagraph"/>
              <w:spacing w:line="300" w:lineRule="auto"/>
              <w:ind w:left="410" w:right="134" w:hanging="24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4"/>
                <w:sz w:val="24"/>
              </w:rPr>
              <w:t>Week </w:t>
            </w:r>
            <w:r>
              <w:rPr>
                <w:rFonts w:ascii="Arial"/>
                <w:b/>
                <w:color w:val="111111"/>
                <w:spacing w:val="-10"/>
                <w:sz w:val="24"/>
              </w:rPr>
              <w:t>8</w:t>
            </w:r>
          </w:p>
        </w:tc>
        <w:tc>
          <w:tcPr>
            <w:tcW w:w="990" w:type="dxa"/>
          </w:tcPr>
          <w:p>
            <w:pPr>
              <w:pStyle w:val="TableParagraph"/>
              <w:spacing w:line="300" w:lineRule="auto"/>
              <w:ind w:left="360" w:right="162" w:hanging="1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4"/>
                <w:sz w:val="24"/>
              </w:rPr>
              <w:t>Week </w:t>
            </w:r>
            <w:r>
              <w:rPr>
                <w:rFonts w:ascii="Arial"/>
                <w:b/>
                <w:color w:val="111111"/>
                <w:spacing w:val="-6"/>
                <w:sz w:val="24"/>
              </w:rPr>
              <w:t>12</w:t>
            </w:r>
          </w:p>
        </w:tc>
        <w:tc>
          <w:tcPr>
            <w:tcW w:w="705" w:type="dxa"/>
          </w:tcPr>
          <w:p>
            <w:pPr>
              <w:pStyle w:val="TableParagraph"/>
              <w:ind w:left="12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5"/>
                <w:sz w:val="24"/>
              </w:rPr>
              <w:t>End</w:t>
            </w:r>
          </w:p>
        </w:tc>
      </w:tr>
      <w:tr>
        <w:trPr>
          <w:trHeight w:val="914" w:hRule="atLeast"/>
        </w:trPr>
        <w:tc>
          <w:tcPr>
            <w:tcW w:w="1935" w:type="dxa"/>
          </w:tcPr>
          <w:p>
            <w:pPr>
              <w:pStyle w:val="TableParagraph"/>
              <w:spacing w:line="300" w:lineRule="auto"/>
              <w:ind w:left="127" w:right="841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Informed consent</w:t>
            </w:r>
          </w:p>
        </w:tc>
        <w:tc>
          <w:tcPr>
            <w:tcW w:w="141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1245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30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914" w:hRule="atLeast"/>
        </w:trPr>
        <w:tc>
          <w:tcPr>
            <w:tcW w:w="1935" w:type="dxa"/>
          </w:tcPr>
          <w:p>
            <w:pPr>
              <w:pStyle w:val="TableParagraph"/>
              <w:spacing w:line="288" w:lineRule="auto"/>
              <w:ind w:left="127" w:right="841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Eligibility review</w:t>
            </w:r>
          </w:p>
        </w:tc>
        <w:tc>
          <w:tcPr>
            <w:tcW w:w="141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1245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45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30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1900" w:h="16840"/>
          <w:pgMar w:header="284" w:footer="268" w:top="500" w:bottom="460" w:left="850" w:right="850"/>
        </w:sectPr>
      </w:pPr>
    </w:p>
    <w:p>
      <w:pPr>
        <w:pStyle w:val="BodyText"/>
        <w:spacing w:before="9"/>
        <w:rPr>
          <w:sz w:val="5"/>
        </w:rPr>
      </w:pPr>
    </w:p>
    <w:tbl>
      <w:tblPr>
        <w:tblW w:w="0" w:type="auto"/>
        <w:jc w:val="left"/>
        <w:tblInd w:w="9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5"/>
        <w:gridCol w:w="1410"/>
        <w:gridCol w:w="1245"/>
        <w:gridCol w:w="945"/>
        <w:gridCol w:w="945"/>
        <w:gridCol w:w="930"/>
        <w:gridCol w:w="945"/>
        <w:gridCol w:w="990"/>
        <w:gridCol w:w="705"/>
      </w:tblGrid>
      <w:tr>
        <w:trPr>
          <w:trHeight w:val="569" w:hRule="atLeast"/>
        </w:trPr>
        <w:tc>
          <w:tcPr>
            <w:tcW w:w="193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Randomization</w:t>
            </w:r>
          </w:p>
        </w:tc>
        <w:tc>
          <w:tcPr>
            <w:tcW w:w="1410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45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30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ind w:left="130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705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914" w:hRule="atLeast"/>
        </w:trPr>
        <w:tc>
          <w:tcPr>
            <w:tcW w:w="1935" w:type="dxa"/>
          </w:tcPr>
          <w:p>
            <w:pPr>
              <w:pStyle w:val="TableParagraph"/>
              <w:spacing w:line="288" w:lineRule="auto"/>
              <w:ind w:left="127" w:right="181"/>
              <w:rPr>
                <w:sz w:val="24"/>
              </w:rPr>
            </w:pPr>
            <w:r>
              <w:rPr>
                <w:color w:val="111111"/>
                <w:spacing w:val="-4"/>
                <w:sz w:val="24"/>
              </w:rPr>
              <w:t>Drug </w:t>
            </w:r>
            <w:r>
              <w:rPr>
                <w:color w:val="111111"/>
                <w:spacing w:val="-2"/>
                <w:sz w:val="24"/>
              </w:rPr>
              <w:t>dispensing</w:t>
            </w:r>
          </w:p>
        </w:tc>
        <w:tc>
          <w:tcPr>
            <w:tcW w:w="1410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45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4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30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45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90" w:type="dxa"/>
          </w:tcPr>
          <w:p>
            <w:pPr>
              <w:pStyle w:val="TableParagraph"/>
              <w:ind w:left="130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705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</w:tr>
      <w:tr>
        <w:trPr>
          <w:trHeight w:val="899" w:hRule="atLeast"/>
        </w:trPr>
        <w:tc>
          <w:tcPr>
            <w:tcW w:w="1935" w:type="dxa"/>
          </w:tcPr>
          <w:p>
            <w:pPr>
              <w:pStyle w:val="TableParagraph"/>
              <w:spacing w:line="288" w:lineRule="auto"/>
              <w:ind w:left="127" w:right="868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Primary endpoint</w:t>
            </w:r>
          </w:p>
        </w:tc>
        <w:tc>
          <w:tcPr>
            <w:tcW w:w="1410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30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90" w:type="dxa"/>
          </w:tcPr>
          <w:p>
            <w:pPr>
              <w:pStyle w:val="TableParagraph"/>
              <w:ind w:left="130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705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</w:tbl>
    <w:p>
      <w:pPr>
        <w:pStyle w:val="Heading1"/>
        <w:numPr>
          <w:ilvl w:val="0"/>
          <w:numId w:val="1"/>
        </w:numPr>
        <w:tabs>
          <w:tab w:pos="465" w:val="left" w:leader="none"/>
        </w:tabs>
        <w:spacing w:line="240" w:lineRule="auto" w:before="401" w:after="0"/>
        <w:ind w:left="465" w:right="0" w:hanging="386"/>
        <w:jc w:val="left"/>
      </w:pPr>
      <w:r>
        <w:rPr>
          <w:color w:val="111111"/>
        </w:rPr>
        <w:t>Adverse Event </w:t>
      </w:r>
      <w:r>
        <w:rPr>
          <w:color w:val="111111"/>
          <w:spacing w:val="-2"/>
        </w:rPr>
        <w:t>Reporting</w:t>
      </w:r>
    </w:p>
    <w:p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590549</wp:posOffset>
                </wp:positionH>
                <wp:positionV relativeFrom="paragraph">
                  <wp:posOffset>75440</wp:posOffset>
                </wp:positionV>
                <wp:extent cx="6391275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94021pt;width:503.24996pt;height:.75pt;mso-position-horizontal-relative:page;mso-position-vertical-relative:paragraph;z-index:-15724032;mso-wrap-distance-left:0;mso-wrap-distance-right:0" id="docshape14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8" w:lineRule="auto"/>
        <w:ind w:left="79"/>
      </w:pPr>
      <w:r>
        <w:rPr>
          <w:color w:val="111111"/>
        </w:rPr>
        <w:t>Adverse</w:t>
      </w:r>
      <w:r>
        <w:rPr>
          <w:color w:val="111111"/>
          <w:spacing w:val="-3"/>
        </w:rPr>
        <w:t> </w:t>
      </w:r>
      <w:r>
        <w:rPr>
          <w:color w:val="111111"/>
        </w:rPr>
        <w:t>events</w:t>
      </w:r>
      <w:r>
        <w:rPr>
          <w:color w:val="111111"/>
          <w:spacing w:val="-3"/>
        </w:rPr>
        <w:t> </w:t>
      </w:r>
      <w:r>
        <w:rPr>
          <w:color w:val="111111"/>
        </w:rPr>
        <w:t>and</w:t>
      </w:r>
      <w:r>
        <w:rPr>
          <w:color w:val="111111"/>
          <w:spacing w:val="-3"/>
        </w:rPr>
        <w:t> </w:t>
      </w:r>
      <w:r>
        <w:rPr>
          <w:color w:val="111111"/>
        </w:rPr>
        <w:t>serious</w:t>
      </w:r>
      <w:r>
        <w:rPr>
          <w:color w:val="111111"/>
          <w:spacing w:val="-3"/>
        </w:rPr>
        <w:t> </w:t>
      </w:r>
      <w:r>
        <w:rPr>
          <w:color w:val="111111"/>
        </w:rPr>
        <w:t>adverse</w:t>
      </w:r>
      <w:r>
        <w:rPr>
          <w:color w:val="111111"/>
          <w:spacing w:val="-3"/>
        </w:rPr>
        <w:t> </w:t>
      </w:r>
      <w:r>
        <w:rPr>
          <w:color w:val="111111"/>
        </w:rPr>
        <w:t>events</w:t>
      </w:r>
      <w:r>
        <w:rPr>
          <w:color w:val="111111"/>
          <w:spacing w:val="-3"/>
        </w:rPr>
        <w:t> </w:t>
      </w:r>
      <w:r>
        <w:rPr>
          <w:color w:val="111111"/>
        </w:rPr>
        <w:t>will</w:t>
      </w:r>
      <w:r>
        <w:rPr>
          <w:color w:val="111111"/>
          <w:spacing w:val="-3"/>
        </w:rPr>
        <w:t> </w:t>
      </w:r>
      <w:r>
        <w:rPr>
          <w:color w:val="111111"/>
        </w:rPr>
        <w:t>be</w:t>
      </w:r>
      <w:r>
        <w:rPr>
          <w:color w:val="111111"/>
          <w:spacing w:val="-3"/>
        </w:rPr>
        <w:t> </w:t>
      </w:r>
      <w:r>
        <w:rPr>
          <w:color w:val="111111"/>
        </w:rPr>
        <w:t>collected.</w:t>
      </w:r>
      <w:r>
        <w:rPr>
          <w:color w:val="111111"/>
          <w:spacing w:val="-3"/>
        </w:rPr>
        <w:t> </w:t>
      </w:r>
      <w:r>
        <w:rPr>
          <w:color w:val="111111"/>
        </w:rPr>
        <w:t>Reporting</w:t>
      </w:r>
      <w:r>
        <w:rPr>
          <w:color w:val="111111"/>
          <w:spacing w:val="-3"/>
        </w:rPr>
        <w:t> </w:t>
      </w:r>
      <w:r>
        <w:rPr>
          <w:color w:val="111111"/>
        </w:rPr>
        <w:t>timelines</w:t>
      </w:r>
      <w:r>
        <w:rPr>
          <w:color w:val="111111"/>
          <w:spacing w:val="-3"/>
        </w:rPr>
        <w:t> </w:t>
      </w:r>
      <w:r>
        <w:rPr>
          <w:color w:val="111111"/>
        </w:rPr>
        <w:t>will</w:t>
      </w:r>
      <w:r>
        <w:rPr>
          <w:color w:val="111111"/>
          <w:spacing w:val="-3"/>
        </w:rPr>
        <w:t> </w:t>
      </w:r>
      <w:r>
        <w:rPr>
          <w:color w:val="111111"/>
        </w:rPr>
        <w:t>follow standard practice.</w:t>
      </w:r>
    </w:p>
    <w:p>
      <w:pPr>
        <w:pStyle w:val="BodyText"/>
        <w:spacing w:before="119"/>
      </w:pPr>
    </w:p>
    <w:p>
      <w:pPr>
        <w:pStyle w:val="Heading1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400"/>
        <w:jc w:val="left"/>
      </w:pPr>
      <w:r>
        <w:rPr>
          <w:color w:val="111111"/>
          <w:spacing w:val="-2"/>
        </w:rPr>
        <w:t>Statistics</w:t>
      </w:r>
    </w:p>
    <w:p>
      <w:pPr>
        <w:pStyle w:val="BodyText"/>
        <w:spacing w:before="1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590549</wp:posOffset>
                </wp:positionH>
                <wp:positionV relativeFrom="paragraph">
                  <wp:posOffset>65858</wp:posOffset>
                </wp:positionV>
                <wp:extent cx="6391275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185735pt;width:503.24996pt;height:.75pt;mso-position-horizontal-relative:page;mso-position-vertical-relative:paragraph;z-index:-15723520;mso-wrap-distance-left:0;mso-wrap-distance-right:0" id="docshape15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/>
        <w:ind w:left="79" w:right="130"/>
      </w:pPr>
      <w:r>
        <w:rPr>
          <w:color w:val="111111"/>
        </w:rPr>
        <w:t>Statistical</w:t>
      </w:r>
      <w:r>
        <w:rPr>
          <w:color w:val="111111"/>
          <w:spacing w:val="-4"/>
        </w:rPr>
        <w:t> </w:t>
      </w:r>
      <w:r>
        <w:rPr>
          <w:color w:val="111111"/>
        </w:rPr>
        <w:t>methods</w:t>
      </w:r>
      <w:r>
        <w:rPr>
          <w:color w:val="111111"/>
          <w:spacing w:val="-4"/>
        </w:rPr>
        <w:t> </w:t>
      </w:r>
      <w:r>
        <w:rPr>
          <w:color w:val="111111"/>
        </w:rPr>
        <w:t>will</w:t>
      </w:r>
      <w:r>
        <w:rPr>
          <w:color w:val="111111"/>
          <w:spacing w:val="-4"/>
        </w:rPr>
        <w:t> </w:t>
      </w:r>
      <w:r>
        <w:rPr>
          <w:color w:val="111111"/>
        </w:rPr>
        <w:t>be</w:t>
      </w:r>
      <w:r>
        <w:rPr>
          <w:color w:val="111111"/>
          <w:spacing w:val="-4"/>
        </w:rPr>
        <w:t> </w:t>
      </w:r>
      <w:r>
        <w:rPr>
          <w:color w:val="111111"/>
        </w:rPr>
        <w:t>standard.</w:t>
      </w:r>
      <w:r>
        <w:rPr>
          <w:color w:val="111111"/>
          <w:spacing w:val="-4"/>
        </w:rPr>
        <w:t> </w:t>
      </w:r>
      <w:r>
        <w:rPr>
          <w:color w:val="111111"/>
        </w:rPr>
        <w:t>Sample</w:t>
      </w:r>
      <w:r>
        <w:rPr>
          <w:color w:val="111111"/>
          <w:spacing w:val="-4"/>
        </w:rPr>
        <w:t> </w:t>
      </w:r>
      <w:r>
        <w:rPr>
          <w:color w:val="111111"/>
        </w:rPr>
        <w:t>size</w:t>
      </w:r>
      <w:r>
        <w:rPr>
          <w:color w:val="111111"/>
          <w:spacing w:val="-4"/>
        </w:rPr>
        <w:t> </w:t>
      </w:r>
      <w:r>
        <w:rPr>
          <w:color w:val="111111"/>
        </w:rPr>
        <w:t>justification</w:t>
      </w:r>
      <w:r>
        <w:rPr>
          <w:color w:val="111111"/>
          <w:spacing w:val="-4"/>
        </w:rPr>
        <w:t> </w:t>
      </w:r>
      <w:r>
        <w:rPr>
          <w:color w:val="111111"/>
        </w:rPr>
        <w:t>is</w:t>
      </w:r>
      <w:r>
        <w:rPr>
          <w:color w:val="111111"/>
          <w:spacing w:val="-4"/>
        </w:rPr>
        <w:t> </w:t>
      </w:r>
      <w:r>
        <w:rPr>
          <w:color w:val="111111"/>
        </w:rPr>
        <w:t>not</w:t>
      </w:r>
      <w:r>
        <w:rPr>
          <w:color w:val="111111"/>
          <w:spacing w:val="-4"/>
        </w:rPr>
        <w:t> </w:t>
      </w:r>
      <w:r>
        <w:rPr>
          <w:color w:val="111111"/>
        </w:rPr>
        <w:t>completed</w:t>
      </w:r>
      <w:r>
        <w:rPr>
          <w:color w:val="111111"/>
          <w:spacing w:val="-4"/>
        </w:rPr>
        <w:t> </w:t>
      </w:r>
      <w:r>
        <w:rPr>
          <w:color w:val="111111"/>
        </w:rPr>
        <w:t>yet.</w:t>
      </w:r>
      <w:r>
        <w:rPr>
          <w:color w:val="111111"/>
          <w:spacing w:val="-4"/>
        </w:rPr>
        <w:t> </w:t>
      </w:r>
      <w:r>
        <w:rPr>
          <w:color w:val="111111"/>
        </w:rPr>
        <w:t>Missing data handling will be described in the SAP if prepared.</w:t>
      </w:r>
    </w:p>
    <w:p>
      <w:pPr>
        <w:pStyle w:val="BodyText"/>
        <w:spacing w:before="91"/>
      </w:pPr>
    </w:p>
    <w:p>
      <w:pPr>
        <w:pStyle w:val="Heading1"/>
        <w:numPr>
          <w:ilvl w:val="0"/>
          <w:numId w:val="1"/>
        </w:numPr>
        <w:tabs>
          <w:tab w:pos="679" w:val="left" w:leader="none"/>
        </w:tabs>
        <w:spacing w:line="240" w:lineRule="auto" w:before="0" w:after="0"/>
        <w:ind w:left="679" w:right="0" w:hanging="600"/>
        <w:jc w:val="left"/>
      </w:pPr>
      <w:r>
        <w:rPr>
          <w:color w:val="111111"/>
        </w:rPr>
        <w:t>Ethics and Regulatory </w:t>
      </w:r>
      <w:r>
        <w:rPr>
          <w:color w:val="111111"/>
          <w:spacing w:val="-2"/>
        </w:rPr>
        <w:t>Considerations</w:t>
      </w:r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590549</wp:posOffset>
                </wp:positionH>
                <wp:positionV relativeFrom="paragraph">
                  <wp:posOffset>75639</wp:posOffset>
                </wp:positionV>
                <wp:extent cx="6391275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955852pt;width:503.24996pt;height:.75pt;mso-position-horizontal-relative:page;mso-position-vertical-relative:paragraph;z-index:-15723008;mso-wrap-distance-left:0;mso-wrap-distance-right:0" id="docshape16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8" w:lineRule="auto"/>
        <w:ind w:left="79" w:right="139"/>
      </w:pPr>
      <w:r>
        <w:rPr>
          <w:color w:val="111111"/>
        </w:rPr>
        <w:t>The</w:t>
      </w:r>
      <w:r>
        <w:rPr>
          <w:color w:val="111111"/>
          <w:spacing w:val="-3"/>
        </w:rPr>
        <w:t> </w:t>
      </w:r>
      <w:r>
        <w:rPr>
          <w:color w:val="111111"/>
        </w:rPr>
        <w:t>study</w:t>
      </w:r>
      <w:r>
        <w:rPr>
          <w:color w:val="111111"/>
          <w:spacing w:val="-3"/>
        </w:rPr>
        <w:t> </w:t>
      </w:r>
      <w:r>
        <w:rPr>
          <w:color w:val="111111"/>
        </w:rPr>
        <w:t>will</w:t>
      </w:r>
      <w:r>
        <w:rPr>
          <w:color w:val="111111"/>
          <w:spacing w:val="-3"/>
        </w:rPr>
        <w:t> </w:t>
      </w:r>
      <w:r>
        <w:rPr>
          <w:color w:val="111111"/>
        </w:rPr>
        <w:t>follow</w:t>
      </w:r>
      <w:r>
        <w:rPr>
          <w:color w:val="111111"/>
          <w:spacing w:val="-3"/>
        </w:rPr>
        <w:t> </w:t>
      </w:r>
      <w:r>
        <w:rPr>
          <w:color w:val="111111"/>
        </w:rPr>
        <w:t>GCP</w:t>
      </w:r>
      <w:r>
        <w:rPr>
          <w:color w:val="111111"/>
          <w:spacing w:val="-8"/>
        </w:rPr>
        <w:t> </w:t>
      </w:r>
      <w:r>
        <w:rPr>
          <w:color w:val="111111"/>
        </w:rPr>
        <w:t>and</w:t>
      </w:r>
      <w:r>
        <w:rPr>
          <w:color w:val="111111"/>
          <w:spacing w:val="-3"/>
        </w:rPr>
        <w:t> </w:t>
      </w:r>
      <w:r>
        <w:rPr>
          <w:color w:val="111111"/>
        </w:rPr>
        <w:t>ethics</w:t>
      </w:r>
      <w:r>
        <w:rPr>
          <w:color w:val="111111"/>
          <w:spacing w:val="-3"/>
        </w:rPr>
        <w:t> </w:t>
      </w:r>
      <w:r>
        <w:rPr>
          <w:color w:val="111111"/>
        </w:rPr>
        <w:t>requirements</w:t>
      </w:r>
      <w:r>
        <w:rPr>
          <w:color w:val="111111"/>
          <w:spacing w:val="-3"/>
        </w:rPr>
        <w:t> </w:t>
      </w:r>
      <w:r>
        <w:rPr>
          <w:color w:val="111111"/>
        </w:rPr>
        <w:t>where</w:t>
      </w:r>
      <w:r>
        <w:rPr>
          <w:color w:val="111111"/>
          <w:spacing w:val="-3"/>
        </w:rPr>
        <w:t> </w:t>
      </w:r>
      <w:r>
        <w:rPr>
          <w:color w:val="111111"/>
        </w:rPr>
        <w:t>applicable.</w:t>
      </w:r>
      <w:r>
        <w:rPr>
          <w:color w:val="111111"/>
          <w:spacing w:val="-3"/>
        </w:rPr>
        <w:t> </w:t>
      </w:r>
      <w:r>
        <w:rPr>
          <w:color w:val="111111"/>
        </w:rPr>
        <w:t>Consent</w:t>
      </w:r>
      <w:r>
        <w:rPr>
          <w:color w:val="111111"/>
          <w:spacing w:val="-3"/>
        </w:rPr>
        <w:t> </w:t>
      </w:r>
      <w:r>
        <w:rPr>
          <w:color w:val="111111"/>
        </w:rPr>
        <w:t>should</w:t>
      </w:r>
      <w:r>
        <w:rPr>
          <w:color w:val="111111"/>
          <w:spacing w:val="-3"/>
        </w:rPr>
        <w:t> </w:t>
      </w:r>
      <w:r>
        <w:rPr>
          <w:color w:val="111111"/>
        </w:rPr>
        <w:t>be obtained before most study procedures.</w:t>
      </w:r>
    </w:p>
    <w:p>
      <w:pPr>
        <w:pStyle w:val="BodyText"/>
        <w:spacing w:before="119"/>
      </w:pPr>
    </w:p>
    <w:p>
      <w:pPr>
        <w:pStyle w:val="Heading1"/>
        <w:numPr>
          <w:ilvl w:val="0"/>
          <w:numId w:val="1"/>
        </w:numPr>
        <w:tabs>
          <w:tab w:pos="659" w:val="left" w:leader="none"/>
        </w:tabs>
        <w:spacing w:line="240" w:lineRule="auto" w:before="0" w:after="0"/>
        <w:ind w:left="659" w:right="0" w:hanging="580"/>
        <w:jc w:val="left"/>
      </w:pPr>
      <w:r>
        <w:rPr>
          <w:color w:val="111111"/>
        </w:rPr>
        <w:t>Data Handling and </w:t>
      </w:r>
      <w:r>
        <w:rPr>
          <w:color w:val="111111"/>
          <w:spacing w:val="-2"/>
        </w:rPr>
        <w:t>Recordkeeping</w:t>
      </w:r>
    </w:p>
    <w:p>
      <w:pPr>
        <w:pStyle w:val="BodyText"/>
        <w:spacing w:before="1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590549</wp:posOffset>
                </wp:positionH>
                <wp:positionV relativeFrom="paragraph">
                  <wp:posOffset>65858</wp:posOffset>
                </wp:positionV>
                <wp:extent cx="6391275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185735pt;width:503.24996pt;height:.75pt;mso-position-horizontal-relative:page;mso-position-vertical-relative:paragraph;z-index:-15722496;mso-wrap-distance-left:0;mso-wrap-distance-right:0" id="docshape17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79"/>
      </w:pPr>
      <w:r>
        <w:rPr>
          <w:color w:val="111111"/>
        </w:rPr>
        <w:t>Data will be recorded and stored </w:t>
      </w:r>
      <w:r>
        <w:rPr>
          <w:color w:val="111111"/>
          <w:spacing w:val="-2"/>
        </w:rPr>
        <w:t>appropriately.</w:t>
      </w:r>
    </w:p>
    <w:p>
      <w:pPr>
        <w:pStyle w:val="BodyText"/>
        <w:spacing w:before="175"/>
      </w:pPr>
    </w:p>
    <w:p>
      <w:pPr>
        <w:pStyle w:val="Heading1"/>
        <w:numPr>
          <w:ilvl w:val="0"/>
          <w:numId w:val="1"/>
        </w:numPr>
        <w:tabs>
          <w:tab w:pos="665" w:val="left" w:leader="none"/>
        </w:tabs>
        <w:spacing w:line="240" w:lineRule="auto" w:before="0" w:after="0"/>
        <w:ind w:left="665" w:right="0" w:hanging="58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5600">
                <wp:simplePos x="0" y="0"/>
                <wp:positionH relativeFrom="page">
                  <wp:posOffset>590549</wp:posOffset>
                </wp:positionH>
                <wp:positionV relativeFrom="paragraph">
                  <wp:posOffset>576609</wp:posOffset>
                </wp:positionV>
                <wp:extent cx="6391275" cy="154305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391275" cy="1543050"/>
                          <a:chExt cx="6391275" cy="15430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704849"/>
                            <a:ext cx="639127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838200">
                                <a:moveTo>
                                  <a:pt x="6391274" y="838199"/>
                                </a:moveTo>
                                <a:lnTo>
                                  <a:pt x="0" y="838199"/>
                                </a:lnTo>
                                <a:lnTo>
                                  <a:pt x="0" y="0"/>
                                </a:lnTo>
                                <a:lnTo>
                                  <a:pt x="6391274" y="0"/>
                                </a:lnTo>
                                <a:lnTo>
                                  <a:pt x="6391274" y="838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704849"/>
                            <a:ext cx="381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38200">
                                <a:moveTo>
                                  <a:pt x="38099" y="838199"/>
                                </a:moveTo>
                                <a:lnTo>
                                  <a:pt x="0" y="8381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38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28587" y="0"/>
                            <a:ext cx="476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0">
                                <a:moveTo>
                                  <a:pt x="47625" y="449287"/>
                                </a:moveTo>
                                <a:lnTo>
                                  <a:pt x="26974" y="428625"/>
                                </a:lnTo>
                                <a:lnTo>
                                  <a:pt x="20662" y="428625"/>
                                </a:lnTo>
                                <a:lnTo>
                                  <a:pt x="0" y="449287"/>
                                </a:lnTo>
                                <a:lnTo>
                                  <a:pt x="0" y="455599"/>
                                </a:lnTo>
                                <a:lnTo>
                                  <a:pt x="20662" y="476250"/>
                                </a:lnTo>
                                <a:lnTo>
                                  <a:pt x="26974" y="476250"/>
                                </a:lnTo>
                                <a:lnTo>
                                  <a:pt x="47625" y="455599"/>
                                </a:lnTo>
                                <a:lnTo>
                                  <a:pt x="47625" y="452437"/>
                                </a:lnTo>
                                <a:lnTo>
                                  <a:pt x="47625" y="449287"/>
                                </a:lnTo>
                                <a:close/>
                              </a:path>
                              <a:path w="47625" h="476250">
                                <a:moveTo>
                                  <a:pt x="47625" y="239737"/>
                                </a:moveTo>
                                <a:lnTo>
                                  <a:pt x="26974" y="219075"/>
                                </a:lnTo>
                                <a:lnTo>
                                  <a:pt x="20662" y="219075"/>
                                </a:lnTo>
                                <a:lnTo>
                                  <a:pt x="0" y="239737"/>
                                </a:lnTo>
                                <a:lnTo>
                                  <a:pt x="0" y="246049"/>
                                </a:lnTo>
                                <a:lnTo>
                                  <a:pt x="20662" y="266700"/>
                                </a:lnTo>
                                <a:lnTo>
                                  <a:pt x="26974" y="266700"/>
                                </a:lnTo>
                                <a:lnTo>
                                  <a:pt x="47625" y="246049"/>
                                </a:lnTo>
                                <a:lnTo>
                                  <a:pt x="47625" y="242887"/>
                                </a:lnTo>
                                <a:lnTo>
                                  <a:pt x="47625" y="239737"/>
                                </a:lnTo>
                                <a:close/>
                              </a:path>
                              <a:path w="47625" h="476250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8099" y="704849"/>
                            <a:ext cx="6353175" cy="838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auto" w:before="165"/>
                                <w:ind w:left="150" w:right="644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111"/>
                                  <w:sz w:val="24"/>
                                </w:rPr>
                                <w:t>This document is intentionally invalid for negative testing. It retains the medicine name CLN-201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includes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ambiguity,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inconsistent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metadata,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incomplete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ICH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M11</w:t>
                              </w:r>
                              <w:r>
                                <w:rPr>
                                  <w:color w:val="111111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structure, unresolved design details, and missing operational/statistical content.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499996pt;margin-top:45.402336pt;width:503.25pt;height:121.5pt;mso-position-horizontal-relative:page;mso-position-vertical-relative:paragraph;z-index:-15930880" id="docshapegroup18" coordorigin="930,908" coordsize="10065,2430">
                <v:rect style="position:absolute;left:930;top:2018;width:10065;height:1320" id="docshape19" filled="true" fillcolor="#f5f5f5" stroked="false">
                  <v:fill type="solid"/>
                </v:rect>
                <v:rect style="position:absolute;left:930;top:2018;width:60;height:1320" id="docshape20" filled="true" fillcolor="#999999" stroked="false">
                  <v:fill type="solid"/>
                </v:rect>
                <v:shape style="position:absolute;left:1289;top:908;width:75;height:750" id="docshape21" coordorigin="1290,908" coordsize="75,750" path="m1365,1616l1364,1611,1360,1602,1358,1598,1351,1591,1346,1588,1337,1584,1332,1583,1323,1583,1318,1584,1309,1588,1304,1591,1297,1598,1295,1602,1291,1611,1290,1616,1290,1626,1291,1630,1295,1639,1297,1644,1304,1651,1309,1653,1318,1657,1323,1658,1332,1658,1337,1657,1346,1653,1351,1651,1358,1644,1360,1639,1364,1630,1365,1626,1365,1621,1365,1616xm1365,1286l1364,1281,1360,1272,1358,1268,1351,1261,1346,1258,1337,1254,1332,1253,1323,1253,1318,1254,1309,1258,1304,1261,1297,1268,1295,1272,1291,1281,1290,1286,1290,1296,1291,1300,1295,1309,1297,1314,1304,1321,1309,1323,1318,1327,1323,1328,1332,1328,1337,1327,1346,1323,1351,1321,1358,1314,1360,1309,1364,1300,1365,1296,1365,1291,1365,1286xm1365,941l1364,936,1360,927,1358,923,1351,916,1346,913,1337,909,1332,908,1323,908,1318,909,1309,913,1304,916,1297,923,1295,927,1291,936,1290,941,1290,951,1291,955,1295,964,1297,969,1304,976,1309,978,1318,982,1323,983,1332,983,1337,982,1346,978,1351,976,1358,969,1360,964,1364,955,1365,951,1365,946,1365,941xe" filled="true" fillcolor="#111111" stroked="false">
                  <v:path arrowok="t"/>
                  <v:fill type="solid"/>
                </v:shape>
                <v:shape style="position:absolute;left:990;top:2018;width:10005;height:1320" type="#_x0000_t202" id="docshape22" filled="false" stroked="false">
                  <v:textbox inset="0,0,0,0">
                    <w:txbxContent>
                      <w:p>
                        <w:pPr>
                          <w:spacing w:line="292" w:lineRule="auto" w:before="165"/>
                          <w:ind w:left="150" w:right="644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111"/>
                            <w:sz w:val="24"/>
                          </w:rPr>
                          <w:t>This document is intentionally invalid for negative testing. It retains the medicine name CLN-201</w:t>
                        </w:r>
                        <w:r>
                          <w:rPr>
                            <w:color w:val="111111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but</w:t>
                        </w:r>
                        <w:r>
                          <w:rPr>
                            <w:color w:val="111111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includes</w:t>
                        </w:r>
                        <w:r>
                          <w:rPr>
                            <w:color w:val="111111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ambiguity,</w:t>
                        </w:r>
                        <w:r>
                          <w:rPr>
                            <w:color w:val="111111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inconsistent</w:t>
                        </w:r>
                        <w:r>
                          <w:rPr>
                            <w:color w:val="111111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metadata,</w:t>
                        </w:r>
                        <w:r>
                          <w:rPr>
                            <w:color w:val="111111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incomplete</w:t>
                        </w:r>
                        <w:r>
                          <w:rPr>
                            <w:color w:val="111111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ICH</w:t>
                        </w:r>
                        <w:r>
                          <w:rPr>
                            <w:color w:val="111111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M11</w:t>
                        </w:r>
                        <w:r>
                          <w:rPr>
                            <w:color w:val="111111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structure, unresolved design details, and missing operational/statistical content.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  <w:spacing w:val="-2"/>
        </w:rPr>
        <w:t>Appendices</w:t>
      </w:r>
    </w:p>
    <w:p>
      <w:pPr>
        <w:pStyle w:val="BodyText"/>
        <w:spacing w:before="11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590549</wp:posOffset>
                </wp:positionH>
                <wp:positionV relativeFrom="paragraph">
                  <wp:posOffset>66092</wp:posOffset>
                </wp:positionV>
                <wp:extent cx="6391275" cy="952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204096pt;width:503.24996pt;height:.75pt;mso-position-horizontal-relative:page;mso-position-vertical-relative:paragraph;z-index:-15721984;mso-wrap-distance-left:0;mso-wrap-distance-right:0" id="docshape23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2" w:lineRule="auto"/>
        <w:ind w:left="679" w:right="5834"/>
      </w:pPr>
      <w:r>
        <w:rPr>
          <w:color w:val="111111"/>
        </w:rPr>
        <w:t>Schedule of activities (draft)</w:t>
      </w:r>
      <w:r>
        <w:rPr>
          <w:color w:val="111111"/>
          <w:spacing w:val="40"/>
        </w:rPr>
        <w:t> </w:t>
      </w:r>
      <w:r>
        <w:rPr>
          <w:color w:val="111111"/>
        </w:rPr>
        <w:t>Safety guidance (not attached) Pregnancy</w:t>
      </w:r>
      <w:r>
        <w:rPr>
          <w:color w:val="111111"/>
          <w:spacing w:val="-9"/>
        </w:rPr>
        <w:t> </w:t>
      </w:r>
      <w:r>
        <w:rPr>
          <w:color w:val="111111"/>
        </w:rPr>
        <w:t>guidance</w:t>
      </w:r>
      <w:r>
        <w:rPr>
          <w:color w:val="111111"/>
          <w:spacing w:val="-9"/>
        </w:rPr>
        <w:t> </w:t>
      </w:r>
      <w:r>
        <w:rPr>
          <w:color w:val="111111"/>
        </w:rPr>
        <w:t>(to</w:t>
      </w:r>
      <w:r>
        <w:rPr>
          <w:color w:val="111111"/>
          <w:spacing w:val="-9"/>
        </w:rPr>
        <w:t> </w:t>
      </w:r>
      <w:r>
        <w:rPr>
          <w:color w:val="111111"/>
        </w:rPr>
        <w:t>be</w:t>
      </w:r>
      <w:r>
        <w:rPr>
          <w:color w:val="111111"/>
          <w:spacing w:val="-9"/>
        </w:rPr>
        <w:t> </w:t>
      </w:r>
      <w:r>
        <w:rPr>
          <w:color w:val="111111"/>
        </w:rPr>
        <w:t>added)</w:t>
      </w:r>
    </w:p>
    <w:sectPr>
      <w:pgSz w:w="11900" w:h="16840"/>
      <w:pgMar w:header="284" w:footer="268" w:top="500" w:bottom="46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945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522979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52297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file:///C:/Users/dmukopad/Downloads/negative_protocol_ich_m11_invalid.html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7.4pt;height:10.95pt;mso-position-horizontal-relative:page;mso-position-vertical-relative:page;z-index:-15937024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file:///C:/Users/dmukopad/Downloads/negative_protocol_ich_m11_invalid.html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9968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936512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3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843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5/16/26,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2:31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2.45pt;height:10.95pt;mso-position-horizontal-relative:page;mso-position-vertical-relative:page;z-index:-1593804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5/16/26,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2:31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8944">
              <wp:simplePos x="0" y="0"/>
              <wp:positionH relativeFrom="page">
                <wp:posOffset>3728839</wp:posOffset>
              </wp:positionH>
              <wp:positionV relativeFrom="page">
                <wp:posOffset>181131</wp:posOffset>
              </wp:positionV>
              <wp:extent cx="125031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50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Clinical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Protocol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CLN-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201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609375pt;margin-top:14.262341pt;width:98.45pt;height:10.95pt;mso-position-horizontal-relative:page;mso-position-vertical-relative:page;z-index:-1593753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Clinical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Protocol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CLN-</w:t>
                    </w:r>
                    <w:r>
                      <w:rPr>
                        <w:spacing w:val="-5"/>
                        <w:sz w:val="16"/>
                      </w:rPr>
                      <w:t>201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80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111111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8" w:hanging="469"/>
        <w:jc w:val="left"/>
      </w:pPr>
      <w:rPr>
        <w:rFonts w:hint="default" w:ascii="Arial" w:hAnsi="Arial" w:eastAsia="Arial" w:cs="Arial"/>
        <w:b/>
        <w:bCs/>
        <w:i w:val="0"/>
        <w:iCs w:val="0"/>
        <w:color w:val="111111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3" w:hanging="4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6" w:hanging="4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9" w:hanging="4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2" w:hanging="4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6" w:hanging="4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9" w:hanging="4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2" w:hanging="46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5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79" w:hanging="40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6" w:hanging="467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9" w:hanging="40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Protocol - CLN-201</dc:title>
  <dcterms:created xsi:type="dcterms:W3CDTF">2026-05-16T07:44:41Z</dcterms:created>
  <dcterms:modified xsi:type="dcterms:W3CDTF">2026-05-16T07:44:41Z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Creator">
    <vt:lpwstr>Mozilla/5.0 (Windows NT 10.0; Win64; x64) AppleWebKit/537.36 (KHTML, like Gecko) Chrome/148.0.0.0 Safari/537.36</vt:lpwstr>
  </property>
  <property fmtid="{D5CDD505-2E9C-101B-9397-08002B2CF9AE}" pid="4" name="LastSaved">
    <vt:filetime>2026-05-16T00:00:00Z</vt:filetime>
  </property>
  <property fmtid="{D5CDD505-2E9C-101B-9397-08002B2CF9AE}" pid="5" name="Producer">
    <vt:lpwstr>Skia/PDF m148</vt:lpwstr>
  </property>
</Properties>
</file>