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11111"/>
        </w:rPr>
        <w:t>CLINICAL</w:t>
      </w:r>
      <w:r>
        <w:rPr>
          <w:color w:val="111111"/>
          <w:spacing w:val="-25"/>
        </w:rPr>
        <w:t> </w:t>
      </w:r>
      <w:r>
        <w:rPr>
          <w:color w:val="111111"/>
        </w:rPr>
        <w:t>STUDY</w:t>
      </w:r>
      <w:r>
        <w:rPr>
          <w:color w:val="111111"/>
          <w:spacing w:val="-15"/>
        </w:rPr>
        <w:t> </w:t>
      </w:r>
      <w:r>
        <w:rPr>
          <w:color w:val="111111"/>
          <w:spacing w:val="-2"/>
        </w:rPr>
        <w:t>PROTOCOL</w:t>
      </w:r>
    </w:p>
    <w:p>
      <w:pPr>
        <w:pStyle w:val="BodyText"/>
        <w:tabs>
          <w:tab w:pos="1953" w:val="left" w:leader="none"/>
        </w:tabs>
        <w:spacing w:line="300" w:lineRule="auto" w:before="439"/>
        <w:ind w:left="1953" w:right="329" w:hanging="1857"/>
      </w:pPr>
      <w:r>
        <w:rPr>
          <w:b/>
          <w:color w:val="111111"/>
        </w:rPr>
        <w:t>Protocol Title:</w:t>
        <w:tab/>
      </w:r>
      <w:r>
        <w:rPr>
          <w:color w:val="111111"/>
        </w:rPr>
        <w:t>A Phase II, Randomized, Double-Blind, Placebo-Controlled, Multicenter Study</w:t>
      </w:r>
      <w:r>
        <w:rPr>
          <w:color w:val="111111"/>
          <w:spacing w:val="-14"/>
        </w:rPr>
        <w:t> </w:t>
      </w:r>
      <w:r>
        <w:rPr>
          <w:color w:val="111111"/>
        </w:rPr>
        <w:t>to</w:t>
      </w:r>
      <w:r>
        <w:rPr>
          <w:color w:val="111111"/>
          <w:spacing w:val="-8"/>
        </w:rPr>
        <w:t> </w:t>
      </w:r>
      <w:r>
        <w:rPr>
          <w:color w:val="111111"/>
        </w:rPr>
        <w:t>Evaluate</w:t>
      </w:r>
      <w:r>
        <w:rPr>
          <w:color w:val="111111"/>
          <w:spacing w:val="-9"/>
        </w:rPr>
        <w:t> </w:t>
      </w:r>
      <w:r>
        <w:rPr>
          <w:color w:val="111111"/>
        </w:rPr>
        <w:t>the</w:t>
      </w:r>
      <w:r>
        <w:rPr>
          <w:color w:val="111111"/>
          <w:spacing w:val="-9"/>
        </w:rPr>
        <w:t> </w:t>
      </w:r>
      <w:r>
        <w:rPr>
          <w:color w:val="111111"/>
        </w:rPr>
        <w:t>Efficacy,</w:t>
      </w:r>
      <w:r>
        <w:rPr>
          <w:color w:val="111111"/>
          <w:spacing w:val="-9"/>
        </w:rPr>
        <w:t> </w:t>
      </w:r>
      <w:r>
        <w:rPr>
          <w:color w:val="111111"/>
        </w:rPr>
        <w:t>Safety,</w:t>
      </w:r>
      <w:r>
        <w:rPr>
          <w:color w:val="111111"/>
          <w:spacing w:val="-9"/>
        </w:rPr>
        <w:t> </w:t>
      </w:r>
      <w:r>
        <w:rPr>
          <w:color w:val="111111"/>
        </w:rPr>
        <w:t>and</w:t>
      </w:r>
      <w:r>
        <w:rPr>
          <w:color w:val="111111"/>
          <w:spacing w:val="-13"/>
        </w:rPr>
        <w:t> </w:t>
      </w:r>
      <w:r>
        <w:rPr>
          <w:color w:val="111111"/>
        </w:rPr>
        <w:t>Tolerability</w:t>
      </w:r>
      <w:r>
        <w:rPr>
          <w:color w:val="111111"/>
          <w:spacing w:val="-9"/>
        </w:rPr>
        <w:t> </w:t>
      </w:r>
      <w:r>
        <w:rPr>
          <w:color w:val="111111"/>
        </w:rPr>
        <w:t>of</w:t>
      </w:r>
      <w:r>
        <w:rPr>
          <w:color w:val="111111"/>
          <w:spacing w:val="-9"/>
        </w:rPr>
        <w:t> </w:t>
      </w:r>
      <w:r>
        <w:rPr>
          <w:color w:val="111111"/>
        </w:rPr>
        <w:t>CLN-201</w:t>
      </w:r>
      <w:r>
        <w:rPr>
          <w:color w:val="111111"/>
          <w:spacing w:val="-9"/>
        </w:rPr>
        <w:t> </w:t>
      </w:r>
      <w:r>
        <w:rPr>
          <w:color w:val="111111"/>
        </w:rPr>
        <w:t>in</w:t>
      </w:r>
      <w:r>
        <w:rPr>
          <w:color w:val="111111"/>
          <w:spacing w:val="-15"/>
        </w:rPr>
        <w:t> </w:t>
      </w:r>
      <w:r>
        <w:rPr>
          <w:color w:val="111111"/>
        </w:rPr>
        <w:t>Adult Participants With Moderate Inflammatory Disease</w:t>
      </w:r>
    </w:p>
    <w:p>
      <w:pPr>
        <w:spacing w:before="120"/>
        <w:ind w:left="96" w:right="0" w:firstLine="0"/>
        <w:jc w:val="left"/>
        <w:rPr>
          <w:sz w:val="24"/>
        </w:rPr>
      </w:pPr>
      <w:r>
        <w:rPr>
          <w:b/>
          <w:color w:val="111111"/>
          <w:sz w:val="24"/>
        </w:rPr>
        <w:t>Protocol</w:t>
      </w:r>
      <w:r>
        <w:rPr>
          <w:b/>
          <w:color w:val="111111"/>
          <w:spacing w:val="-4"/>
          <w:sz w:val="24"/>
        </w:rPr>
        <w:t> </w:t>
      </w:r>
      <w:r>
        <w:rPr>
          <w:b/>
          <w:color w:val="111111"/>
          <w:sz w:val="24"/>
        </w:rPr>
        <w:t>Number:</w:t>
      </w:r>
      <w:r>
        <w:rPr>
          <w:color w:val="111111"/>
          <w:sz w:val="24"/>
        </w:rPr>
        <w:t>CLN-201-2026-</w:t>
      </w:r>
      <w:r>
        <w:rPr>
          <w:color w:val="111111"/>
          <w:spacing w:val="-5"/>
          <w:sz w:val="24"/>
        </w:rPr>
        <w:t>01</w:t>
      </w:r>
    </w:p>
    <w:p>
      <w:pPr>
        <w:spacing w:after="0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1160" w:bottom="460" w:left="1133" w:right="1133"/>
          <w:pgNumType w:start="1"/>
        </w:sectPr>
      </w:pPr>
    </w:p>
    <w:p>
      <w:pPr>
        <w:pStyle w:val="Heading3"/>
        <w:spacing w:line="312" w:lineRule="auto"/>
      </w:pPr>
      <w:r>
        <w:rPr>
          <w:color w:val="111111"/>
          <w:spacing w:val="-2"/>
        </w:rPr>
        <w:t>Investigational Product:</w:t>
      </w:r>
    </w:p>
    <w:p>
      <w:pPr>
        <w:pStyle w:val="BodyText"/>
        <w:spacing w:before="189"/>
        <w:ind w:left="96"/>
      </w:pPr>
      <w:r>
        <w:rPr/>
        <w:br w:type="column"/>
      </w:r>
      <w:r>
        <w:rPr>
          <w:color w:val="111111"/>
        </w:rPr>
        <w:t>CLN-</w:t>
      </w:r>
      <w:r>
        <w:rPr>
          <w:color w:val="111111"/>
          <w:spacing w:val="-5"/>
        </w:rPr>
        <w:t>201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1160" w:bottom="460" w:left="1133" w:right="1133"/>
          <w:cols w:num="2" w:equalWidth="0">
            <w:col w:w="1658" w:space="199"/>
            <w:col w:w="7777"/>
          </w:cols>
        </w:sectPr>
      </w:pPr>
    </w:p>
    <w:p>
      <w:pPr>
        <w:tabs>
          <w:tab w:pos="1953" w:val="left" w:leader="none"/>
        </w:tabs>
        <w:spacing w:before="108"/>
        <w:ind w:left="96" w:right="0" w:firstLine="0"/>
        <w:jc w:val="left"/>
        <w:rPr>
          <w:sz w:val="24"/>
        </w:rPr>
      </w:pPr>
      <w:r>
        <w:rPr>
          <w:b/>
          <w:color w:val="111111"/>
          <w:spacing w:val="-2"/>
          <w:sz w:val="24"/>
        </w:rPr>
        <w:t>Sponsor:</w:t>
      </w:r>
      <w:r>
        <w:rPr>
          <w:b/>
          <w:color w:val="111111"/>
          <w:sz w:val="24"/>
        </w:rPr>
        <w:tab/>
      </w:r>
      <w:r>
        <w:rPr>
          <w:color w:val="111111"/>
          <w:sz w:val="24"/>
        </w:rPr>
        <w:t>NovaCura </w:t>
      </w:r>
      <w:r>
        <w:rPr>
          <w:color w:val="111111"/>
          <w:spacing w:val="-2"/>
          <w:sz w:val="24"/>
        </w:rPr>
        <w:t>Biotech</w:t>
      </w:r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header="284" w:footer="268" w:top="1160" w:bottom="460" w:left="1133" w:right="1133"/>
        </w:sectPr>
      </w:pPr>
    </w:p>
    <w:p>
      <w:pPr>
        <w:pStyle w:val="Heading3"/>
        <w:spacing w:line="300" w:lineRule="auto"/>
      </w:pPr>
      <w:r>
        <w:rPr>
          <w:color w:val="111111"/>
          <w:spacing w:val="-2"/>
        </w:rPr>
        <w:t>Development Phase:</w:t>
      </w:r>
    </w:p>
    <w:p>
      <w:pPr>
        <w:pStyle w:val="BodyText"/>
        <w:spacing w:before="189"/>
        <w:ind w:left="96"/>
      </w:pPr>
      <w:r>
        <w:rPr/>
        <w:br w:type="column"/>
      </w:r>
      <w:r>
        <w:rPr>
          <w:color w:val="111111"/>
        </w:rPr>
        <w:t>Phase </w:t>
      </w:r>
      <w:r>
        <w:rPr>
          <w:color w:val="111111"/>
          <w:spacing w:val="-5"/>
        </w:rPr>
        <w:t>II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1160" w:bottom="460" w:left="1133" w:right="1133"/>
          <w:cols w:num="2" w:equalWidth="0">
            <w:col w:w="1484" w:space="373"/>
            <w:col w:w="7777"/>
          </w:cols>
        </w:sectPr>
      </w:pPr>
    </w:p>
    <w:p>
      <w:pPr>
        <w:tabs>
          <w:tab w:pos="1953" w:val="left" w:leader="none"/>
        </w:tabs>
        <w:spacing w:before="120"/>
        <w:ind w:left="96" w:right="0" w:firstLine="0"/>
        <w:jc w:val="left"/>
        <w:rPr>
          <w:sz w:val="24"/>
        </w:rPr>
      </w:pPr>
      <w:r>
        <w:rPr>
          <w:b/>
          <w:color w:val="111111"/>
          <w:spacing w:val="-2"/>
          <w:sz w:val="24"/>
        </w:rPr>
        <w:t>Version:</w:t>
      </w:r>
      <w:r>
        <w:rPr>
          <w:color w:val="111111"/>
          <w:sz w:val="24"/>
        </w:rPr>
        <w:tab/>
      </w:r>
      <w:r>
        <w:rPr>
          <w:color w:val="111111"/>
          <w:spacing w:val="-5"/>
          <w:sz w:val="24"/>
        </w:rPr>
        <w:t>1.0</w:t>
      </w:r>
    </w:p>
    <w:p>
      <w:pPr>
        <w:tabs>
          <w:tab w:pos="3073" w:val="right" w:leader="none"/>
        </w:tabs>
        <w:spacing w:before="204"/>
        <w:ind w:left="96" w:right="0" w:firstLine="0"/>
        <w:jc w:val="left"/>
        <w:rPr>
          <w:sz w:val="24"/>
        </w:rPr>
      </w:pPr>
      <w:r>
        <w:rPr>
          <w:b/>
          <w:color w:val="111111"/>
          <w:spacing w:val="-2"/>
          <w:sz w:val="24"/>
        </w:rPr>
        <w:t>Date:</w:t>
      </w:r>
      <w:r>
        <w:rPr>
          <w:color w:val="111111"/>
          <w:sz w:val="24"/>
        </w:rPr>
        <w:tab/>
      </w:r>
      <w:r>
        <w:rPr>
          <w:color w:val="111111"/>
          <w:spacing w:val="-2"/>
          <w:sz w:val="24"/>
        </w:rPr>
        <w:t>2026-</w:t>
      </w:r>
      <w:r>
        <w:rPr>
          <w:color w:val="111111"/>
          <w:sz w:val="24"/>
        </w:rPr>
        <w:t>05-16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785812</wp:posOffset>
                </wp:positionH>
                <wp:positionV relativeFrom="paragraph">
                  <wp:posOffset>200614</wp:posOffset>
                </wp:positionV>
                <wp:extent cx="6000750" cy="60007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000750" cy="6000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77777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7" w:lineRule="auto" w:before="203"/>
                              <w:ind w:left="209" w:right="835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11111"/>
                                <w:sz w:val="20"/>
                              </w:rPr>
                              <w:t>Confidentiality</w:t>
                            </w:r>
                            <w:r>
                              <w:rPr>
                                <w:b/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11111"/>
                                <w:sz w:val="20"/>
                              </w:rPr>
                              <w:t>Statement:</w:t>
                            </w:r>
                            <w:r>
                              <w:rPr>
                                <w:b/>
                                <w:color w:val="111111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protocol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contains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confidential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NovaCura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Biotech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111111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111111"/>
                                <w:sz w:val="20"/>
                              </w:rPr>
                              <w:t>is intended for investigators, ethics committees, and regulatory authorities as applicable.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874996pt;margin-top:15.796449pt;width:472.5pt;height:47.25pt;mso-position-horizontal-relative:page;mso-position-vertical-relative:paragraph;z-index:-15728640;mso-wrap-distance-left:0;mso-wrap-distance-right:0" type="#_x0000_t202" id="docshape5" filled="false" stroked="true" strokeweight=".75pt" strokecolor="#777777">
                <v:textbox inset="0,0,0,0">
                  <w:txbxContent>
                    <w:p>
                      <w:pPr>
                        <w:spacing w:line="297" w:lineRule="auto" w:before="203"/>
                        <w:ind w:left="209" w:right="835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b/>
                          <w:color w:val="111111"/>
                          <w:sz w:val="20"/>
                        </w:rPr>
                        <w:t>Confidentiality</w:t>
                      </w:r>
                      <w:r>
                        <w:rPr>
                          <w:b/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11111"/>
                          <w:sz w:val="20"/>
                        </w:rPr>
                        <w:t>Statement:</w:t>
                      </w:r>
                      <w:r>
                        <w:rPr>
                          <w:b/>
                          <w:color w:val="111111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This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protocol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contains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confidential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information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of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NovaCura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Biotech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and</w:t>
                      </w:r>
                      <w:r>
                        <w:rPr>
                          <w:color w:val="111111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color w:val="111111"/>
                          <w:sz w:val="20"/>
                        </w:rPr>
                        <w:t>is intended for investigators, ethics committees, and regulatory authorities as applicable.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7"/>
        <w:rPr>
          <w:sz w:val="30"/>
        </w:rPr>
      </w:pPr>
    </w:p>
    <w:p>
      <w:pPr>
        <w:pStyle w:val="Heading1"/>
        <w:ind w:left="96" w:firstLine="0"/>
      </w:pPr>
      <w:r>
        <w:rPr>
          <w:color w:val="111111"/>
        </w:rPr>
        <w:t>Table</w:t>
      </w:r>
      <w:r>
        <w:rPr>
          <w:color w:val="111111"/>
          <w:spacing w:val="-14"/>
        </w:rPr>
        <w:t> </w:t>
      </w:r>
      <w:r>
        <w:rPr>
          <w:color w:val="111111"/>
        </w:rPr>
        <w:t>of</w:t>
      </w:r>
      <w:r>
        <w:rPr>
          <w:color w:val="111111"/>
          <w:spacing w:val="-14"/>
        </w:rPr>
        <w:t> </w:t>
      </w:r>
      <w:r>
        <w:rPr>
          <w:color w:val="111111"/>
          <w:spacing w:val="-2"/>
        </w:rPr>
        <w:t>Contents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781050</wp:posOffset>
                </wp:positionH>
                <wp:positionV relativeFrom="paragraph">
                  <wp:posOffset>73379</wp:posOffset>
                </wp:positionV>
                <wp:extent cx="600583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77906pt;width:472.886678pt;height:.75pt;mso-position-horizontal-relative:page;mso-position-vertical-relative:paragraph;z-index:-15728128;mso-wrap-distance-left:0;mso-wrap-distance-right:0" id="docshape6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181" w:after="0"/>
        <w:ind w:left="996" w:right="0" w:hanging="240"/>
        <w:jc w:val="left"/>
        <w:rPr>
          <w:sz w:val="24"/>
        </w:rPr>
      </w:pPr>
      <w:r>
        <w:rPr>
          <w:color w:val="111111"/>
          <w:sz w:val="24"/>
        </w:rPr>
        <w:t>Protocol </w:t>
      </w:r>
      <w:r>
        <w:rPr>
          <w:color w:val="111111"/>
          <w:spacing w:val="-2"/>
          <w:sz w:val="24"/>
        </w:rPr>
        <w:t>Summary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84" w:after="0"/>
        <w:ind w:left="996" w:right="0" w:hanging="240"/>
        <w:jc w:val="left"/>
        <w:rPr>
          <w:sz w:val="24"/>
        </w:rPr>
      </w:pPr>
      <w:r>
        <w:rPr>
          <w:color w:val="111111"/>
          <w:spacing w:val="-2"/>
          <w:sz w:val="24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240"/>
        <w:jc w:val="left"/>
        <w:rPr>
          <w:sz w:val="24"/>
        </w:rPr>
      </w:pPr>
      <w:r>
        <w:rPr>
          <w:color w:val="111111"/>
          <w:sz w:val="24"/>
        </w:rPr>
        <w:t>Objectives and </w:t>
      </w:r>
      <w:r>
        <w:rPr>
          <w:color w:val="111111"/>
          <w:spacing w:val="-2"/>
          <w:sz w:val="24"/>
        </w:rPr>
        <w:t>Endpoints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240"/>
        <w:jc w:val="left"/>
        <w:rPr>
          <w:sz w:val="24"/>
        </w:rPr>
      </w:pPr>
      <w:r>
        <w:rPr>
          <w:color w:val="111111"/>
          <w:sz w:val="24"/>
        </w:rPr>
        <w:t>Study </w:t>
      </w:r>
      <w:r>
        <w:rPr>
          <w:color w:val="111111"/>
          <w:spacing w:val="-2"/>
          <w:sz w:val="24"/>
        </w:rPr>
        <w:t>Design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240"/>
        <w:jc w:val="left"/>
        <w:rPr>
          <w:sz w:val="24"/>
        </w:rPr>
      </w:pPr>
      <w:r>
        <w:rPr>
          <w:color w:val="111111"/>
          <w:sz w:val="24"/>
        </w:rPr>
        <w:t>Study </w:t>
      </w:r>
      <w:r>
        <w:rPr>
          <w:color w:val="111111"/>
          <w:spacing w:val="-2"/>
          <w:sz w:val="24"/>
        </w:rPr>
        <w:t>Population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240"/>
        <w:jc w:val="left"/>
        <w:rPr>
          <w:sz w:val="24"/>
        </w:rPr>
      </w:pPr>
      <w:r>
        <w:rPr>
          <w:color w:val="111111"/>
          <w:sz w:val="24"/>
        </w:rPr>
        <w:t>Treatment</w:t>
      </w:r>
      <w:r>
        <w:rPr>
          <w:color w:val="111111"/>
          <w:spacing w:val="-7"/>
          <w:sz w:val="24"/>
        </w:rPr>
        <w:t> </w:t>
      </w:r>
      <w:r>
        <w:rPr>
          <w:color w:val="111111"/>
          <w:sz w:val="24"/>
        </w:rPr>
        <w:t>of</w:t>
      </w:r>
      <w:r>
        <w:rPr>
          <w:color w:val="111111"/>
          <w:spacing w:val="-4"/>
          <w:sz w:val="24"/>
        </w:rPr>
        <w:t> </w:t>
      </w:r>
      <w:r>
        <w:rPr>
          <w:color w:val="111111"/>
          <w:spacing w:val="-2"/>
          <w:sz w:val="24"/>
        </w:rPr>
        <w:t>Participants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240"/>
        <w:jc w:val="left"/>
        <w:rPr>
          <w:sz w:val="24"/>
        </w:rPr>
      </w:pPr>
      <w:r>
        <w:rPr>
          <w:color w:val="111111"/>
          <w:sz w:val="24"/>
        </w:rPr>
        <w:t>Study</w:t>
      </w:r>
      <w:r>
        <w:rPr>
          <w:color w:val="111111"/>
          <w:spacing w:val="-14"/>
          <w:sz w:val="24"/>
        </w:rPr>
        <w:t> </w:t>
      </w:r>
      <w:r>
        <w:rPr>
          <w:color w:val="111111"/>
          <w:sz w:val="24"/>
        </w:rPr>
        <w:t>Assessments and </w:t>
      </w:r>
      <w:r>
        <w:rPr>
          <w:color w:val="111111"/>
          <w:spacing w:val="-2"/>
          <w:sz w:val="24"/>
        </w:rPr>
        <w:t>Procedures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84" w:after="0"/>
        <w:ind w:left="996" w:right="0" w:hanging="240"/>
        <w:jc w:val="left"/>
        <w:rPr>
          <w:sz w:val="24"/>
        </w:rPr>
      </w:pPr>
      <w:r>
        <w:rPr>
          <w:color w:val="111111"/>
          <w:sz w:val="24"/>
        </w:rPr>
        <w:t>Adverse Event </w:t>
      </w:r>
      <w:r>
        <w:rPr>
          <w:color w:val="111111"/>
          <w:spacing w:val="-2"/>
          <w:sz w:val="24"/>
        </w:rPr>
        <w:t>Reporting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240"/>
        <w:jc w:val="left"/>
        <w:rPr>
          <w:sz w:val="24"/>
        </w:rPr>
      </w:pPr>
      <w:r>
        <w:rPr>
          <w:color w:val="111111"/>
          <w:spacing w:val="-2"/>
          <w:sz w:val="24"/>
        </w:rPr>
        <w:t>Statistics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360"/>
        <w:jc w:val="left"/>
        <w:rPr>
          <w:sz w:val="24"/>
        </w:rPr>
      </w:pPr>
      <w:r>
        <w:rPr>
          <w:color w:val="111111"/>
          <w:sz w:val="24"/>
        </w:rPr>
        <w:t>Ethics and Regulatory </w:t>
      </w:r>
      <w:r>
        <w:rPr>
          <w:color w:val="111111"/>
          <w:spacing w:val="-2"/>
          <w:sz w:val="24"/>
        </w:rPr>
        <w:t>Considerations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351"/>
        <w:jc w:val="left"/>
        <w:rPr>
          <w:sz w:val="24"/>
        </w:rPr>
      </w:pPr>
      <w:r>
        <w:rPr>
          <w:color w:val="111111"/>
          <w:sz w:val="24"/>
        </w:rPr>
        <w:t>Data Handling and </w:t>
      </w:r>
      <w:r>
        <w:rPr>
          <w:color w:val="111111"/>
          <w:spacing w:val="-2"/>
          <w:sz w:val="24"/>
        </w:rPr>
        <w:t>Recordkeeping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360"/>
        <w:jc w:val="left"/>
        <w:rPr>
          <w:sz w:val="24"/>
        </w:rPr>
      </w:pPr>
      <w:r>
        <w:rPr>
          <w:color w:val="111111"/>
          <w:sz w:val="24"/>
        </w:rPr>
        <w:t>Quality Control and Quality</w:t>
      </w:r>
      <w:r>
        <w:rPr>
          <w:color w:val="111111"/>
          <w:spacing w:val="-14"/>
          <w:sz w:val="24"/>
        </w:rPr>
        <w:t> </w:t>
      </w:r>
      <w:r>
        <w:rPr>
          <w:color w:val="111111"/>
          <w:spacing w:val="-2"/>
          <w:sz w:val="24"/>
        </w:rPr>
        <w:t>Assurance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84" w:after="0"/>
        <w:ind w:left="996" w:right="0" w:hanging="360"/>
        <w:jc w:val="left"/>
        <w:rPr>
          <w:sz w:val="24"/>
        </w:rPr>
      </w:pPr>
      <w:r>
        <w:rPr>
          <w:color w:val="111111"/>
          <w:sz w:val="24"/>
        </w:rPr>
        <w:t>Financing and </w:t>
      </w:r>
      <w:r>
        <w:rPr>
          <w:color w:val="111111"/>
          <w:spacing w:val="-2"/>
          <w:sz w:val="24"/>
        </w:rPr>
        <w:t>Insurance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360"/>
        <w:jc w:val="left"/>
        <w:rPr>
          <w:sz w:val="24"/>
        </w:rPr>
      </w:pPr>
      <w:r>
        <w:rPr>
          <w:color w:val="111111"/>
          <w:sz w:val="24"/>
        </w:rPr>
        <w:t>Publication </w:t>
      </w:r>
      <w:r>
        <w:rPr>
          <w:color w:val="111111"/>
          <w:spacing w:val="-2"/>
          <w:sz w:val="24"/>
        </w:rPr>
        <w:t>Policy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360"/>
        <w:jc w:val="left"/>
        <w:rPr>
          <w:sz w:val="24"/>
        </w:rPr>
      </w:pPr>
      <w:r>
        <w:rPr>
          <w:color w:val="111111"/>
          <w:spacing w:val="-2"/>
          <w:sz w:val="24"/>
        </w:rPr>
        <w:t>References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69" w:after="0"/>
        <w:ind w:left="996" w:right="0" w:hanging="360"/>
        <w:jc w:val="left"/>
        <w:rPr>
          <w:sz w:val="24"/>
        </w:rPr>
      </w:pPr>
      <w:r>
        <w:rPr>
          <w:color w:val="111111"/>
          <w:spacing w:val="-2"/>
          <w:sz w:val="24"/>
        </w:rPr>
        <w:t>Appendices</w:t>
      </w:r>
    </w:p>
    <w:p>
      <w:pPr>
        <w:pStyle w:val="BodyText"/>
        <w:spacing w:before="157"/>
      </w:pPr>
    </w:p>
    <w:p>
      <w:pPr>
        <w:pStyle w:val="Heading1"/>
        <w:numPr>
          <w:ilvl w:val="0"/>
          <w:numId w:val="2"/>
        </w:numPr>
        <w:tabs>
          <w:tab w:pos="396" w:val="left" w:leader="none"/>
        </w:tabs>
        <w:spacing w:line="240" w:lineRule="auto" w:before="0" w:after="0"/>
        <w:ind w:left="396" w:right="0" w:hanging="300"/>
        <w:jc w:val="left"/>
      </w:pPr>
      <w:r>
        <w:rPr>
          <w:color w:val="111111"/>
        </w:rPr>
        <w:t>Protocol</w:t>
      </w:r>
      <w:r>
        <w:rPr>
          <w:color w:val="111111"/>
          <w:spacing w:val="-6"/>
        </w:rPr>
        <w:t> </w:t>
      </w:r>
      <w:r>
        <w:rPr>
          <w:color w:val="111111"/>
          <w:spacing w:val="-2"/>
        </w:rPr>
        <w:t>Summary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781050</wp:posOffset>
                </wp:positionH>
                <wp:positionV relativeFrom="paragraph">
                  <wp:posOffset>72703</wp:posOffset>
                </wp:positionV>
                <wp:extent cx="600583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24658pt;width:472.886678pt;height:.75pt;mso-position-horizontal-relative:page;mso-position-vertical-relative:paragraph;z-index:-15727616;mso-wrap-distance-left:0;mso-wrap-distance-right:0" id="docshape7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7"/>
        </w:rPr>
        <w:sectPr>
          <w:type w:val="continuous"/>
          <w:pgSz w:w="11900" w:h="16840"/>
          <w:pgMar w:header="284" w:footer="268" w:top="1160" w:bottom="460" w:left="1133" w:right="1133"/>
        </w:sectPr>
      </w:pPr>
    </w:p>
    <w:p>
      <w:pPr>
        <w:pStyle w:val="BodyText"/>
        <w:spacing w:before="0"/>
        <w:rPr>
          <w:b/>
          <w:sz w:val="5"/>
        </w:rPr>
      </w:pPr>
    </w:p>
    <w:tbl>
      <w:tblPr>
        <w:tblW w:w="0" w:type="auto"/>
        <w:jc w:val="left"/>
        <w:tblInd w:w="111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5"/>
        <w:gridCol w:w="7811"/>
      </w:tblGrid>
      <w:tr>
        <w:trPr>
          <w:trHeight w:val="584" w:hRule="atLeast"/>
        </w:trPr>
        <w:tc>
          <w:tcPr>
            <w:tcW w:w="1635" w:type="dxa"/>
          </w:tcPr>
          <w:p>
            <w:pPr>
              <w:pStyle w:val="TableParagraph"/>
              <w:ind w:left="127"/>
              <w:rPr>
                <w:b/>
                <w:sz w:val="24"/>
              </w:rPr>
            </w:pPr>
            <w:r>
              <w:rPr>
                <w:b/>
                <w:color w:val="111111"/>
                <w:spacing w:val="-4"/>
                <w:sz w:val="24"/>
              </w:rPr>
              <w:t>Item</w:t>
            </w:r>
          </w:p>
        </w:tc>
        <w:tc>
          <w:tcPr>
            <w:tcW w:w="781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1"/>
              <w:rPr>
                <w:b/>
                <w:sz w:val="24"/>
              </w:rPr>
            </w:pPr>
            <w:r>
              <w:rPr>
                <w:b/>
                <w:color w:val="111111"/>
                <w:spacing w:val="-2"/>
                <w:sz w:val="24"/>
              </w:rPr>
              <w:t>Description</w:t>
            </w:r>
          </w:p>
        </w:tc>
      </w:tr>
      <w:tr>
        <w:trPr>
          <w:trHeight w:val="1289" w:hRule="atLeast"/>
        </w:trPr>
        <w:tc>
          <w:tcPr>
            <w:tcW w:w="163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z w:val="24"/>
              </w:rPr>
              <w:t>Study</w:t>
            </w:r>
            <w:r>
              <w:rPr>
                <w:color w:val="111111"/>
                <w:spacing w:val="-5"/>
                <w:sz w:val="24"/>
              </w:rPr>
              <w:t> </w:t>
            </w:r>
            <w:r>
              <w:rPr>
                <w:color w:val="111111"/>
                <w:spacing w:val="-2"/>
                <w:sz w:val="24"/>
              </w:rPr>
              <w:t>Title</w:t>
            </w:r>
          </w:p>
        </w:tc>
        <w:tc>
          <w:tcPr>
            <w:tcW w:w="781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line="307" w:lineRule="auto"/>
              <w:ind w:left="131" w:right="174"/>
              <w:rPr>
                <w:sz w:val="24"/>
              </w:rPr>
            </w:pPr>
            <w:r>
              <w:rPr>
                <w:color w:val="111111"/>
                <w:sz w:val="24"/>
              </w:rPr>
              <w:t>A Phase II, Randomized, Double-Blind, Placebo-Controlled, Multicenter Study</w:t>
            </w:r>
            <w:r>
              <w:rPr>
                <w:color w:val="111111"/>
                <w:spacing w:val="-14"/>
                <w:sz w:val="24"/>
              </w:rPr>
              <w:t> </w:t>
            </w:r>
            <w:r>
              <w:rPr>
                <w:color w:val="111111"/>
                <w:sz w:val="24"/>
              </w:rPr>
              <w:t>to</w:t>
            </w:r>
            <w:r>
              <w:rPr>
                <w:color w:val="111111"/>
                <w:spacing w:val="-8"/>
                <w:sz w:val="24"/>
              </w:rPr>
              <w:t> </w:t>
            </w:r>
            <w:r>
              <w:rPr>
                <w:color w:val="111111"/>
                <w:sz w:val="24"/>
              </w:rPr>
              <w:t>Evaluate</w:t>
            </w:r>
            <w:r>
              <w:rPr>
                <w:color w:val="111111"/>
                <w:spacing w:val="-9"/>
                <w:sz w:val="24"/>
              </w:rPr>
              <w:t> </w:t>
            </w:r>
            <w:r>
              <w:rPr>
                <w:color w:val="111111"/>
                <w:sz w:val="24"/>
              </w:rPr>
              <w:t>the</w:t>
            </w:r>
            <w:r>
              <w:rPr>
                <w:color w:val="111111"/>
                <w:spacing w:val="-9"/>
                <w:sz w:val="24"/>
              </w:rPr>
              <w:t> </w:t>
            </w:r>
            <w:r>
              <w:rPr>
                <w:color w:val="111111"/>
                <w:sz w:val="24"/>
              </w:rPr>
              <w:t>Efficacy,</w:t>
            </w:r>
            <w:r>
              <w:rPr>
                <w:color w:val="111111"/>
                <w:spacing w:val="-9"/>
                <w:sz w:val="24"/>
              </w:rPr>
              <w:t> </w:t>
            </w:r>
            <w:r>
              <w:rPr>
                <w:color w:val="111111"/>
                <w:sz w:val="24"/>
              </w:rPr>
              <w:t>Safety,</w:t>
            </w:r>
            <w:r>
              <w:rPr>
                <w:color w:val="111111"/>
                <w:spacing w:val="-9"/>
                <w:sz w:val="24"/>
              </w:rPr>
              <w:t> </w:t>
            </w:r>
            <w:r>
              <w:rPr>
                <w:color w:val="111111"/>
                <w:sz w:val="24"/>
              </w:rPr>
              <w:t>and</w:t>
            </w:r>
            <w:r>
              <w:rPr>
                <w:color w:val="111111"/>
                <w:spacing w:val="-13"/>
                <w:sz w:val="24"/>
              </w:rPr>
              <w:t> </w:t>
            </w:r>
            <w:r>
              <w:rPr>
                <w:color w:val="111111"/>
                <w:sz w:val="24"/>
              </w:rPr>
              <w:t>Tolerability</w:t>
            </w:r>
            <w:r>
              <w:rPr>
                <w:color w:val="111111"/>
                <w:spacing w:val="-9"/>
                <w:sz w:val="24"/>
              </w:rPr>
              <w:t> </w:t>
            </w:r>
            <w:r>
              <w:rPr>
                <w:color w:val="111111"/>
                <w:sz w:val="24"/>
              </w:rPr>
              <w:t>of</w:t>
            </w:r>
            <w:r>
              <w:rPr>
                <w:color w:val="111111"/>
                <w:spacing w:val="-9"/>
                <w:sz w:val="24"/>
              </w:rPr>
              <w:t> </w:t>
            </w:r>
            <w:r>
              <w:rPr>
                <w:color w:val="111111"/>
                <w:sz w:val="24"/>
              </w:rPr>
              <w:t>CLN-201</w:t>
            </w:r>
            <w:r>
              <w:rPr>
                <w:color w:val="111111"/>
                <w:spacing w:val="-9"/>
                <w:sz w:val="24"/>
              </w:rPr>
              <w:t> </w:t>
            </w:r>
            <w:r>
              <w:rPr>
                <w:color w:val="111111"/>
                <w:sz w:val="24"/>
              </w:rPr>
              <w:t>in</w:t>
            </w:r>
            <w:r>
              <w:rPr>
                <w:color w:val="111111"/>
                <w:spacing w:val="-15"/>
                <w:sz w:val="24"/>
              </w:rPr>
              <w:t> </w:t>
            </w:r>
            <w:r>
              <w:rPr>
                <w:color w:val="111111"/>
                <w:sz w:val="24"/>
              </w:rPr>
              <w:t>Adult Participants With Moderate Inflammatory Disease</w:t>
            </w:r>
          </w:p>
        </w:tc>
      </w:tr>
      <w:tr>
        <w:trPr>
          <w:trHeight w:val="929" w:hRule="atLeast"/>
        </w:trPr>
        <w:tc>
          <w:tcPr>
            <w:tcW w:w="1635" w:type="dxa"/>
          </w:tcPr>
          <w:p>
            <w:pPr>
              <w:pStyle w:val="TableParagraph"/>
              <w:spacing w:line="300" w:lineRule="auto"/>
              <w:ind w:left="127" w:right="675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Protocol Number</w:t>
            </w:r>
          </w:p>
        </w:tc>
        <w:tc>
          <w:tcPr>
            <w:tcW w:w="781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z w:val="24"/>
              </w:rPr>
              <w:t>CLN-201-2026-</w:t>
            </w:r>
            <w:r>
              <w:rPr>
                <w:color w:val="111111"/>
                <w:spacing w:val="-5"/>
                <w:sz w:val="24"/>
              </w:rPr>
              <w:t>01</w:t>
            </w:r>
          </w:p>
        </w:tc>
      </w:tr>
      <w:tr>
        <w:trPr>
          <w:trHeight w:val="584" w:hRule="atLeast"/>
        </w:trPr>
        <w:tc>
          <w:tcPr>
            <w:tcW w:w="163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Phase</w:t>
            </w:r>
          </w:p>
        </w:tc>
        <w:tc>
          <w:tcPr>
            <w:tcW w:w="781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z w:val="24"/>
              </w:rPr>
              <w:t>Phase </w:t>
            </w:r>
            <w:r>
              <w:rPr>
                <w:color w:val="111111"/>
                <w:spacing w:val="-5"/>
                <w:sz w:val="24"/>
              </w:rPr>
              <w:t>II</w:t>
            </w:r>
          </w:p>
        </w:tc>
      </w:tr>
      <w:tr>
        <w:trPr>
          <w:trHeight w:val="599" w:hRule="atLeast"/>
        </w:trPr>
        <w:tc>
          <w:tcPr>
            <w:tcW w:w="163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Design</w:t>
            </w:r>
          </w:p>
        </w:tc>
        <w:tc>
          <w:tcPr>
            <w:tcW w:w="781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z w:val="24"/>
              </w:rPr>
              <w:t>Randomized, double-blind, placebo-controlled, parallel-group, </w:t>
            </w:r>
            <w:r>
              <w:rPr>
                <w:color w:val="111111"/>
                <w:spacing w:val="-2"/>
                <w:sz w:val="24"/>
              </w:rPr>
              <w:t>multicenter</w:t>
            </w:r>
          </w:p>
        </w:tc>
      </w:tr>
      <w:tr>
        <w:trPr>
          <w:trHeight w:val="929" w:hRule="atLeast"/>
        </w:trPr>
        <w:tc>
          <w:tcPr>
            <w:tcW w:w="163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Population</w:t>
            </w:r>
          </w:p>
        </w:tc>
        <w:tc>
          <w:tcPr>
            <w:tcW w:w="781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line="300" w:lineRule="auto"/>
              <w:ind w:left="131"/>
              <w:rPr>
                <w:sz w:val="24"/>
              </w:rPr>
            </w:pPr>
            <w:r>
              <w:rPr>
                <w:color w:val="111111"/>
                <w:sz w:val="24"/>
              </w:rPr>
              <w:t>Adults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18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to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75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years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of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age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with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moderate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inflammatory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disease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and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stable background therapy where applicable</w:t>
            </w:r>
          </w:p>
        </w:tc>
      </w:tr>
      <w:tr>
        <w:trPr>
          <w:trHeight w:val="584" w:hRule="atLeast"/>
        </w:trPr>
        <w:tc>
          <w:tcPr>
            <w:tcW w:w="163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z w:val="24"/>
              </w:rPr>
              <w:t>Sample </w:t>
            </w:r>
            <w:r>
              <w:rPr>
                <w:color w:val="111111"/>
                <w:spacing w:val="-4"/>
                <w:sz w:val="24"/>
              </w:rPr>
              <w:t>Size</w:t>
            </w:r>
          </w:p>
        </w:tc>
        <w:tc>
          <w:tcPr>
            <w:tcW w:w="781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z w:val="24"/>
              </w:rPr>
              <w:t>Approximately 120 randomized </w:t>
            </w:r>
            <w:r>
              <w:rPr>
                <w:color w:val="111111"/>
                <w:spacing w:val="-2"/>
                <w:sz w:val="24"/>
              </w:rPr>
              <w:t>participants</w:t>
            </w:r>
          </w:p>
        </w:tc>
      </w:tr>
      <w:tr>
        <w:trPr>
          <w:trHeight w:val="929" w:hRule="atLeast"/>
        </w:trPr>
        <w:tc>
          <w:tcPr>
            <w:tcW w:w="163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Treatment</w:t>
            </w:r>
          </w:p>
        </w:tc>
        <w:tc>
          <w:tcPr>
            <w:tcW w:w="781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line="300" w:lineRule="auto"/>
              <w:ind w:left="131" w:right="174"/>
              <w:rPr>
                <w:sz w:val="24"/>
              </w:rPr>
            </w:pPr>
            <w:r>
              <w:rPr>
                <w:color w:val="111111"/>
                <w:sz w:val="24"/>
              </w:rPr>
              <w:t>CLN-201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10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mg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orally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once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daily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or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matching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placebo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once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daily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for</w:t>
            </w:r>
            <w:r>
              <w:rPr>
                <w:color w:val="111111"/>
                <w:spacing w:val="-4"/>
                <w:sz w:val="24"/>
              </w:rPr>
              <w:t> </w:t>
            </w:r>
            <w:r>
              <w:rPr>
                <w:color w:val="111111"/>
                <w:sz w:val="24"/>
              </w:rPr>
              <w:t>12 </w:t>
            </w:r>
            <w:r>
              <w:rPr>
                <w:color w:val="111111"/>
                <w:spacing w:val="-2"/>
                <w:sz w:val="24"/>
              </w:rPr>
              <w:t>weeks</w:t>
            </w:r>
          </w:p>
        </w:tc>
      </w:tr>
      <w:tr>
        <w:trPr>
          <w:trHeight w:val="944" w:hRule="atLeast"/>
        </w:trPr>
        <w:tc>
          <w:tcPr>
            <w:tcW w:w="1635" w:type="dxa"/>
          </w:tcPr>
          <w:p>
            <w:pPr>
              <w:pStyle w:val="TableParagraph"/>
              <w:spacing w:line="312" w:lineRule="auto"/>
              <w:ind w:left="127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Primary Objective</w:t>
            </w:r>
          </w:p>
        </w:tc>
        <w:tc>
          <w:tcPr>
            <w:tcW w:w="781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line="312" w:lineRule="auto"/>
              <w:ind w:left="131" w:right="174"/>
              <w:rPr>
                <w:sz w:val="24"/>
              </w:rPr>
            </w:pPr>
            <w:r>
              <w:rPr>
                <w:color w:val="111111"/>
                <w:sz w:val="24"/>
              </w:rPr>
              <w:t>To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evaluate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the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efficacy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of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CLN-201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compared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with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placebo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in</w:t>
            </w:r>
            <w:r>
              <w:rPr>
                <w:color w:val="111111"/>
                <w:spacing w:val="-6"/>
                <w:sz w:val="24"/>
              </w:rPr>
              <w:t> </w:t>
            </w:r>
            <w:r>
              <w:rPr>
                <w:color w:val="111111"/>
                <w:sz w:val="24"/>
              </w:rPr>
              <w:t>reducing disease activity from baseline to Week 12</w:t>
            </w:r>
          </w:p>
        </w:tc>
      </w:tr>
      <w:tr>
        <w:trPr>
          <w:trHeight w:val="929" w:hRule="atLeast"/>
        </w:trPr>
        <w:tc>
          <w:tcPr>
            <w:tcW w:w="1635" w:type="dxa"/>
          </w:tcPr>
          <w:p>
            <w:pPr>
              <w:pStyle w:val="TableParagraph"/>
              <w:spacing w:line="300" w:lineRule="auto"/>
              <w:ind w:left="127" w:right="609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Primary Endpoint</w:t>
            </w:r>
          </w:p>
        </w:tc>
        <w:tc>
          <w:tcPr>
            <w:tcW w:w="781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z w:val="24"/>
              </w:rPr>
              <w:t>Change</w:t>
            </w:r>
            <w:r>
              <w:rPr>
                <w:color w:val="111111"/>
                <w:spacing w:val="-3"/>
                <w:sz w:val="24"/>
              </w:rPr>
              <w:t> </w:t>
            </w:r>
            <w:r>
              <w:rPr>
                <w:color w:val="111111"/>
                <w:sz w:val="24"/>
              </w:rPr>
              <w:t>from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baseline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to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Week</w:t>
            </w:r>
            <w:r>
              <w:rPr>
                <w:color w:val="111111"/>
                <w:spacing w:val="-3"/>
                <w:sz w:val="24"/>
              </w:rPr>
              <w:t> </w:t>
            </w:r>
            <w:r>
              <w:rPr>
                <w:color w:val="111111"/>
                <w:sz w:val="24"/>
              </w:rPr>
              <w:t>12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in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disease</w:t>
            </w:r>
            <w:r>
              <w:rPr>
                <w:color w:val="111111"/>
                <w:spacing w:val="-2"/>
                <w:sz w:val="24"/>
              </w:rPr>
              <w:t> </w:t>
            </w:r>
            <w:r>
              <w:rPr>
                <w:color w:val="111111"/>
                <w:sz w:val="24"/>
              </w:rPr>
              <w:t>activity</w:t>
            </w:r>
            <w:r>
              <w:rPr>
                <w:color w:val="111111"/>
                <w:spacing w:val="-2"/>
                <w:sz w:val="24"/>
              </w:rPr>
              <w:t> score</w:t>
            </w:r>
          </w:p>
        </w:tc>
      </w:tr>
      <w:tr>
        <w:trPr>
          <w:trHeight w:val="944" w:hRule="atLeast"/>
        </w:trPr>
        <w:tc>
          <w:tcPr>
            <w:tcW w:w="1635" w:type="dxa"/>
          </w:tcPr>
          <w:p>
            <w:pPr>
              <w:pStyle w:val="TableParagraph"/>
              <w:spacing w:line="300" w:lineRule="auto"/>
              <w:ind w:left="127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Secondary Endpoints</w:t>
            </w:r>
          </w:p>
        </w:tc>
        <w:tc>
          <w:tcPr>
            <w:tcW w:w="781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line="300" w:lineRule="auto"/>
              <w:ind w:left="131"/>
              <w:rPr>
                <w:sz w:val="24"/>
              </w:rPr>
            </w:pPr>
            <w:r>
              <w:rPr>
                <w:color w:val="111111"/>
                <w:sz w:val="24"/>
              </w:rPr>
              <w:t>Symptom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improvement,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biomarker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changes,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quality-of-life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measures,</w:t>
            </w:r>
            <w:r>
              <w:rPr>
                <w:color w:val="111111"/>
                <w:spacing w:val="-7"/>
                <w:sz w:val="24"/>
              </w:rPr>
              <w:t> </w:t>
            </w:r>
            <w:r>
              <w:rPr>
                <w:color w:val="111111"/>
                <w:sz w:val="24"/>
              </w:rPr>
              <w:t>clinical response rate, safety and tolerability</w:t>
            </w:r>
          </w:p>
        </w:tc>
      </w:tr>
      <w:tr>
        <w:trPr>
          <w:trHeight w:val="929" w:hRule="atLeast"/>
        </w:trPr>
        <w:tc>
          <w:tcPr>
            <w:tcW w:w="1635" w:type="dxa"/>
          </w:tcPr>
          <w:p>
            <w:pPr>
              <w:pStyle w:val="TableParagraph"/>
              <w:spacing w:line="300" w:lineRule="auto"/>
              <w:ind w:left="127" w:right="635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Study Duration</w:t>
            </w:r>
          </w:p>
        </w:tc>
        <w:tc>
          <w:tcPr>
            <w:tcW w:w="781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1"/>
              <w:rPr>
                <w:sz w:val="24"/>
              </w:rPr>
            </w:pPr>
            <w:r>
              <w:rPr>
                <w:color w:val="111111"/>
                <w:sz w:val="24"/>
              </w:rPr>
              <w:t>Screening up to 21 days, treatment 12 weeks, follow-up 4 </w:t>
            </w:r>
            <w:r>
              <w:rPr>
                <w:color w:val="111111"/>
                <w:spacing w:val="-2"/>
                <w:sz w:val="24"/>
              </w:rPr>
              <w:t>weeks</w:t>
            </w:r>
          </w:p>
        </w:tc>
      </w:tr>
    </w:tbl>
    <w:p>
      <w:pPr>
        <w:pStyle w:val="BodyText"/>
        <w:spacing w:before="62"/>
        <w:rPr>
          <w:b/>
          <w:sz w:val="30"/>
        </w:rPr>
      </w:pPr>
    </w:p>
    <w:p>
      <w:pPr>
        <w:pStyle w:val="ListParagraph"/>
        <w:numPr>
          <w:ilvl w:val="0"/>
          <w:numId w:val="2"/>
        </w:numPr>
        <w:tabs>
          <w:tab w:pos="396" w:val="left" w:leader="none"/>
        </w:tabs>
        <w:spacing w:line="240" w:lineRule="auto" w:before="0" w:after="0"/>
        <w:ind w:left="396" w:right="0" w:hanging="300"/>
        <w:jc w:val="left"/>
        <w:rPr>
          <w:b/>
          <w:sz w:val="30"/>
        </w:rPr>
      </w:pPr>
      <w:r>
        <w:rPr>
          <w:b/>
          <w:color w:val="111111"/>
          <w:spacing w:val="-2"/>
          <w:sz w:val="30"/>
        </w:rPr>
        <w:t>Introduction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781050</wp:posOffset>
                </wp:positionH>
                <wp:positionV relativeFrom="paragraph">
                  <wp:posOffset>73182</wp:posOffset>
                </wp:positionV>
                <wp:extent cx="600583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62419pt;width:472.886678pt;height:.75pt;mso-position-horizontal-relative:page;mso-position-vertical-relative:paragraph;z-index:-15727104;mso-wrap-distance-left:0;mso-wrap-distance-right:0" id="docshape8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181"/>
        <w:ind w:left="96" w:right="69"/>
        <w:jc w:val="both"/>
      </w:pPr>
      <w:r>
        <w:rPr>
          <w:color w:val="111111"/>
        </w:rPr>
        <w:t>CLN-201 is an investigational product under development for the treatment of inflammatory disease. The purpose of this study is to evaluate the efficacy, safety, and tolerability of CLN-</w:t>
      </w:r>
      <w:r>
        <w:rPr>
          <w:color w:val="111111"/>
        </w:rPr>
        <w:t>201 in adult participants with moderate inflammatory disease.</w:t>
      </w:r>
    </w:p>
    <w:p>
      <w:pPr>
        <w:pStyle w:val="BodyText"/>
        <w:spacing w:line="300" w:lineRule="auto" w:before="135"/>
        <w:ind w:left="96" w:right="69"/>
        <w:jc w:val="both"/>
      </w:pPr>
      <w:r>
        <w:rPr>
          <w:color w:val="111111"/>
        </w:rPr>
        <w:t>Despite currently available therapies, unmet medical need remains for participants who</w:t>
      </w:r>
      <w:r>
        <w:rPr>
          <w:color w:val="111111"/>
          <w:spacing w:val="40"/>
        </w:rPr>
        <w:t> </w:t>
      </w:r>
      <w:r>
        <w:rPr>
          <w:color w:val="111111"/>
        </w:rPr>
        <w:t>experience persistent disease activity or incomplete symptom control. This study is designed to generate controlled clinical data to support further development of CLN-201.</w:t>
      </w:r>
    </w:p>
    <w:p>
      <w:pPr>
        <w:pStyle w:val="BodyText"/>
        <w:spacing w:after="0" w:line="300" w:lineRule="auto"/>
        <w:jc w:val="both"/>
        <w:sectPr>
          <w:pgSz w:w="11900" w:h="16840"/>
          <w:pgMar w:header="284" w:footer="268" w:top="1160" w:bottom="460" w:left="1133" w:right="1133"/>
        </w:sectPr>
      </w:pPr>
    </w:p>
    <w:p>
      <w:pPr>
        <w:pStyle w:val="Heading1"/>
        <w:numPr>
          <w:ilvl w:val="0"/>
          <w:numId w:val="2"/>
        </w:numPr>
        <w:tabs>
          <w:tab w:pos="396" w:val="left" w:leader="none"/>
        </w:tabs>
        <w:spacing w:line="240" w:lineRule="auto" w:before="92" w:after="0"/>
        <w:ind w:left="396" w:right="0" w:hanging="300"/>
        <w:jc w:val="left"/>
      </w:pPr>
      <w:r>
        <w:rPr>
          <w:color w:val="111111"/>
        </w:rPr>
        <w:t>Objectives and </w:t>
      </w:r>
      <w:r>
        <w:rPr>
          <w:color w:val="111111"/>
          <w:spacing w:val="-2"/>
        </w:rPr>
        <w:t>Endpoints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781050</wp:posOffset>
                </wp:positionH>
                <wp:positionV relativeFrom="paragraph">
                  <wp:posOffset>73479</wp:posOffset>
                </wp:positionV>
                <wp:extent cx="600583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85801pt;width:472.886678pt;height:.75pt;mso-position-horizontal-relative:page;mso-position-vertical-relative:paragraph;z-index:-15726592;mso-wrap-distance-left:0;mso-wrap-distance-right:0" id="docshape9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91" w:after="0"/>
        <w:ind w:left="470" w:right="0" w:hanging="374"/>
        <w:jc w:val="left"/>
      </w:pPr>
      <w:r>
        <w:rPr>
          <w:color w:val="111111"/>
        </w:rPr>
        <w:t>Primary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Objective</w:t>
      </w:r>
    </w:p>
    <w:p>
      <w:pPr>
        <w:pStyle w:val="BodyText"/>
        <w:spacing w:line="300" w:lineRule="auto" w:before="232"/>
        <w:ind w:left="96"/>
      </w:pPr>
      <w:r>
        <w:rPr>
          <w:color w:val="111111"/>
        </w:rPr>
        <w:t>To</w:t>
      </w:r>
      <w:r>
        <w:rPr>
          <w:color w:val="111111"/>
          <w:spacing w:val="28"/>
        </w:rPr>
        <w:t> </w:t>
      </w:r>
      <w:r>
        <w:rPr>
          <w:color w:val="111111"/>
        </w:rPr>
        <w:t>evaluate</w:t>
      </w:r>
      <w:r>
        <w:rPr>
          <w:color w:val="111111"/>
          <w:spacing w:val="28"/>
        </w:rPr>
        <w:t> </w:t>
      </w:r>
      <w:r>
        <w:rPr>
          <w:color w:val="111111"/>
        </w:rPr>
        <w:t>the</w:t>
      </w:r>
      <w:r>
        <w:rPr>
          <w:color w:val="111111"/>
          <w:spacing w:val="28"/>
        </w:rPr>
        <w:t> </w:t>
      </w:r>
      <w:r>
        <w:rPr>
          <w:color w:val="111111"/>
        </w:rPr>
        <w:t>efficacy</w:t>
      </w:r>
      <w:r>
        <w:rPr>
          <w:color w:val="111111"/>
          <w:spacing w:val="28"/>
        </w:rPr>
        <w:t> </w:t>
      </w:r>
      <w:r>
        <w:rPr>
          <w:color w:val="111111"/>
        </w:rPr>
        <w:t>of</w:t>
      </w:r>
      <w:r>
        <w:rPr>
          <w:color w:val="111111"/>
          <w:spacing w:val="28"/>
        </w:rPr>
        <w:t> </w:t>
      </w:r>
      <w:r>
        <w:rPr>
          <w:color w:val="111111"/>
        </w:rPr>
        <w:t>CLN-201</w:t>
      </w:r>
      <w:r>
        <w:rPr>
          <w:color w:val="111111"/>
          <w:spacing w:val="28"/>
        </w:rPr>
        <w:t> </w:t>
      </w:r>
      <w:r>
        <w:rPr>
          <w:color w:val="111111"/>
        </w:rPr>
        <w:t>compared</w:t>
      </w:r>
      <w:r>
        <w:rPr>
          <w:color w:val="111111"/>
          <w:spacing w:val="28"/>
        </w:rPr>
        <w:t> </w:t>
      </w:r>
      <w:r>
        <w:rPr>
          <w:color w:val="111111"/>
        </w:rPr>
        <w:t>with</w:t>
      </w:r>
      <w:r>
        <w:rPr>
          <w:color w:val="111111"/>
          <w:spacing w:val="28"/>
        </w:rPr>
        <w:t> </w:t>
      </w:r>
      <w:r>
        <w:rPr>
          <w:color w:val="111111"/>
        </w:rPr>
        <w:t>placebo</w:t>
      </w:r>
      <w:r>
        <w:rPr>
          <w:color w:val="111111"/>
          <w:spacing w:val="28"/>
        </w:rPr>
        <w:t> </w:t>
      </w:r>
      <w:r>
        <w:rPr>
          <w:color w:val="111111"/>
        </w:rPr>
        <w:t>in</w:t>
      </w:r>
      <w:r>
        <w:rPr>
          <w:color w:val="111111"/>
          <w:spacing w:val="28"/>
        </w:rPr>
        <w:t> </w:t>
      </w:r>
      <w:r>
        <w:rPr>
          <w:color w:val="111111"/>
        </w:rPr>
        <w:t>reducing</w:t>
      </w:r>
      <w:r>
        <w:rPr>
          <w:color w:val="111111"/>
          <w:spacing w:val="28"/>
        </w:rPr>
        <w:t> </w:t>
      </w:r>
      <w:r>
        <w:rPr>
          <w:color w:val="111111"/>
        </w:rPr>
        <w:t>disease</w:t>
      </w:r>
      <w:r>
        <w:rPr>
          <w:color w:val="111111"/>
          <w:spacing w:val="28"/>
        </w:rPr>
        <w:t> </w:t>
      </w:r>
      <w:r>
        <w:rPr>
          <w:color w:val="111111"/>
        </w:rPr>
        <w:t>activity</w:t>
      </w:r>
      <w:r>
        <w:rPr>
          <w:color w:val="111111"/>
          <w:spacing w:val="28"/>
        </w:rPr>
        <w:t> </w:t>
      </w:r>
      <w:r>
        <w:rPr>
          <w:color w:val="111111"/>
        </w:rPr>
        <w:t>from baseline to Week 12.</w:t>
      </w:r>
    </w:p>
    <w:p>
      <w:pPr>
        <w:pStyle w:val="BodyText"/>
        <w:spacing w:before="0"/>
      </w:pP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0" w:after="0"/>
        <w:ind w:left="470" w:right="0" w:hanging="374"/>
        <w:jc w:val="left"/>
      </w:pPr>
      <w:r>
        <w:rPr>
          <w:color w:val="111111"/>
        </w:rPr>
        <w:t>Primary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Endpoint</w:t>
      </w:r>
    </w:p>
    <w:p>
      <w:pPr>
        <w:pStyle w:val="BodyText"/>
        <w:spacing w:before="232"/>
        <w:ind w:left="96"/>
      </w:pPr>
      <w:r>
        <w:rPr>
          <w:color w:val="111111"/>
        </w:rPr>
        <w:t>Change</w:t>
      </w:r>
      <w:r>
        <w:rPr>
          <w:color w:val="111111"/>
          <w:spacing w:val="-5"/>
        </w:rPr>
        <w:t> </w:t>
      </w:r>
      <w:r>
        <w:rPr>
          <w:color w:val="111111"/>
        </w:rPr>
        <w:t>from</w:t>
      </w:r>
      <w:r>
        <w:rPr>
          <w:color w:val="111111"/>
          <w:spacing w:val="-2"/>
        </w:rPr>
        <w:t> </w:t>
      </w:r>
      <w:r>
        <w:rPr>
          <w:color w:val="111111"/>
        </w:rPr>
        <w:t>baseline</w:t>
      </w:r>
      <w:r>
        <w:rPr>
          <w:color w:val="111111"/>
          <w:spacing w:val="-2"/>
        </w:rPr>
        <w:t> </w:t>
      </w:r>
      <w:r>
        <w:rPr>
          <w:color w:val="111111"/>
        </w:rPr>
        <w:t>to</w:t>
      </w:r>
      <w:r>
        <w:rPr>
          <w:color w:val="111111"/>
          <w:spacing w:val="-7"/>
        </w:rPr>
        <w:t> </w:t>
      </w:r>
      <w:r>
        <w:rPr>
          <w:color w:val="111111"/>
        </w:rPr>
        <w:t>Week</w:t>
      </w:r>
      <w:r>
        <w:rPr>
          <w:color w:val="111111"/>
          <w:spacing w:val="-3"/>
        </w:rPr>
        <w:t> </w:t>
      </w:r>
      <w:r>
        <w:rPr>
          <w:color w:val="111111"/>
        </w:rPr>
        <w:t>12</w:t>
      </w:r>
      <w:r>
        <w:rPr>
          <w:color w:val="111111"/>
          <w:spacing w:val="-2"/>
        </w:rPr>
        <w:t> </w:t>
      </w:r>
      <w:r>
        <w:rPr>
          <w:color w:val="111111"/>
        </w:rPr>
        <w:t>in</w:t>
      </w:r>
      <w:r>
        <w:rPr>
          <w:color w:val="111111"/>
          <w:spacing w:val="-2"/>
        </w:rPr>
        <w:t> </w:t>
      </w:r>
      <w:r>
        <w:rPr>
          <w:color w:val="111111"/>
        </w:rPr>
        <w:t>disease</w:t>
      </w:r>
      <w:r>
        <w:rPr>
          <w:color w:val="111111"/>
          <w:spacing w:val="-2"/>
        </w:rPr>
        <w:t> </w:t>
      </w:r>
      <w:r>
        <w:rPr>
          <w:color w:val="111111"/>
        </w:rPr>
        <w:t>activity</w:t>
      </w:r>
      <w:r>
        <w:rPr>
          <w:color w:val="111111"/>
          <w:spacing w:val="-2"/>
        </w:rPr>
        <w:t> score.</w:t>
      </w:r>
    </w:p>
    <w:p>
      <w:pPr>
        <w:pStyle w:val="BodyText"/>
        <w:spacing w:before="53"/>
      </w:pP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0" w:after="0"/>
        <w:ind w:left="470" w:right="0" w:hanging="374"/>
        <w:jc w:val="left"/>
      </w:pPr>
      <w:r>
        <w:rPr>
          <w:color w:val="111111"/>
        </w:rPr>
        <w:t>Secondary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Objectives</w:t>
      </w:r>
    </w:p>
    <w:p>
      <w:pPr>
        <w:pStyle w:val="BodyText"/>
        <w:spacing w:line="300" w:lineRule="auto" w:before="232"/>
        <w:ind w:left="816" w:right="2590"/>
        <w:jc w:val="both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To</w:t>
      </w:r>
      <w:r>
        <w:rPr>
          <w:color w:val="111111"/>
          <w:spacing w:val="-6"/>
        </w:rPr>
        <w:t> </w:t>
      </w:r>
      <w:r>
        <w:rPr>
          <w:color w:val="111111"/>
        </w:rPr>
        <w:t>assess</w:t>
      </w:r>
      <w:r>
        <w:rPr>
          <w:color w:val="111111"/>
          <w:spacing w:val="-6"/>
        </w:rPr>
        <w:t> </w:t>
      </w:r>
      <w:r>
        <w:rPr>
          <w:color w:val="111111"/>
        </w:rPr>
        <w:t>the</w:t>
      </w:r>
      <w:r>
        <w:rPr>
          <w:color w:val="111111"/>
          <w:spacing w:val="-6"/>
        </w:rPr>
        <w:t> </w:t>
      </w:r>
      <w:r>
        <w:rPr>
          <w:color w:val="111111"/>
        </w:rPr>
        <w:t>effect</w:t>
      </w:r>
      <w:r>
        <w:rPr>
          <w:color w:val="111111"/>
          <w:spacing w:val="-6"/>
        </w:rPr>
        <w:t> </w:t>
      </w:r>
      <w:r>
        <w:rPr>
          <w:color w:val="111111"/>
        </w:rPr>
        <w:t>of</w:t>
      </w:r>
      <w:r>
        <w:rPr>
          <w:color w:val="111111"/>
          <w:spacing w:val="-6"/>
        </w:rPr>
        <w:t> </w:t>
      </w:r>
      <w:r>
        <w:rPr>
          <w:color w:val="111111"/>
        </w:rPr>
        <w:t>CLN-201</w:t>
      </w:r>
      <w:r>
        <w:rPr>
          <w:color w:val="111111"/>
          <w:spacing w:val="-6"/>
        </w:rPr>
        <w:t> </w:t>
      </w:r>
      <w:r>
        <w:rPr>
          <w:color w:val="111111"/>
        </w:rPr>
        <w:t>on</w:t>
      </w:r>
      <w:r>
        <w:rPr>
          <w:color w:val="111111"/>
          <w:spacing w:val="-6"/>
        </w:rPr>
        <w:t> </w:t>
      </w:r>
      <w:r>
        <w:rPr>
          <w:color w:val="111111"/>
        </w:rPr>
        <w:t>disease-related</w:t>
      </w:r>
      <w:r>
        <w:rPr>
          <w:color w:val="111111"/>
          <w:spacing w:val="-6"/>
        </w:rPr>
        <w:t> </w:t>
      </w:r>
      <w:r>
        <w:rPr>
          <w:color w:val="111111"/>
        </w:rPr>
        <w:t>symptoms. </w:t>
      </w:r>
      <w:r>
        <w:rPr>
          <w:color w:val="111111"/>
          <w:position w:val="3"/>
        </w:rPr>
        <w:drawing>
          <wp:inline distT="0" distB="0" distL="0" distR="0">
            <wp:extent cx="47625" cy="4762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To</w:t>
      </w:r>
      <w:r>
        <w:rPr>
          <w:color w:val="111111"/>
          <w:spacing w:val="-3"/>
        </w:rPr>
        <w:t> </w:t>
      </w:r>
      <w:r>
        <w:rPr>
          <w:color w:val="111111"/>
        </w:rPr>
        <w:t>assess</w:t>
      </w:r>
      <w:r>
        <w:rPr>
          <w:color w:val="111111"/>
          <w:spacing w:val="-3"/>
        </w:rPr>
        <w:t> </w:t>
      </w:r>
      <w:r>
        <w:rPr>
          <w:color w:val="111111"/>
        </w:rPr>
        <w:t>the</w:t>
      </w:r>
      <w:r>
        <w:rPr>
          <w:color w:val="111111"/>
          <w:spacing w:val="-3"/>
        </w:rPr>
        <w:t> </w:t>
      </w:r>
      <w:r>
        <w:rPr>
          <w:color w:val="111111"/>
        </w:rPr>
        <w:t>effect</w:t>
      </w:r>
      <w:r>
        <w:rPr>
          <w:color w:val="111111"/>
          <w:spacing w:val="-3"/>
        </w:rPr>
        <w:t> </w:t>
      </w:r>
      <w:r>
        <w:rPr>
          <w:color w:val="111111"/>
        </w:rPr>
        <w:t>of</w:t>
      </w:r>
      <w:r>
        <w:rPr>
          <w:color w:val="111111"/>
          <w:spacing w:val="-3"/>
        </w:rPr>
        <w:t> </w:t>
      </w:r>
      <w:r>
        <w:rPr>
          <w:color w:val="111111"/>
        </w:rPr>
        <w:t>CLN-201</w:t>
      </w:r>
      <w:r>
        <w:rPr>
          <w:color w:val="111111"/>
          <w:spacing w:val="-3"/>
        </w:rPr>
        <w:t> </w:t>
      </w:r>
      <w:r>
        <w:rPr>
          <w:color w:val="111111"/>
        </w:rPr>
        <w:t>on</w:t>
      </w:r>
      <w:r>
        <w:rPr>
          <w:color w:val="111111"/>
          <w:spacing w:val="-3"/>
        </w:rPr>
        <w:t> </w:t>
      </w:r>
      <w:r>
        <w:rPr>
          <w:color w:val="111111"/>
        </w:rPr>
        <w:t>inflammatory</w:t>
      </w:r>
      <w:r>
        <w:rPr>
          <w:color w:val="111111"/>
          <w:spacing w:val="-3"/>
        </w:rPr>
        <w:t> </w:t>
      </w:r>
      <w:r>
        <w:rPr>
          <w:color w:val="111111"/>
        </w:rPr>
        <w:t>biomarkers. </w:t>
      </w:r>
      <w:r>
        <w:rPr>
          <w:color w:val="111111"/>
          <w:position w:val="3"/>
        </w:rPr>
        <w:drawing>
          <wp:inline distT="0" distB="0" distL="0" distR="0">
            <wp:extent cx="47625" cy="4762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To evaluate quality-of-life outcomes.</w:t>
      </w:r>
    </w:p>
    <w:p>
      <w:pPr>
        <w:pStyle w:val="BodyText"/>
        <w:spacing w:before="15"/>
        <w:ind w:left="816"/>
        <w:jc w:val="both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To evaluate safety and tolerability of CLN-201.</w:t>
      </w:r>
    </w:p>
    <w:p>
      <w:pPr>
        <w:pStyle w:val="BodyText"/>
        <w:spacing w:before="54"/>
      </w:pP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0" w:after="0"/>
        <w:ind w:left="470" w:right="0" w:hanging="374"/>
        <w:jc w:val="left"/>
      </w:pPr>
      <w:r>
        <w:rPr>
          <w:color w:val="111111"/>
        </w:rPr>
        <w:t>Secondary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Endpoints</w:t>
      </w:r>
    </w:p>
    <w:p>
      <w:pPr>
        <w:pStyle w:val="BodyText"/>
        <w:spacing w:before="232"/>
        <w:ind w:left="816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Change from baseline to Week 12 in symptom score.</w:t>
      </w:r>
    </w:p>
    <w:p>
      <w:pPr>
        <w:pStyle w:val="BodyText"/>
        <w:ind w:left="816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Change from baseline to Week 12 in C-reactive protein.</w:t>
      </w:r>
    </w:p>
    <w:p>
      <w:pPr>
        <w:pStyle w:val="BodyText"/>
        <w:ind w:left="816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Change from baseline to Week 12 in participant-reported quality-of-life measures.</w:t>
      </w:r>
    </w:p>
    <w:p>
      <w:pPr>
        <w:pStyle w:val="BodyText"/>
        <w:spacing w:line="300" w:lineRule="auto" w:before="84"/>
        <w:ind w:left="1056" w:hanging="240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Incidence</w:t>
      </w:r>
      <w:r>
        <w:rPr>
          <w:color w:val="111111"/>
          <w:spacing w:val="-3"/>
        </w:rPr>
        <w:t> </w:t>
      </w:r>
      <w:r>
        <w:rPr>
          <w:color w:val="111111"/>
        </w:rPr>
        <w:t>of</w:t>
      </w:r>
      <w:r>
        <w:rPr>
          <w:color w:val="111111"/>
          <w:spacing w:val="-3"/>
        </w:rPr>
        <w:t> </w:t>
      </w:r>
      <w:r>
        <w:rPr>
          <w:color w:val="111111"/>
        </w:rPr>
        <w:t>adverse</w:t>
      </w:r>
      <w:r>
        <w:rPr>
          <w:color w:val="111111"/>
          <w:spacing w:val="-3"/>
        </w:rPr>
        <w:t> </w:t>
      </w:r>
      <w:r>
        <w:rPr>
          <w:color w:val="111111"/>
        </w:rPr>
        <w:t>events,</w:t>
      </w:r>
      <w:r>
        <w:rPr>
          <w:color w:val="111111"/>
          <w:spacing w:val="-3"/>
        </w:rPr>
        <w:t> </w:t>
      </w:r>
      <w:r>
        <w:rPr>
          <w:color w:val="111111"/>
        </w:rPr>
        <w:t>serious</w:t>
      </w:r>
      <w:r>
        <w:rPr>
          <w:color w:val="111111"/>
          <w:spacing w:val="-3"/>
        </w:rPr>
        <w:t> </w:t>
      </w:r>
      <w:r>
        <w:rPr>
          <w:color w:val="111111"/>
        </w:rPr>
        <w:t>adverse</w:t>
      </w:r>
      <w:r>
        <w:rPr>
          <w:color w:val="111111"/>
          <w:spacing w:val="-3"/>
        </w:rPr>
        <w:t> </w:t>
      </w:r>
      <w:r>
        <w:rPr>
          <w:color w:val="111111"/>
        </w:rPr>
        <w:t>events,</w:t>
      </w:r>
      <w:r>
        <w:rPr>
          <w:color w:val="111111"/>
          <w:spacing w:val="-3"/>
        </w:rPr>
        <w:t> </w:t>
      </w:r>
      <w:r>
        <w:rPr>
          <w:color w:val="111111"/>
        </w:rPr>
        <w:t>and</w:t>
      </w:r>
      <w:r>
        <w:rPr>
          <w:color w:val="111111"/>
          <w:spacing w:val="-3"/>
        </w:rPr>
        <w:t> </w:t>
      </w:r>
      <w:r>
        <w:rPr>
          <w:color w:val="111111"/>
        </w:rPr>
        <w:t>discontinuations</w:t>
      </w:r>
      <w:r>
        <w:rPr>
          <w:color w:val="111111"/>
          <w:spacing w:val="-3"/>
        </w:rPr>
        <w:t> </w:t>
      </w:r>
      <w:r>
        <w:rPr>
          <w:color w:val="111111"/>
        </w:rPr>
        <w:t>due</w:t>
      </w:r>
      <w:r>
        <w:rPr>
          <w:color w:val="111111"/>
          <w:spacing w:val="-3"/>
        </w:rPr>
        <w:t> </w:t>
      </w:r>
      <w:r>
        <w:rPr>
          <w:color w:val="111111"/>
        </w:rPr>
        <w:t>to</w:t>
      </w:r>
      <w:r>
        <w:rPr>
          <w:color w:val="111111"/>
          <w:spacing w:val="-3"/>
        </w:rPr>
        <w:t> </w:t>
      </w:r>
      <w:r>
        <w:rPr>
          <w:color w:val="111111"/>
        </w:rPr>
        <w:t>adverse </w:t>
      </w:r>
      <w:r>
        <w:rPr>
          <w:color w:val="111111"/>
          <w:spacing w:val="-2"/>
        </w:rPr>
        <w:t>events.</w:t>
      </w:r>
    </w:p>
    <w:p>
      <w:pPr>
        <w:pStyle w:val="BodyText"/>
        <w:spacing w:before="88"/>
      </w:pPr>
    </w:p>
    <w:p>
      <w:pPr>
        <w:pStyle w:val="Heading1"/>
        <w:numPr>
          <w:ilvl w:val="0"/>
          <w:numId w:val="2"/>
        </w:numPr>
        <w:tabs>
          <w:tab w:pos="396" w:val="left" w:leader="none"/>
        </w:tabs>
        <w:spacing w:line="240" w:lineRule="auto" w:before="0" w:after="0"/>
        <w:ind w:left="396" w:right="0" w:hanging="300"/>
        <w:jc w:val="left"/>
      </w:pPr>
      <w:r>
        <w:rPr>
          <w:color w:val="111111"/>
        </w:rPr>
        <w:t>Study </w:t>
      </w:r>
      <w:r>
        <w:rPr>
          <w:color w:val="111111"/>
          <w:spacing w:val="-2"/>
        </w:rPr>
        <w:t>Design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781050</wp:posOffset>
                </wp:positionH>
                <wp:positionV relativeFrom="paragraph">
                  <wp:posOffset>73369</wp:posOffset>
                </wp:positionV>
                <wp:extent cx="600583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77096pt;width:472.886678pt;height:.75pt;mso-position-horizontal-relative:page;mso-position-vertical-relative:paragraph;z-index:-15726080;mso-wrap-distance-left:0;mso-wrap-distance-right:0" id="docshape10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181"/>
        <w:ind w:left="96"/>
      </w:pPr>
      <w:r>
        <w:rPr>
          <w:color w:val="111111"/>
        </w:rPr>
        <w:t>This</w:t>
      </w:r>
      <w:r>
        <w:rPr>
          <w:color w:val="111111"/>
          <w:spacing w:val="-2"/>
        </w:rPr>
        <w:t> </w:t>
      </w:r>
      <w:r>
        <w:rPr>
          <w:color w:val="111111"/>
        </w:rPr>
        <w:t>is</w:t>
      </w:r>
      <w:r>
        <w:rPr>
          <w:color w:val="111111"/>
          <w:spacing w:val="-2"/>
        </w:rPr>
        <w:t> </w:t>
      </w:r>
      <w:r>
        <w:rPr>
          <w:color w:val="111111"/>
        </w:rPr>
        <w:t>a</w:t>
      </w:r>
      <w:r>
        <w:rPr>
          <w:color w:val="111111"/>
          <w:spacing w:val="-2"/>
        </w:rPr>
        <w:t> </w:t>
      </w:r>
      <w:r>
        <w:rPr>
          <w:color w:val="111111"/>
        </w:rPr>
        <w:t>Phase</w:t>
      </w:r>
      <w:r>
        <w:rPr>
          <w:color w:val="111111"/>
          <w:spacing w:val="-2"/>
        </w:rPr>
        <w:t> </w:t>
      </w:r>
      <w:r>
        <w:rPr>
          <w:color w:val="111111"/>
        </w:rPr>
        <w:t>II,</w:t>
      </w:r>
      <w:r>
        <w:rPr>
          <w:color w:val="111111"/>
          <w:spacing w:val="-2"/>
        </w:rPr>
        <w:t> </w:t>
      </w:r>
      <w:r>
        <w:rPr>
          <w:color w:val="111111"/>
        </w:rPr>
        <w:t>randomized,</w:t>
      </w:r>
      <w:r>
        <w:rPr>
          <w:color w:val="111111"/>
          <w:spacing w:val="-2"/>
        </w:rPr>
        <w:t> </w:t>
      </w:r>
      <w:r>
        <w:rPr>
          <w:color w:val="111111"/>
        </w:rPr>
        <w:t>double-blind,</w:t>
      </w:r>
      <w:r>
        <w:rPr>
          <w:color w:val="111111"/>
          <w:spacing w:val="-2"/>
        </w:rPr>
        <w:t> </w:t>
      </w:r>
      <w:r>
        <w:rPr>
          <w:color w:val="111111"/>
        </w:rPr>
        <w:t>placebo-controlled,</w:t>
      </w:r>
      <w:r>
        <w:rPr>
          <w:color w:val="111111"/>
          <w:spacing w:val="-2"/>
        </w:rPr>
        <w:t> </w:t>
      </w:r>
      <w:r>
        <w:rPr>
          <w:color w:val="111111"/>
        </w:rPr>
        <w:t>parallel-group,</w:t>
      </w:r>
      <w:r>
        <w:rPr>
          <w:color w:val="111111"/>
          <w:spacing w:val="-2"/>
        </w:rPr>
        <w:t> </w:t>
      </w:r>
      <w:r>
        <w:rPr>
          <w:color w:val="111111"/>
        </w:rPr>
        <w:t>multicenter</w:t>
      </w:r>
      <w:r>
        <w:rPr>
          <w:color w:val="111111"/>
          <w:spacing w:val="-2"/>
        </w:rPr>
        <w:t> </w:t>
      </w:r>
      <w:r>
        <w:rPr>
          <w:color w:val="111111"/>
        </w:rPr>
        <w:t>study in adult participants with moderate inflammatory disease.</w:t>
      </w:r>
    </w:p>
    <w:p>
      <w:pPr>
        <w:pStyle w:val="BodyText"/>
        <w:spacing w:line="312" w:lineRule="auto" w:before="120"/>
        <w:ind w:left="96"/>
      </w:pPr>
      <w:r>
        <w:rPr>
          <w:color w:val="111111"/>
        </w:rPr>
        <w:t>Approximately</w:t>
      </w:r>
      <w:r>
        <w:rPr>
          <w:color w:val="111111"/>
          <w:spacing w:val="38"/>
        </w:rPr>
        <w:t> </w:t>
      </w:r>
      <w:r>
        <w:rPr>
          <w:color w:val="111111"/>
        </w:rPr>
        <w:t>120</w:t>
      </w:r>
      <w:r>
        <w:rPr>
          <w:color w:val="111111"/>
          <w:spacing w:val="38"/>
        </w:rPr>
        <w:t> </w:t>
      </w:r>
      <w:r>
        <w:rPr>
          <w:color w:val="111111"/>
        </w:rPr>
        <w:t>participants</w:t>
      </w:r>
      <w:r>
        <w:rPr>
          <w:color w:val="111111"/>
          <w:spacing w:val="38"/>
        </w:rPr>
        <w:t> </w:t>
      </w:r>
      <w:r>
        <w:rPr>
          <w:color w:val="111111"/>
        </w:rPr>
        <w:t>will</w:t>
      </w:r>
      <w:r>
        <w:rPr>
          <w:color w:val="111111"/>
          <w:spacing w:val="38"/>
        </w:rPr>
        <w:t> </w:t>
      </w:r>
      <w:r>
        <w:rPr>
          <w:color w:val="111111"/>
        </w:rPr>
        <w:t>be</w:t>
      </w:r>
      <w:r>
        <w:rPr>
          <w:color w:val="111111"/>
          <w:spacing w:val="38"/>
        </w:rPr>
        <w:t> </w:t>
      </w:r>
      <w:r>
        <w:rPr>
          <w:color w:val="111111"/>
        </w:rPr>
        <w:t>randomized</w:t>
      </w:r>
      <w:r>
        <w:rPr>
          <w:color w:val="111111"/>
          <w:spacing w:val="38"/>
        </w:rPr>
        <w:t> </w:t>
      </w:r>
      <w:r>
        <w:rPr>
          <w:color w:val="111111"/>
        </w:rPr>
        <w:t>in</w:t>
      </w:r>
      <w:r>
        <w:rPr>
          <w:color w:val="111111"/>
          <w:spacing w:val="38"/>
        </w:rPr>
        <w:t> </w:t>
      </w:r>
      <w:r>
        <w:rPr>
          <w:color w:val="111111"/>
        </w:rPr>
        <w:t>a</w:t>
      </w:r>
      <w:r>
        <w:rPr>
          <w:color w:val="111111"/>
          <w:spacing w:val="38"/>
        </w:rPr>
        <w:t> </w:t>
      </w:r>
      <w:r>
        <w:rPr>
          <w:color w:val="111111"/>
        </w:rPr>
        <w:t>1:1</w:t>
      </w:r>
      <w:r>
        <w:rPr>
          <w:color w:val="111111"/>
          <w:spacing w:val="38"/>
        </w:rPr>
        <w:t> </w:t>
      </w:r>
      <w:r>
        <w:rPr>
          <w:color w:val="111111"/>
        </w:rPr>
        <w:t>ratio</w:t>
      </w:r>
      <w:r>
        <w:rPr>
          <w:color w:val="111111"/>
          <w:spacing w:val="38"/>
        </w:rPr>
        <w:t> </w:t>
      </w:r>
      <w:r>
        <w:rPr>
          <w:color w:val="111111"/>
        </w:rPr>
        <w:t>to</w:t>
      </w:r>
      <w:r>
        <w:rPr>
          <w:color w:val="111111"/>
          <w:spacing w:val="38"/>
        </w:rPr>
        <w:t> </w:t>
      </w:r>
      <w:r>
        <w:rPr>
          <w:color w:val="111111"/>
        </w:rPr>
        <w:t>receive</w:t>
      </w:r>
      <w:r>
        <w:rPr>
          <w:color w:val="111111"/>
          <w:spacing w:val="38"/>
        </w:rPr>
        <w:t> </w:t>
      </w:r>
      <w:r>
        <w:rPr>
          <w:color w:val="111111"/>
        </w:rPr>
        <w:t>CLN-201</w:t>
      </w:r>
      <w:r>
        <w:rPr>
          <w:color w:val="111111"/>
          <w:spacing w:val="38"/>
        </w:rPr>
        <w:t> </w:t>
      </w:r>
      <w:r>
        <w:rPr>
          <w:color w:val="111111"/>
        </w:rPr>
        <w:t>10</w:t>
      </w:r>
      <w:r>
        <w:rPr>
          <w:color w:val="111111"/>
          <w:spacing w:val="38"/>
        </w:rPr>
        <w:t> </w:t>
      </w:r>
      <w:r>
        <w:rPr>
          <w:color w:val="111111"/>
        </w:rPr>
        <w:t>mg orally once daily or matching placebo once daily for 12 weeks.</w:t>
      </w:r>
    </w:p>
    <w:p>
      <w:pPr>
        <w:pStyle w:val="BodyText"/>
        <w:spacing w:line="300" w:lineRule="auto" w:before="107"/>
        <w:ind w:left="96"/>
      </w:pPr>
      <w:r>
        <w:rPr>
          <w:color w:val="111111"/>
        </w:rPr>
        <w:t>Study visits will occur during screening, baseline, Weeks 2, 4, 8, and 12, with a safety follow-</w:t>
      </w:r>
      <w:r>
        <w:rPr>
          <w:color w:val="111111"/>
        </w:rPr>
        <w:t>up visit approximately 4 weeks after the last dose.</w: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61" w:after="0"/>
        <w:ind w:left="470" w:right="0" w:hanging="374"/>
        <w:jc w:val="left"/>
      </w:pPr>
      <w:r>
        <w:rPr>
          <w:color w:val="111111"/>
        </w:rPr>
        <w:t>Scientific</w:t>
      </w:r>
      <w:r>
        <w:rPr>
          <w:color w:val="111111"/>
          <w:spacing w:val="-1"/>
        </w:rPr>
        <w:t> </w:t>
      </w:r>
      <w:r>
        <w:rPr>
          <w:color w:val="111111"/>
        </w:rPr>
        <w:t>Rationale</w:t>
      </w:r>
      <w:r>
        <w:rPr>
          <w:color w:val="111111"/>
          <w:spacing w:val="-1"/>
        </w:rPr>
        <w:t> </w:t>
      </w:r>
      <w:r>
        <w:rPr>
          <w:color w:val="111111"/>
        </w:rPr>
        <w:t>for</w:t>
      </w:r>
      <w:r>
        <w:rPr>
          <w:color w:val="111111"/>
          <w:spacing w:val="-5"/>
        </w:rPr>
        <w:t> </w:t>
      </w:r>
      <w:r>
        <w:rPr>
          <w:color w:val="111111"/>
        </w:rPr>
        <w:t>Study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Design</w:t>
      </w:r>
    </w:p>
    <w:p>
      <w:pPr>
        <w:pStyle w:val="BodyText"/>
        <w:spacing w:line="300" w:lineRule="auto" w:before="232"/>
        <w:ind w:left="96"/>
      </w:pPr>
      <w:r>
        <w:rPr>
          <w:color w:val="111111"/>
        </w:rPr>
        <w:t>A placebo-controlled, randomized, and double-blind design was selected to provide an </w:t>
      </w:r>
      <w:r>
        <w:rPr>
          <w:color w:val="111111"/>
        </w:rPr>
        <w:t>unbiased assessment of the efficacy and safety of CLN-201 while minimizing systematic bias.</w: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75" w:after="0"/>
        <w:ind w:left="470" w:right="0" w:hanging="374"/>
        <w:jc w:val="left"/>
      </w:pPr>
      <w:r>
        <w:rPr>
          <w:color w:val="111111"/>
        </w:rPr>
        <w:t>Justification</w:t>
      </w:r>
      <w:r>
        <w:rPr>
          <w:color w:val="111111"/>
          <w:spacing w:val="-1"/>
        </w:rPr>
        <w:t> </w:t>
      </w:r>
      <w:r>
        <w:rPr>
          <w:color w:val="111111"/>
        </w:rPr>
        <w:t>for</w:t>
      </w:r>
      <w:r>
        <w:rPr>
          <w:color w:val="111111"/>
          <w:spacing w:val="-5"/>
        </w:rPr>
        <w:t> </w:t>
      </w:r>
      <w:r>
        <w:rPr>
          <w:color w:val="111111"/>
          <w:spacing w:val="-4"/>
        </w:rPr>
        <w:t>Dose</w:t>
      </w:r>
    </w:p>
    <w:p>
      <w:pPr>
        <w:pStyle w:val="BodyText"/>
        <w:spacing w:line="300" w:lineRule="auto" w:before="232"/>
        <w:ind w:left="96"/>
      </w:pPr>
      <w:r>
        <w:rPr>
          <w:color w:val="111111"/>
        </w:rPr>
        <w:t>The 10 mg once-daily dose of CLN-201 was selected based on prior clinical and nonclinical </w:t>
      </w:r>
      <w:r>
        <w:rPr>
          <w:color w:val="111111"/>
        </w:rPr>
        <w:t>data indicating an acceptable balance of pharmacodynamic activity and tolerability.</w:t>
      </w:r>
    </w:p>
    <w:p>
      <w:pPr>
        <w:pStyle w:val="BodyText"/>
        <w:spacing w:after="0" w:line="300" w:lineRule="auto"/>
        <w:sectPr>
          <w:pgSz w:w="11900" w:h="16840"/>
          <w:pgMar w:header="284" w:footer="268" w:top="1160" w:bottom="460" w:left="1133" w:right="1133"/>
        </w:sectPr>
      </w:pPr>
    </w:p>
    <w:p>
      <w:pPr>
        <w:pStyle w:val="Heading1"/>
        <w:numPr>
          <w:ilvl w:val="0"/>
          <w:numId w:val="2"/>
        </w:numPr>
        <w:tabs>
          <w:tab w:pos="396" w:val="left" w:leader="none"/>
        </w:tabs>
        <w:spacing w:line="240" w:lineRule="auto" w:before="92" w:after="0"/>
        <w:ind w:left="396" w:right="0" w:hanging="300"/>
        <w:jc w:val="left"/>
      </w:pPr>
      <w:r>
        <w:rPr>
          <w:color w:val="111111"/>
        </w:rPr>
        <w:t>Study </w:t>
      </w:r>
      <w:r>
        <w:rPr>
          <w:color w:val="111111"/>
          <w:spacing w:val="-2"/>
        </w:rPr>
        <w:t>Population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781050</wp:posOffset>
                </wp:positionH>
                <wp:positionV relativeFrom="paragraph">
                  <wp:posOffset>73477</wp:posOffset>
                </wp:positionV>
                <wp:extent cx="600583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8566pt;width:472.886678pt;height:.75pt;mso-position-horizontal-relative:page;mso-position-vertical-relative:paragraph;z-index:-15725568;mso-wrap-distance-left:0;mso-wrap-distance-right:0" id="docshape11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91" w:after="0"/>
        <w:ind w:left="470" w:right="0" w:hanging="374"/>
        <w:jc w:val="left"/>
      </w:pPr>
      <w:r>
        <w:rPr>
          <w:color w:val="111111"/>
        </w:rPr>
        <w:t>Inclusion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Criteria</w:t>
      </w:r>
    </w:p>
    <w:p>
      <w:pPr>
        <w:pStyle w:val="BodyText"/>
        <w:spacing w:before="232"/>
        <w:ind w:left="816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Male or female adults 18 to 75 years of age.</w:t>
      </w:r>
    </w:p>
    <w:p>
      <w:pPr>
        <w:pStyle w:val="BodyText"/>
        <w:spacing w:line="312" w:lineRule="auto"/>
        <w:ind w:left="1056" w:right="329" w:hanging="240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Confirmed</w:t>
      </w:r>
      <w:r>
        <w:rPr>
          <w:color w:val="111111"/>
          <w:spacing w:val="-4"/>
        </w:rPr>
        <w:t> </w:t>
      </w:r>
      <w:r>
        <w:rPr>
          <w:color w:val="111111"/>
        </w:rPr>
        <w:t>diagnosis</w:t>
      </w:r>
      <w:r>
        <w:rPr>
          <w:color w:val="111111"/>
          <w:spacing w:val="-4"/>
        </w:rPr>
        <w:t> </w:t>
      </w:r>
      <w:r>
        <w:rPr>
          <w:color w:val="111111"/>
        </w:rPr>
        <w:t>of</w:t>
      </w:r>
      <w:r>
        <w:rPr>
          <w:color w:val="111111"/>
          <w:spacing w:val="-4"/>
        </w:rPr>
        <w:t> </w:t>
      </w:r>
      <w:r>
        <w:rPr>
          <w:color w:val="111111"/>
        </w:rPr>
        <w:t>moderate</w:t>
      </w:r>
      <w:r>
        <w:rPr>
          <w:color w:val="111111"/>
          <w:spacing w:val="-4"/>
        </w:rPr>
        <w:t> </w:t>
      </w:r>
      <w:r>
        <w:rPr>
          <w:color w:val="111111"/>
        </w:rPr>
        <w:t>inflammatory</w:t>
      </w:r>
      <w:r>
        <w:rPr>
          <w:color w:val="111111"/>
          <w:spacing w:val="-4"/>
        </w:rPr>
        <w:t> </w:t>
      </w:r>
      <w:r>
        <w:rPr>
          <w:color w:val="111111"/>
        </w:rPr>
        <w:t>disease</w:t>
      </w:r>
      <w:r>
        <w:rPr>
          <w:color w:val="111111"/>
          <w:spacing w:val="-4"/>
        </w:rPr>
        <w:t> </w:t>
      </w:r>
      <w:r>
        <w:rPr>
          <w:color w:val="111111"/>
        </w:rPr>
        <w:t>according</w:t>
      </w:r>
      <w:r>
        <w:rPr>
          <w:color w:val="111111"/>
          <w:spacing w:val="-4"/>
        </w:rPr>
        <w:t> </w:t>
      </w:r>
      <w:r>
        <w:rPr>
          <w:color w:val="111111"/>
        </w:rPr>
        <w:t>to</w:t>
      </w:r>
      <w:r>
        <w:rPr>
          <w:color w:val="111111"/>
          <w:spacing w:val="-4"/>
        </w:rPr>
        <w:t> </w:t>
      </w:r>
      <w:r>
        <w:rPr>
          <w:color w:val="111111"/>
        </w:rPr>
        <w:t>protocol-</w:t>
      </w:r>
      <w:r>
        <w:rPr>
          <w:color w:val="111111"/>
        </w:rPr>
        <w:t>defined </w:t>
      </w:r>
      <w:r>
        <w:rPr>
          <w:color w:val="111111"/>
          <w:spacing w:val="-2"/>
        </w:rPr>
        <w:t>criteria.</w:t>
      </w:r>
    </w:p>
    <w:p>
      <w:pPr>
        <w:pStyle w:val="BodyText"/>
        <w:spacing w:line="300" w:lineRule="auto" w:before="0"/>
        <w:ind w:left="816" w:right="157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Stable</w:t>
      </w:r>
      <w:r>
        <w:rPr>
          <w:color w:val="111111"/>
          <w:spacing w:val="-3"/>
        </w:rPr>
        <w:t> </w:t>
      </w:r>
      <w:r>
        <w:rPr>
          <w:color w:val="111111"/>
        </w:rPr>
        <w:t>background</w:t>
      </w:r>
      <w:r>
        <w:rPr>
          <w:color w:val="111111"/>
          <w:spacing w:val="-3"/>
        </w:rPr>
        <w:t> </w:t>
      </w:r>
      <w:r>
        <w:rPr>
          <w:color w:val="111111"/>
        </w:rPr>
        <w:t>therapy</w:t>
      </w:r>
      <w:r>
        <w:rPr>
          <w:color w:val="111111"/>
          <w:spacing w:val="-3"/>
        </w:rPr>
        <w:t> </w:t>
      </w:r>
      <w:r>
        <w:rPr>
          <w:color w:val="111111"/>
        </w:rPr>
        <w:t>for</w:t>
      </w:r>
      <w:r>
        <w:rPr>
          <w:color w:val="111111"/>
          <w:spacing w:val="-3"/>
        </w:rPr>
        <w:t> </w:t>
      </w:r>
      <w:r>
        <w:rPr>
          <w:color w:val="111111"/>
        </w:rPr>
        <w:t>at</w:t>
      </w:r>
      <w:r>
        <w:rPr>
          <w:color w:val="111111"/>
          <w:spacing w:val="-3"/>
        </w:rPr>
        <w:t> </w:t>
      </w:r>
      <w:r>
        <w:rPr>
          <w:color w:val="111111"/>
        </w:rPr>
        <w:t>least</w:t>
      </w:r>
      <w:r>
        <w:rPr>
          <w:color w:val="111111"/>
          <w:spacing w:val="-3"/>
        </w:rPr>
        <w:t> </w:t>
      </w:r>
      <w:r>
        <w:rPr>
          <w:color w:val="111111"/>
        </w:rPr>
        <w:t>4</w:t>
      </w:r>
      <w:r>
        <w:rPr>
          <w:color w:val="111111"/>
          <w:spacing w:val="-3"/>
        </w:rPr>
        <w:t> </w:t>
      </w:r>
      <w:r>
        <w:rPr>
          <w:color w:val="111111"/>
        </w:rPr>
        <w:t>weeks</w:t>
      </w:r>
      <w:r>
        <w:rPr>
          <w:color w:val="111111"/>
          <w:spacing w:val="-3"/>
        </w:rPr>
        <w:t> </w:t>
      </w:r>
      <w:r>
        <w:rPr>
          <w:color w:val="111111"/>
        </w:rPr>
        <w:t>before</w:t>
      </w:r>
      <w:r>
        <w:rPr>
          <w:color w:val="111111"/>
          <w:spacing w:val="-3"/>
        </w:rPr>
        <w:t> </w:t>
      </w:r>
      <w:r>
        <w:rPr>
          <w:color w:val="111111"/>
        </w:rPr>
        <w:t>randomization,</w:t>
      </w:r>
      <w:r>
        <w:rPr>
          <w:color w:val="111111"/>
          <w:spacing w:val="-3"/>
        </w:rPr>
        <w:t> </w:t>
      </w:r>
      <w:r>
        <w:rPr>
          <w:color w:val="111111"/>
        </w:rPr>
        <w:t>where</w:t>
      </w:r>
      <w:r>
        <w:rPr>
          <w:color w:val="111111"/>
          <w:spacing w:val="-3"/>
        </w:rPr>
        <w:t> </w:t>
      </w:r>
      <w:r>
        <w:rPr>
          <w:color w:val="111111"/>
        </w:rPr>
        <w:t>applicable. </w:t>
      </w:r>
      <w:r>
        <w:rPr>
          <w:color w:val="111111"/>
          <w:position w:val="3"/>
        </w:rPr>
        <w:drawing>
          <wp:inline distT="0" distB="0" distL="0" distR="0">
            <wp:extent cx="47625" cy="4762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Able and willing to provide written informed consent.</w:t>
      </w:r>
    </w:p>
    <w:p>
      <w:pPr>
        <w:pStyle w:val="BodyText"/>
        <w:spacing w:before="0"/>
        <w:ind w:left="816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Able and willing to comply with study procedures.</w:t>
      </w:r>
    </w:p>
    <w:p>
      <w:pPr>
        <w:pStyle w:val="BodyText"/>
        <w:spacing w:before="41"/>
      </w:pP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0" w:after="0"/>
        <w:ind w:left="470" w:right="0" w:hanging="374"/>
        <w:jc w:val="left"/>
      </w:pPr>
      <w:r>
        <w:rPr>
          <w:color w:val="111111"/>
        </w:rPr>
        <w:t>Exclusion</w:t>
      </w:r>
      <w:r>
        <w:rPr>
          <w:color w:val="111111"/>
          <w:spacing w:val="-3"/>
        </w:rPr>
        <w:t> </w:t>
      </w:r>
      <w:r>
        <w:rPr>
          <w:color w:val="111111"/>
          <w:spacing w:val="-2"/>
        </w:rPr>
        <w:t>Criteria</w:t>
      </w:r>
    </w:p>
    <w:p>
      <w:pPr>
        <w:pStyle w:val="BodyText"/>
        <w:spacing w:line="312" w:lineRule="auto" w:before="232"/>
        <w:ind w:left="816" w:right="4948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Clinically</w:t>
      </w:r>
      <w:r>
        <w:rPr>
          <w:color w:val="111111"/>
          <w:spacing w:val="-7"/>
        </w:rPr>
        <w:t> </w:t>
      </w:r>
      <w:r>
        <w:rPr>
          <w:color w:val="111111"/>
        </w:rPr>
        <w:t>significant</w:t>
      </w:r>
      <w:r>
        <w:rPr>
          <w:color w:val="111111"/>
          <w:spacing w:val="-7"/>
        </w:rPr>
        <w:t> </w:t>
      </w:r>
      <w:r>
        <w:rPr>
          <w:color w:val="111111"/>
        </w:rPr>
        <w:t>active</w:t>
      </w:r>
      <w:r>
        <w:rPr>
          <w:color w:val="111111"/>
          <w:spacing w:val="-7"/>
        </w:rPr>
        <w:t> </w:t>
      </w:r>
      <w:r>
        <w:rPr>
          <w:color w:val="111111"/>
        </w:rPr>
        <w:t>infection. </w:t>
      </w:r>
      <w:r>
        <w:rPr>
          <w:color w:val="111111"/>
          <w:position w:val="3"/>
        </w:rPr>
        <w:drawing>
          <wp:inline distT="0" distB="0" distL="0" distR="0">
            <wp:extent cx="47625" cy="47623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Pregnancy or breastfeeding.</w:t>
      </w:r>
    </w:p>
    <w:p>
      <w:pPr>
        <w:pStyle w:val="BodyText"/>
        <w:spacing w:line="300" w:lineRule="auto" w:before="0"/>
        <w:ind w:left="1056" w:right="329" w:hanging="240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Uncontrolled</w:t>
      </w:r>
      <w:r>
        <w:rPr>
          <w:color w:val="111111"/>
          <w:spacing w:val="-5"/>
        </w:rPr>
        <w:t> </w:t>
      </w:r>
      <w:r>
        <w:rPr>
          <w:color w:val="111111"/>
        </w:rPr>
        <w:t>significant</w:t>
      </w:r>
      <w:r>
        <w:rPr>
          <w:color w:val="111111"/>
          <w:spacing w:val="-5"/>
        </w:rPr>
        <w:t> </w:t>
      </w:r>
      <w:r>
        <w:rPr>
          <w:color w:val="111111"/>
        </w:rPr>
        <w:t>cardiovascular,</w:t>
      </w:r>
      <w:r>
        <w:rPr>
          <w:color w:val="111111"/>
          <w:spacing w:val="-5"/>
        </w:rPr>
        <w:t> </w:t>
      </w:r>
      <w:r>
        <w:rPr>
          <w:color w:val="111111"/>
        </w:rPr>
        <w:t>hepatic,</w:t>
      </w:r>
      <w:r>
        <w:rPr>
          <w:color w:val="111111"/>
          <w:spacing w:val="-5"/>
        </w:rPr>
        <w:t> </w:t>
      </w:r>
      <w:r>
        <w:rPr>
          <w:color w:val="111111"/>
        </w:rPr>
        <w:t>renal,</w:t>
      </w:r>
      <w:r>
        <w:rPr>
          <w:color w:val="111111"/>
          <w:spacing w:val="-5"/>
        </w:rPr>
        <w:t> </w:t>
      </w:r>
      <w:r>
        <w:rPr>
          <w:color w:val="111111"/>
        </w:rPr>
        <w:t>neurologic,</w:t>
      </w:r>
      <w:r>
        <w:rPr>
          <w:color w:val="111111"/>
          <w:spacing w:val="-5"/>
        </w:rPr>
        <w:t> </w:t>
      </w:r>
      <w:r>
        <w:rPr>
          <w:color w:val="111111"/>
        </w:rPr>
        <w:t>or</w:t>
      </w:r>
      <w:r>
        <w:rPr>
          <w:color w:val="111111"/>
          <w:spacing w:val="-5"/>
        </w:rPr>
        <w:t> </w:t>
      </w:r>
      <w:r>
        <w:rPr>
          <w:color w:val="111111"/>
        </w:rPr>
        <w:t>psychiatric </w:t>
      </w:r>
      <w:r>
        <w:rPr>
          <w:color w:val="111111"/>
          <w:spacing w:val="-2"/>
        </w:rPr>
        <w:t>disease.</w:t>
      </w:r>
    </w:p>
    <w:p>
      <w:pPr>
        <w:pStyle w:val="BodyText"/>
        <w:spacing w:line="300" w:lineRule="auto" w:before="0"/>
        <w:ind w:left="1056" w:hanging="240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Participation</w:t>
      </w:r>
      <w:r>
        <w:rPr>
          <w:color w:val="111111"/>
          <w:spacing w:val="-3"/>
        </w:rPr>
        <w:t> </w:t>
      </w:r>
      <w:r>
        <w:rPr>
          <w:color w:val="111111"/>
        </w:rPr>
        <w:t>in</w:t>
      </w:r>
      <w:r>
        <w:rPr>
          <w:color w:val="111111"/>
          <w:spacing w:val="-3"/>
        </w:rPr>
        <w:t> </w:t>
      </w:r>
      <w:r>
        <w:rPr>
          <w:color w:val="111111"/>
        </w:rPr>
        <w:t>another</w:t>
      </w:r>
      <w:r>
        <w:rPr>
          <w:color w:val="111111"/>
          <w:spacing w:val="-3"/>
        </w:rPr>
        <w:t> </w:t>
      </w:r>
      <w:r>
        <w:rPr>
          <w:color w:val="111111"/>
        </w:rPr>
        <w:t>interventional</w:t>
      </w:r>
      <w:r>
        <w:rPr>
          <w:color w:val="111111"/>
          <w:spacing w:val="-3"/>
        </w:rPr>
        <w:t> </w:t>
      </w:r>
      <w:r>
        <w:rPr>
          <w:color w:val="111111"/>
        </w:rPr>
        <w:t>clinical</w:t>
      </w:r>
      <w:r>
        <w:rPr>
          <w:color w:val="111111"/>
          <w:spacing w:val="-3"/>
        </w:rPr>
        <w:t> </w:t>
      </w:r>
      <w:r>
        <w:rPr>
          <w:color w:val="111111"/>
        </w:rPr>
        <w:t>study</w:t>
      </w:r>
      <w:r>
        <w:rPr>
          <w:color w:val="111111"/>
          <w:spacing w:val="-3"/>
        </w:rPr>
        <w:t> </w:t>
      </w:r>
      <w:r>
        <w:rPr>
          <w:color w:val="111111"/>
        </w:rPr>
        <w:t>within</w:t>
      </w:r>
      <w:r>
        <w:rPr>
          <w:color w:val="111111"/>
          <w:spacing w:val="-3"/>
        </w:rPr>
        <w:t> </w:t>
      </w:r>
      <w:r>
        <w:rPr>
          <w:color w:val="111111"/>
        </w:rPr>
        <w:t>30</w:t>
      </w:r>
      <w:r>
        <w:rPr>
          <w:color w:val="111111"/>
          <w:spacing w:val="-3"/>
        </w:rPr>
        <w:t> </w:t>
      </w:r>
      <w:r>
        <w:rPr>
          <w:color w:val="111111"/>
        </w:rPr>
        <w:t>days</w:t>
      </w:r>
      <w:r>
        <w:rPr>
          <w:color w:val="111111"/>
          <w:spacing w:val="-3"/>
        </w:rPr>
        <w:t> </w:t>
      </w:r>
      <w:r>
        <w:rPr>
          <w:color w:val="111111"/>
        </w:rPr>
        <w:t>or</w:t>
      </w:r>
      <w:r>
        <w:rPr>
          <w:color w:val="111111"/>
          <w:spacing w:val="-3"/>
        </w:rPr>
        <w:t> </w:t>
      </w:r>
      <w:r>
        <w:rPr>
          <w:color w:val="111111"/>
        </w:rPr>
        <w:t>5</w:t>
      </w:r>
      <w:r>
        <w:rPr>
          <w:color w:val="111111"/>
          <w:spacing w:val="-3"/>
        </w:rPr>
        <w:t> </w:t>
      </w:r>
      <w:r>
        <w:rPr>
          <w:color w:val="111111"/>
        </w:rPr>
        <w:t>half-lives</w:t>
      </w:r>
      <w:r>
        <w:rPr>
          <w:color w:val="111111"/>
          <w:spacing w:val="-3"/>
        </w:rPr>
        <w:t> </w:t>
      </w:r>
      <w:r>
        <w:rPr>
          <w:color w:val="111111"/>
        </w:rPr>
        <w:t>of</w:t>
      </w:r>
      <w:r>
        <w:rPr>
          <w:color w:val="111111"/>
          <w:spacing w:val="-3"/>
        </w:rPr>
        <w:t> </w:t>
      </w:r>
      <w:r>
        <w:rPr>
          <w:color w:val="111111"/>
        </w:rPr>
        <w:t>the prior investigational product, whichever is longer.</w:t>
      </w:r>
    </w:p>
    <w:p>
      <w:pPr>
        <w:pStyle w:val="BodyText"/>
        <w:spacing w:line="300" w:lineRule="auto" w:before="3"/>
        <w:ind w:left="1056" w:right="329" w:hanging="240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Any</w:t>
      </w:r>
      <w:r>
        <w:rPr>
          <w:color w:val="111111"/>
          <w:spacing w:val="-3"/>
        </w:rPr>
        <w:t> </w:t>
      </w:r>
      <w:r>
        <w:rPr>
          <w:color w:val="111111"/>
        </w:rPr>
        <w:t>condition</w:t>
      </w:r>
      <w:r>
        <w:rPr>
          <w:color w:val="111111"/>
          <w:spacing w:val="-3"/>
        </w:rPr>
        <w:t> </w:t>
      </w:r>
      <w:r>
        <w:rPr>
          <w:color w:val="111111"/>
        </w:rPr>
        <w:t>that,</w:t>
      </w:r>
      <w:r>
        <w:rPr>
          <w:color w:val="111111"/>
          <w:spacing w:val="-3"/>
        </w:rPr>
        <w:t> </w:t>
      </w:r>
      <w:r>
        <w:rPr>
          <w:color w:val="111111"/>
        </w:rPr>
        <w:t>in</w:t>
      </w:r>
      <w:r>
        <w:rPr>
          <w:color w:val="111111"/>
          <w:spacing w:val="-3"/>
        </w:rPr>
        <w:t> </w:t>
      </w:r>
      <w:r>
        <w:rPr>
          <w:color w:val="111111"/>
        </w:rPr>
        <w:t>the</w:t>
      </w:r>
      <w:r>
        <w:rPr>
          <w:color w:val="111111"/>
          <w:spacing w:val="-3"/>
        </w:rPr>
        <w:t> </w:t>
      </w:r>
      <w:r>
        <w:rPr>
          <w:color w:val="111111"/>
        </w:rPr>
        <w:t>opinion</w:t>
      </w:r>
      <w:r>
        <w:rPr>
          <w:color w:val="111111"/>
          <w:spacing w:val="-3"/>
        </w:rPr>
        <w:t> </w:t>
      </w:r>
      <w:r>
        <w:rPr>
          <w:color w:val="111111"/>
        </w:rPr>
        <w:t>of</w:t>
      </w:r>
      <w:r>
        <w:rPr>
          <w:color w:val="111111"/>
          <w:spacing w:val="-3"/>
        </w:rPr>
        <w:t> </w:t>
      </w:r>
      <w:r>
        <w:rPr>
          <w:color w:val="111111"/>
        </w:rPr>
        <w:t>the</w:t>
      </w:r>
      <w:r>
        <w:rPr>
          <w:color w:val="111111"/>
          <w:spacing w:val="-3"/>
        </w:rPr>
        <w:t> </w:t>
      </w:r>
      <w:r>
        <w:rPr>
          <w:color w:val="111111"/>
        </w:rPr>
        <w:t>investigator,</w:t>
      </w:r>
      <w:r>
        <w:rPr>
          <w:color w:val="111111"/>
          <w:spacing w:val="-3"/>
        </w:rPr>
        <w:t> </w:t>
      </w:r>
      <w:r>
        <w:rPr>
          <w:color w:val="111111"/>
        </w:rPr>
        <w:t>would</w:t>
      </w:r>
      <w:r>
        <w:rPr>
          <w:color w:val="111111"/>
          <w:spacing w:val="-3"/>
        </w:rPr>
        <w:t> </w:t>
      </w:r>
      <w:r>
        <w:rPr>
          <w:color w:val="111111"/>
        </w:rPr>
        <w:t>place</w:t>
      </w:r>
      <w:r>
        <w:rPr>
          <w:color w:val="111111"/>
          <w:spacing w:val="-3"/>
        </w:rPr>
        <w:t> </w:t>
      </w:r>
      <w:r>
        <w:rPr>
          <w:color w:val="111111"/>
        </w:rPr>
        <w:t>the</w:t>
      </w:r>
      <w:r>
        <w:rPr>
          <w:color w:val="111111"/>
          <w:spacing w:val="-3"/>
        </w:rPr>
        <w:t> </w:t>
      </w:r>
      <w:r>
        <w:rPr>
          <w:color w:val="111111"/>
        </w:rPr>
        <w:t>participant</w:t>
      </w:r>
      <w:r>
        <w:rPr>
          <w:color w:val="111111"/>
          <w:spacing w:val="-3"/>
        </w:rPr>
        <w:t> </w:t>
      </w:r>
      <w:r>
        <w:rPr>
          <w:color w:val="111111"/>
        </w:rPr>
        <w:t>at undue risk or interfere with study evaluations.</w:t>
      </w:r>
    </w:p>
    <w:p>
      <w:pPr>
        <w:pStyle w:val="BodyText"/>
        <w:spacing w:before="88"/>
      </w:pPr>
    </w:p>
    <w:p>
      <w:pPr>
        <w:pStyle w:val="Heading1"/>
        <w:numPr>
          <w:ilvl w:val="0"/>
          <w:numId w:val="2"/>
        </w:numPr>
        <w:tabs>
          <w:tab w:pos="390" w:val="left" w:leader="none"/>
        </w:tabs>
        <w:spacing w:line="240" w:lineRule="auto" w:before="0" w:after="0"/>
        <w:ind w:left="390" w:right="0" w:hanging="294"/>
        <w:jc w:val="left"/>
      </w:pPr>
      <w:r>
        <w:rPr>
          <w:color w:val="111111"/>
        </w:rPr>
        <w:t>Treatment</w:t>
      </w:r>
      <w:r>
        <w:rPr>
          <w:color w:val="111111"/>
          <w:spacing w:val="-15"/>
        </w:rPr>
        <w:t> </w:t>
      </w:r>
      <w:r>
        <w:rPr>
          <w:color w:val="111111"/>
        </w:rPr>
        <w:t>of</w:t>
      </w:r>
      <w:r>
        <w:rPr>
          <w:color w:val="111111"/>
          <w:spacing w:val="-14"/>
        </w:rPr>
        <w:t> </w:t>
      </w:r>
      <w:r>
        <w:rPr>
          <w:color w:val="111111"/>
          <w:spacing w:val="-2"/>
        </w:rPr>
        <w:t>Participants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781050</wp:posOffset>
                </wp:positionH>
                <wp:positionV relativeFrom="paragraph">
                  <wp:posOffset>73232</wp:posOffset>
                </wp:positionV>
                <wp:extent cx="6005830" cy="9525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66359pt;width:472.886678pt;height:.75pt;mso-position-horizontal-relative:page;mso-position-vertical-relative:paragraph;z-index:-15725056;mso-wrap-distance-left:0;mso-wrap-distance-right:0" id="docshape12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91" w:after="0"/>
        <w:ind w:left="470" w:right="0" w:hanging="374"/>
        <w:jc w:val="left"/>
      </w:pPr>
      <w:r>
        <w:rPr>
          <w:color w:val="111111"/>
        </w:rPr>
        <w:t>Study</w:t>
      </w:r>
      <w:r>
        <w:rPr>
          <w:color w:val="111111"/>
          <w:spacing w:val="-5"/>
        </w:rPr>
        <w:t> </w:t>
      </w:r>
      <w:r>
        <w:rPr>
          <w:color w:val="111111"/>
          <w:spacing w:val="-2"/>
        </w:rPr>
        <w:t>Treatment</w:t>
      </w:r>
    </w:p>
    <w:p>
      <w:pPr>
        <w:pStyle w:val="BodyText"/>
        <w:spacing w:line="300" w:lineRule="auto" w:before="232"/>
        <w:ind w:left="96" w:right="69"/>
        <w:jc w:val="both"/>
      </w:pPr>
      <w:r>
        <w:rPr>
          <w:color w:val="111111"/>
        </w:rPr>
        <w:t>Participants will receive CLN-201 10 mg tablets or matching placebo tablets orally once daily for 12 weeks.</w:t>
      </w:r>
    </w:p>
    <w:p>
      <w:pPr>
        <w:pStyle w:val="BodyText"/>
        <w:spacing w:before="0"/>
      </w:pP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0" w:after="0"/>
        <w:ind w:left="470" w:right="0" w:hanging="374"/>
        <w:jc w:val="left"/>
      </w:pPr>
      <w:r>
        <w:rPr>
          <w:color w:val="111111"/>
        </w:rPr>
        <w:t>Randomization</w:t>
      </w:r>
      <w:r>
        <w:rPr>
          <w:color w:val="111111"/>
          <w:spacing w:val="-1"/>
        </w:rPr>
        <w:t> </w:t>
      </w:r>
      <w:r>
        <w:rPr>
          <w:color w:val="111111"/>
        </w:rPr>
        <w:t>and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Blinding</w:t>
      </w:r>
    </w:p>
    <w:p>
      <w:pPr>
        <w:pStyle w:val="BodyText"/>
        <w:spacing w:line="300" w:lineRule="auto" w:before="232"/>
        <w:ind w:left="96" w:right="69"/>
        <w:jc w:val="both"/>
      </w:pPr>
      <w:r>
        <w:rPr>
          <w:color w:val="111111"/>
        </w:rPr>
        <w:t>Participants will be randomized in a 1:1 ratio using a centralized randomization schedule. Study treatment assignment will remain blinded to participants, investigators, study site personnel, </w:t>
      </w:r>
      <w:r>
        <w:rPr>
          <w:color w:val="111111"/>
        </w:rPr>
        <w:t>and sponsor personnel involved in study conduct, except as required for emergency unblinding.</w: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61" w:after="0"/>
        <w:ind w:left="470" w:right="0" w:hanging="374"/>
        <w:jc w:val="left"/>
      </w:pPr>
      <w:r>
        <w:rPr>
          <w:color w:val="111111"/>
        </w:rPr>
        <w:t>Dose</w:t>
      </w:r>
      <w:r>
        <w:rPr>
          <w:color w:val="111111"/>
          <w:spacing w:val="-1"/>
        </w:rPr>
        <w:t> </w:t>
      </w:r>
      <w:r>
        <w:rPr>
          <w:color w:val="111111"/>
        </w:rPr>
        <w:t>Modification</w:t>
      </w:r>
      <w:r>
        <w:rPr>
          <w:color w:val="111111"/>
          <w:spacing w:val="-1"/>
        </w:rPr>
        <w:t> </w:t>
      </w:r>
      <w:r>
        <w:rPr>
          <w:color w:val="111111"/>
        </w:rPr>
        <w:t>and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Discontinuation</w:t>
      </w:r>
    </w:p>
    <w:p>
      <w:pPr>
        <w:pStyle w:val="BodyText"/>
        <w:spacing w:line="307" w:lineRule="auto" w:before="231"/>
        <w:ind w:left="96" w:right="69"/>
        <w:jc w:val="both"/>
      </w:pPr>
      <w:r>
        <w:rPr>
          <w:color w:val="111111"/>
        </w:rPr>
        <w:t>Temporary</w:t>
      </w:r>
      <w:r>
        <w:rPr>
          <w:color w:val="111111"/>
          <w:spacing w:val="-2"/>
        </w:rPr>
        <w:t> </w:t>
      </w:r>
      <w:r>
        <w:rPr>
          <w:color w:val="111111"/>
        </w:rPr>
        <w:t>interruption</w:t>
      </w:r>
      <w:r>
        <w:rPr>
          <w:color w:val="111111"/>
          <w:spacing w:val="-2"/>
        </w:rPr>
        <w:t> </w:t>
      </w:r>
      <w:r>
        <w:rPr>
          <w:color w:val="111111"/>
        </w:rPr>
        <w:t>or</w:t>
      </w:r>
      <w:r>
        <w:rPr>
          <w:color w:val="111111"/>
          <w:spacing w:val="-2"/>
        </w:rPr>
        <w:t> </w:t>
      </w:r>
      <w:r>
        <w:rPr>
          <w:color w:val="111111"/>
        </w:rPr>
        <w:t>permanent</w:t>
      </w:r>
      <w:r>
        <w:rPr>
          <w:color w:val="111111"/>
          <w:spacing w:val="-2"/>
        </w:rPr>
        <w:t> </w:t>
      </w:r>
      <w:r>
        <w:rPr>
          <w:color w:val="111111"/>
        </w:rPr>
        <w:t>discontinuation</w:t>
      </w:r>
      <w:r>
        <w:rPr>
          <w:color w:val="111111"/>
          <w:spacing w:val="-2"/>
        </w:rPr>
        <w:t> </w:t>
      </w:r>
      <w:r>
        <w:rPr>
          <w:color w:val="111111"/>
        </w:rPr>
        <w:t>of</w:t>
      </w:r>
      <w:r>
        <w:rPr>
          <w:color w:val="111111"/>
          <w:spacing w:val="-2"/>
        </w:rPr>
        <w:t> </w:t>
      </w:r>
      <w:r>
        <w:rPr>
          <w:color w:val="111111"/>
        </w:rPr>
        <w:t>study</w:t>
      </w:r>
      <w:r>
        <w:rPr>
          <w:color w:val="111111"/>
          <w:spacing w:val="-2"/>
        </w:rPr>
        <w:t> </w:t>
      </w:r>
      <w:r>
        <w:rPr>
          <w:color w:val="111111"/>
        </w:rPr>
        <w:t>treatment</w:t>
      </w:r>
      <w:r>
        <w:rPr>
          <w:color w:val="111111"/>
          <w:spacing w:val="-2"/>
        </w:rPr>
        <w:t> </w:t>
      </w:r>
      <w:r>
        <w:rPr>
          <w:color w:val="111111"/>
        </w:rPr>
        <w:t>may</w:t>
      </w:r>
      <w:r>
        <w:rPr>
          <w:color w:val="111111"/>
          <w:spacing w:val="-2"/>
        </w:rPr>
        <w:t> </w:t>
      </w:r>
      <w:r>
        <w:rPr>
          <w:color w:val="111111"/>
        </w:rPr>
        <w:t>occur</w:t>
      </w:r>
      <w:r>
        <w:rPr>
          <w:color w:val="111111"/>
          <w:spacing w:val="-2"/>
        </w:rPr>
        <w:t> </w:t>
      </w:r>
      <w:r>
        <w:rPr>
          <w:color w:val="111111"/>
        </w:rPr>
        <w:t>in</w:t>
      </w:r>
      <w:r>
        <w:rPr>
          <w:color w:val="111111"/>
          <w:spacing w:val="-2"/>
        </w:rPr>
        <w:t> </w:t>
      </w:r>
      <w:r>
        <w:rPr>
          <w:color w:val="111111"/>
        </w:rPr>
        <w:t>the</w:t>
      </w:r>
      <w:r>
        <w:rPr>
          <w:color w:val="111111"/>
          <w:spacing w:val="-2"/>
        </w:rPr>
        <w:t> </w:t>
      </w:r>
      <w:r>
        <w:rPr>
          <w:color w:val="111111"/>
        </w:rPr>
        <w:t>event</w:t>
      </w:r>
      <w:r>
        <w:rPr>
          <w:color w:val="111111"/>
          <w:spacing w:val="-2"/>
        </w:rPr>
        <w:t> </w:t>
      </w:r>
      <w:r>
        <w:rPr>
          <w:color w:val="111111"/>
        </w:rPr>
        <w:t>of clinically significant adverse events, protocol-defined safety findings, pregnancy, withdrawal </w:t>
      </w:r>
      <w:r>
        <w:rPr>
          <w:color w:val="111111"/>
        </w:rPr>
        <w:t>of consent, or investigator decision.</w:t>
      </w:r>
    </w:p>
    <w:p>
      <w:pPr>
        <w:pStyle w:val="BodyText"/>
        <w:spacing w:before="78"/>
      </w:pPr>
    </w:p>
    <w:p>
      <w:pPr>
        <w:pStyle w:val="Heading1"/>
        <w:numPr>
          <w:ilvl w:val="0"/>
          <w:numId w:val="2"/>
        </w:numPr>
        <w:tabs>
          <w:tab w:pos="396" w:val="left" w:leader="none"/>
        </w:tabs>
        <w:spacing w:line="240" w:lineRule="auto" w:before="1" w:after="0"/>
        <w:ind w:left="396" w:right="0" w:hanging="300"/>
        <w:jc w:val="left"/>
      </w:pPr>
      <w:r>
        <w:rPr>
          <w:color w:val="111111"/>
        </w:rPr>
        <w:t>Study</w:t>
      </w:r>
      <w:r>
        <w:rPr>
          <w:color w:val="111111"/>
          <w:spacing w:val="-17"/>
        </w:rPr>
        <w:t> </w:t>
      </w:r>
      <w:r>
        <w:rPr>
          <w:color w:val="111111"/>
        </w:rPr>
        <w:t>Assessments and </w:t>
      </w:r>
      <w:r>
        <w:rPr>
          <w:color w:val="111111"/>
          <w:spacing w:val="-2"/>
        </w:rPr>
        <w:t>Procedures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781050</wp:posOffset>
                </wp:positionH>
                <wp:positionV relativeFrom="paragraph">
                  <wp:posOffset>72703</wp:posOffset>
                </wp:positionV>
                <wp:extent cx="6005830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24658pt;width:472.886678pt;height:.75pt;mso-position-horizontal-relative:page;mso-position-vertical-relative:paragraph;z-index:-15724544;mso-wrap-distance-left:0;mso-wrap-distance-right:0" id="docshape13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7"/>
        </w:rPr>
        <w:sectPr>
          <w:pgSz w:w="11900" w:h="16840"/>
          <w:pgMar w:header="284" w:footer="268" w:top="1160" w:bottom="460" w:left="1133" w:right="1133"/>
        </w:sectPr>
      </w:pP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79" w:after="0"/>
        <w:ind w:left="470" w:right="0" w:hanging="374"/>
        <w:jc w:val="left"/>
      </w:pPr>
      <w:r>
        <w:rPr>
          <w:color w:val="111111"/>
        </w:rPr>
        <w:t>Efficacy</w:t>
      </w:r>
      <w:r>
        <w:rPr>
          <w:color w:val="111111"/>
          <w:spacing w:val="-14"/>
        </w:rPr>
        <w:t> </w:t>
      </w:r>
      <w:r>
        <w:rPr>
          <w:color w:val="111111"/>
          <w:spacing w:val="-2"/>
        </w:rPr>
        <w:t>Assessments</w:t>
      </w:r>
    </w:p>
    <w:p>
      <w:pPr>
        <w:pStyle w:val="BodyText"/>
        <w:spacing w:line="300" w:lineRule="auto" w:before="232"/>
        <w:ind w:left="816" w:right="6481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Disease</w:t>
      </w:r>
      <w:r>
        <w:rPr>
          <w:color w:val="111111"/>
          <w:spacing w:val="-8"/>
        </w:rPr>
        <w:t> </w:t>
      </w:r>
      <w:r>
        <w:rPr>
          <w:color w:val="111111"/>
        </w:rPr>
        <w:t>activity</w:t>
      </w:r>
      <w:r>
        <w:rPr>
          <w:color w:val="111111"/>
          <w:spacing w:val="-8"/>
        </w:rPr>
        <w:t> </w:t>
      </w:r>
      <w:r>
        <w:rPr>
          <w:color w:val="111111"/>
        </w:rPr>
        <w:t>score </w:t>
      </w:r>
      <w:r>
        <w:rPr>
          <w:color w:val="111111"/>
          <w:position w:val="3"/>
        </w:rPr>
        <w:drawing>
          <wp:inline distT="0" distB="0" distL="0" distR="0">
            <wp:extent cx="47625" cy="47623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Symptom</w:t>
      </w:r>
      <w:r>
        <w:rPr>
          <w:color w:val="111111"/>
          <w:spacing w:val="-1"/>
        </w:rPr>
        <w:t> </w:t>
      </w:r>
      <w:r>
        <w:rPr>
          <w:color w:val="111111"/>
        </w:rPr>
        <w:t>assessment</w:t>
      </w:r>
    </w:p>
    <w:p>
      <w:pPr>
        <w:pStyle w:val="BodyText"/>
        <w:spacing w:before="15"/>
        <w:ind w:left="816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Participant-reported quality-of-life measures</w:t>
      </w:r>
    </w:p>
    <w:p>
      <w:pPr>
        <w:pStyle w:val="BodyText"/>
        <w:ind w:left="816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Inflammatory biomarkers including C-reactive protein</w:t>
      </w:r>
    </w:p>
    <w:p>
      <w:pPr>
        <w:pStyle w:val="BodyText"/>
        <w:spacing w:before="53"/>
      </w:pP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1" w:after="0"/>
        <w:ind w:left="470" w:right="0" w:hanging="374"/>
        <w:jc w:val="left"/>
      </w:pPr>
      <w:r>
        <w:rPr>
          <w:color w:val="111111"/>
        </w:rPr>
        <w:t>Safety</w:t>
      </w:r>
      <w:r>
        <w:rPr>
          <w:color w:val="111111"/>
          <w:spacing w:val="-14"/>
        </w:rPr>
        <w:t> </w:t>
      </w:r>
      <w:r>
        <w:rPr>
          <w:color w:val="111111"/>
          <w:spacing w:val="-2"/>
        </w:rPr>
        <w:t>Assessments</w:t>
      </w:r>
    </w:p>
    <w:p>
      <w:pPr>
        <w:pStyle w:val="BodyText"/>
        <w:spacing w:line="300" w:lineRule="auto" w:before="232"/>
        <w:ind w:left="816" w:right="3142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Monitoring</w:t>
      </w:r>
      <w:r>
        <w:rPr>
          <w:color w:val="111111"/>
          <w:spacing w:val="-4"/>
        </w:rPr>
        <w:t> </w:t>
      </w:r>
      <w:r>
        <w:rPr>
          <w:color w:val="111111"/>
        </w:rPr>
        <w:t>of</w:t>
      </w:r>
      <w:r>
        <w:rPr>
          <w:color w:val="111111"/>
          <w:spacing w:val="-4"/>
        </w:rPr>
        <w:t> </w:t>
      </w:r>
      <w:r>
        <w:rPr>
          <w:color w:val="111111"/>
        </w:rPr>
        <w:t>adverse</w:t>
      </w:r>
      <w:r>
        <w:rPr>
          <w:color w:val="111111"/>
          <w:spacing w:val="-4"/>
        </w:rPr>
        <w:t> </w:t>
      </w:r>
      <w:r>
        <w:rPr>
          <w:color w:val="111111"/>
        </w:rPr>
        <w:t>events</w:t>
      </w:r>
      <w:r>
        <w:rPr>
          <w:color w:val="111111"/>
          <w:spacing w:val="-4"/>
        </w:rPr>
        <w:t> </w:t>
      </w:r>
      <w:r>
        <w:rPr>
          <w:color w:val="111111"/>
        </w:rPr>
        <w:t>and</w:t>
      </w:r>
      <w:r>
        <w:rPr>
          <w:color w:val="111111"/>
          <w:spacing w:val="-4"/>
        </w:rPr>
        <w:t> </w:t>
      </w:r>
      <w:r>
        <w:rPr>
          <w:color w:val="111111"/>
        </w:rPr>
        <w:t>serious</w:t>
      </w:r>
      <w:r>
        <w:rPr>
          <w:color w:val="111111"/>
          <w:spacing w:val="-4"/>
        </w:rPr>
        <w:t> </w:t>
      </w:r>
      <w:r>
        <w:rPr>
          <w:color w:val="111111"/>
        </w:rPr>
        <w:t>adverse</w:t>
      </w:r>
      <w:r>
        <w:rPr>
          <w:color w:val="111111"/>
          <w:spacing w:val="-4"/>
        </w:rPr>
        <w:t> </w:t>
      </w:r>
      <w:r>
        <w:rPr>
          <w:color w:val="111111"/>
        </w:rPr>
        <w:t>events </w:t>
      </w:r>
      <w:r>
        <w:rPr>
          <w:color w:val="111111"/>
          <w:position w:val="3"/>
        </w:rPr>
        <w:drawing>
          <wp:inline distT="0" distB="0" distL="0" distR="0">
            <wp:extent cx="47625" cy="47623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position w:val="3"/>
        </w:rPr>
      </w:r>
      <w:r>
        <w:rPr>
          <w:color w:val="111111"/>
          <w:spacing w:val="80"/>
        </w:rPr>
        <w:t> </w:t>
      </w:r>
      <w:r>
        <w:rPr>
          <w:color w:val="111111"/>
        </w:rPr>
        <w:t>Clinical laboratory evaluations</w:t>
      </w:r>
    </w:p>
    <w:p>
      <w:pPr>
        <w:pStyle w:val="BodyText"/>
        <w:spacing w:before="0"/>
        <w:ind w:left="816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Vital signs</w:t>
      </w:r>
    </w:p>
    <w:p>
      <w:pPr>
        <w:pStyle w:val="BodyText"/>
        <w:spacing w:before="84"/>
        <w:ind w:left="816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Physical examination</w:t>
      </w:r>
    </w:p>
    <w:p>
      <w:pPr>
        <w:pStyle w:val="BodyText"/>
        <w:ind w:left="816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Concomitant medication review</w:t>
      </w:r>
    </w:p>
    <w:p>
      <w:pPr>
        <w:pStyle w:val="BodyText"/>
        <w:spacing w:before="53"/>
      </w:pPr>
    </w:p>
    <w:p>
      <w:pPr>
        <w:pStyle w:val="ListParagraph"/>
        <w:numPr>
          <w:ilvl w:val="1"/>
          <w:numId w:val="2"/>
        </w:numPr>
        <w:tabs>
          <w:tab w:pos="470" w:val="left" w:leader="none"/>
        </w:tabs>
        <w:spacing w:line="240" w:lineRule="auto" w:before="0" w:after="0"/>
        <w:ind w:left="470" w:right="0" w:hanging="374"/>
        <w:jc w:val="left"/>
        <w:rPr>
          <w:b/>
          <w:sz w:val="25"/>
        </w:rPr>
      </w:pPr>
      <w:r>
        <w:rPr>
          <w:b/>
          <w:color w:val="111111"/>
          <w:sz w:val="25"/>
        </w:rPr>
        <w:t>Schedule</w:t>
      </w:r>
      <w:r>
        <w:rPr>
          <w:b/>
          <w:color w:val="111111"/>
          <w:spacing w:val="-1"/>
          <w:sz w:val="25"/>
        </w:rPr>
        <w:t> </w:t>
      </w:r>
      <w:r>
        <w:rPr>
          <w:b/>
          <w:color w:val="111111"/>
          <w:sz w:val="25"/>
        </w:rPr>
        <w:t>of</w:t>
      </w:r>
      <w:r>
        <w:rPr>
          <w:b/>
          <w:color w:val="111111"/>
          <w:spacing w:val="-14"/>
          <w:sz w:val="25"/>
        </w:rPr>
        <w:t> </w:t>
      </w:r>
      <w:r>
        <w:rPr>
          <w:b/>
          <w:color w:val="111111"/>
          <w:spacing w:val="-2"/>
          <w:sz w:val="25"/>
        </w:rPr>
        <w:t>Activities</w:t>
      </w:r>
    </w:p>
    <w:p>
      <w:pPr>
        <w:pStyle w:val="BodyText"/>
        <w:spacing w:before="6"/>
        <w:rPr>
          <w:b/>
          <w:sz w:val="17"/>
        </w:rPr>
      </w:pPr>
    </w:p>
    <w:tbl>
      <w:tblPr>
        <w:tblW w:w="0" w:type="auto"/>
        <w:jc w:val="left"/>
        <w:tblInd w:w="111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5"/>
        <w:gridCol w:w="1260"/>
        <w:gridCol w:w="1110"/>
        <w:gridCol w:w="930"/>
        <w:gridCol w:w="930"/>
        <w:gridCol w:w="930"/>
        <w:gridCol w:w="990"/>
        <w:gridCol w:w="1181"/>
      </w:tblGrid>
      <w:tr>
        <w:trPr>
          <w:trHeight w:val="944" w:hRule="atLeast"/>
        </w:trPr>
        <w:tc>
          <w:tcPr>
            <w:tcW w:w="2115" w:type="dxa"/>
          </w:tcPr>
          <w:p>
            <w:pPr>
              <w:pStyle w:val="TableParagraph"/>
              <w:ind w:left="127"/>
              <w:rPr>
                <w:b/>
                <w:sz w:val="24"/>
              </w:rPr>
            </w:pPr>
            <w:r>
              <w:rPr>
                <w:b/>
                <w:color w:val="111111"/>
                <w:spacing w:val="-2"/>
                <w:sz w:val="24"/>
              </w:rPr>
              <w:t>Assessment</w:t>
            </w:r>
          </w:p>
        </w:tc>
        <w:tc>
          <w:tcPr>
            <w:tcW w:w="1260" w:type="dxa"/>
          </w:tcPr>
          <w:p>
            <w:pPr>
              <w:pStyle w:val="TableParagraph"/>
              <w:ind w:left="120"/>
              <w:rPr>
                <w:b/>
                <w:sz w:val="24"/>
              </w:rPr>
            </w:pPr>
            <w:r>
              <w:rPr>
                <w:b/>
                <w:color w:val="111111"/>
                <w:spacing w:val="-2"/>
                <w:sz w:val="24"/>
              </w:rPr>
              <w:t>Screening</w:t>
            </w:r>
          </w:p>
        </w:tc>
        <w:tc>
          <w:tcPr>
            <w:tcW w:w="1110" w:type="dxa"/>
          </w:tcPr>
          <w:p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color w:val="111111"/>
                <w:spacing w:val="-2"/>
                <w:sz w:val="24"/>
              </w:rPr>
              <w:t>Baseline</w:t>
            </w:r>
          </w:p>
        </w:tc>
        <w:tc>
          <w:tcPr>
            <w:tcW w:w="930" w:type="dxa"/>
          </w:tcPr>
          <w:p>
            <w:pPr>
              <w:pStyle w:val="TableParagraph"/>
              <w:spacing w:line="300" w:lineRule="auto"/>
              <w:ind w:left="122" w:right="210"/>
              <w:rPr>
                <w:b/>
                <w:sz w:val="24"/>
              </w:rPr>
            </w:pPr>
            <w:r>
              <w:rPr>
                <w:b/>
                <w:color w:val="111111"/>
                <w:spacing w:val="-6"/>
                <w:sz w:val="24"/>
              </w:rPr>
              <w:t>Week </w:t>
            </w:r>
            <w:r>
              <w:rPr>
                <w:b/>
                <w:color w:val="111111"/>
                <w:spacing w:val="-10"/>
                <w:sz w:val="24"/>
              </w:rPr>
              <w:t>2</w:t>
            </w:r>
          </w:p>
        </w:tc>
        <w:tc>
          <w:tcPr>
            <w:tcW w:w="930" w:type="dxa"/>
          </w:tcPr>
          <w:p>
            <w:pPr>
              <w:pStyle w:val="TableParagraph"/>
              <w:spacing w:line="300" w:lineRule="auto"/>
              <w:ind w:left="123" w:right="209"/>
              <w:rPr>
                <w:b/>
                <w:sz w:val="24"/>
              </w:rPr>
            </w:pPr>
            <w:r>
              <w:rPr>
                <w:b/>
                <w:color w:val="111111"/>
                <w:spacing w:val="-6"/>
                <w:sz w:val="24"/>
              </w:rPr>
              <w:t>Week </w:t>
            </w:r>
            <w:r>
              <w:rPr>
                <w:b/>
                <w:color w:val="111111"/>
                <w:spacing w:val="-10"/>
                <w:sz w:val="24"/>
              </w:rPr>
              <w:t>4</w:t>
            </w:r>
          </w:p>
        </w:tc>
        <w:tc>
          <w:tcPr>
            <w:tcW w:w="930" w:type="dxa"/>
          </w:tcPr>
          <w:p>
            <w:pPr>
              <w:pStyle w:val="TableParagraph"/>
              <w:spacing w:line="300" w:lineRule="auto"/>
              <w:ind w:left="123" w:right="209"/>
              <w:rPr>
                <w:b/>
                <w:sz w:val="24"/>
              </w:rPr>
            </w:pPr>
            <w:r>
              <w:rPr>
                <w:b/>
                <w:color w:val="111111"/>
                <w:spacing w:val="-6"/>
                <w:sz w:val="24"/>
              </w:rPr>
              <w:t>Week </w:t>
            </w:r>
            <w:r>
              <w:rPr>
                <w:b/>
                <w:color w:val="111111"/>
                <w:spacing w:val="-10"/>
                <w:sz w:val="24"/>
              </w:rPr>
              <w:t>8</w:t>
            </w:r>
          </w:p>
        </w:tc>
        <w:tc>
          <w:tcPr>
            <w:tcW w:w="990" w:type="dxa"/>
          </w:tcPr>
          <w:p>
            <w:pPr>
              <w:pStyle w:val="TableParagraph"/>
              <w:spacing w:line="300" w:lineRule="auto"/>
              <w:ind w:left="123" w:right="269"/>
              <w:rPr>
                <w:b/>
                <w:sz w:val="24"/>
              </w:rPr>
            </w:pPr>
            <w:r>
              <w:rPr>
                <w:b/>
                <w:color w:val="111111"/>
                <w:spacing w:val="-6"/>
                <w:sz w:val="24"/>
              </w:rPr>
              <w:t>Week 12</w:t>
            </w:r>
          </w:p>
        </w:tc>
        <w:tc>
          <w:tcPr>
            <w:tcW w:w="118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line="300" w:lineRule="auto"/>
              <w:ind w:left="132" w:right="257"/>
              <w:rPr>
                <w:b/>
                <w:sz w:val="24"/>
              </w:rPr>
            </w:pPr>
            <w:r>
              <w:rPr>
                <w:b/>
                <w:color w:val="111111"/>
                <w:spacing w:val="-2"/>
                <w:sz w:val="24"/>
              </w:rPr>
              <w:t>Follow- </w:t>
            </w:r>
            <w:r>
              <w:rPr>
                <w:b/>
                <w:color w:val="111111"/>
                <w:spacing w:val="-6"/>
                <w:sz w:val="24"/>
              </w:rPr>
              <w:t>up</w:t>
            </w:r>
          </w:p>
        </w:tc>
      </w:tr>
      <w:tr>
        <w:trPr>
          <w:trHeight w:val="584" w:hRule="atLeast"/>
        </w:trPr>
        <w:tc>
          <w:tcPr>
            <w:tcW w:w="211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z w:val="24"/>
              </w:rPr>
              <w:t>Informed </w:t>
            </w:r>
            <w:r>
              <w:rPr>
                <w:color w:val="111111"/>
                <w:spacing w:val="-2"/>
                <w:sz w:val="24"/>
              </w:rPr>
              <w:t>consent</w:t>
            </w:r>
          </w:p>
        </w:tc>
        <w:tc>
          <w:tcPr>
            <w:tcW w:w="126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111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18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84" w:hRule="atLeast"/>
        </w:trPr>
        <w:tc>
          <w:tcPr>
            <w:tcW w:w="211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z w:val="24"/>
              </w:rPr>
              <w:t>Eligibility </w:t>
            </w:r>
            <w:r>
              <w:rPr>
                <w:color w:val="111111"/>
                <w:spacing w:val="-2"/>
                <w:sz w:val="24"/>
              </w:rPr>
              <w:t>review</w:t>
            </w:r>
          </w:p>
        </w:tc>
        <w:tc>
          <w:tcPr>
            <w:tcW w:w="126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1110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18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84" w:hRule="atLeast"/>
        </w:trPr>
        <w:tc>
          <w:tcPr>
            <w:tcW w:w="211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pacing w:val="-2"/>
                <w:sz w:val="24"/>
              </w:rPr>
              <w:t>Randomization</w:t>
            </w:r>
          </w:p>
        </w:tc>
        <w:tc>
          <w:tcPr>
            <w:tcW w:w="126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110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3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18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944" w:hRule="atLeast"/>
        </w:trPr>
        <w:tc>
          <w:tcPr>
            <w:tcW w:w="2115" w:type="dxa"/>
          </w:tcPr>
          <w:p>
            <w:pPr>
              <w:pStyle w:val="TableParagraph"/>
              <w:spacing w:line="300" w:lineRule="auto"/>
              <w:ind w:left="127" w:right="907"/>
              <w:rPr>
                <w:sz w:val="24"/>
              </w:rPr>
            </w:pPr>
            <w:r>
              <w:rPr>
                <w:color w:val="111111"/>
                <w:sz w:val="24"/>
              </w:rPr>
              <w:t>Study</w:t>
            </w:r>
            <w:r>
              <w:rPr>
                <w:color w:val="111111"/>
                <w:spacing w:val="-15"/>
                <w:sz w:val="24"/>
              </w:rPr>
              <w:t> </w:t>
            </w:r>
            <w:r>
              <w:rPr>
                <w:color w:val="111111"/>
                <w:sz w:val="24"/>
              </w:rPr>
              <w:t>drug </w:t>
            </w:r>
            <w:r>
              <w:rPr>
                <w:color w:val="111111"/>
                <w:spacing w:val="-2"/>
                <w:sz w:val="24"/>
              </w:rPr>
              <w:t>dispensing</w:t>
            </w:r>
          </w:p>
        </w:tc>
        <w:tc>
          <w:tcPr>
            <w:tcW w:w="126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110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9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118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929" w:hRule="atLeast"/>
        </w:trPr>
        <w:tc>
          <w:tcPr>
            <w:tcW w:w="2115" w:type="dxa"/>
          </w:tcPr>
          <w:p>
            <w:pPr>
              <w:pStyle w:val="TableParagraph"/>
              <w:spacing w:line="300" w:lineRule="auto"/>
              <w:ind w:left="127" w:right="441"/>
              <w:rPr>
                <w:sz w:val="24"/>
              </w:rPr>
            </w:pPr>
            <w:r>
              <w:rPr>
                <w:color w:val="111111"/>
                <w:sz w:val="24"/>
              </w:rPr>
              <w:t>Disease</w:t>
            </w:r>
            <w:r>
              <w:rPr>
                <w:color w:val="111111"/>
                <w:spacing w:val="-15"/>
                <w:sz w:val="24"/>
              </w:rPr>
              <w:t> </w:t>
            </w:r>
            <w:r>
              <w:rPr>
                <w:color w:val="111111"/>
                <w:sz w:val="24"/>
              </w:rPr>
              <w:t>activity </w:t>
            </w:r>
            <w:r>
              <w:rPr>
                <w:color w:val="111111"/>
                <w:spacing w:val="-2"/>
                <w:sz w:val="24"/>
              </w:rPr>
              <w:t>score</w:t>
            </w:r>
          </w:p>
        </w:tc>
        <w:tc>
          <w:tcPr>
            <w:tcW w:w="126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110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9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1181" w:type="dxa"/>
            <w:tcBorders>
              <w:right w:val="single" w:sz="4" w:space="0" w:color="777777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</w:tr>
      <w:tr>
        <w:trPr>
          <w:trHeight w:val="584" w:hRule="atLeast"/>
        </w:trPr>
        <w:tc>
          <w:tcPr>
            <w:tcW w:w="211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z w:val="24"/>
              </w:rPr>
              <w:t>Laboratory </w:t>
            </w:r>
            <w:r>
              <w:rPr>
                <w:color w:val="111111"/>
                <w:spacing w:val="-2"/>
                <w:sz w:val="24"/>
              </w:rPr>
              <w:t>tests</w:t>
            </w:r>
          </w:p>
        </w:tc>
        <w:tc>
          <w:tcPr>
            <w:tcW w:w="126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1110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9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118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</w:tr>
      <w:tr>
        <w:trPr>
          <w:trHeight w:val="929" w:hRule="atLeast"/>
        </w:trPr>
        <w:tc>
          <w:tcPr>
            <w:tcW w:w="2115" w:type="dxa"/>
          </w:tcPr>
          <w:p>
            <w:pPr>
              <w:pStyle w:val="TableParagraph"/>
              <w:spacing w:line="300" w:lineRule="auto"/>
              <w:ind w:left="127" w:right="588"/>
              <w:rPr>
                <w:sz w:val="24"/>
              </w:rPr>
            </w:pPr>
            <w:r>
              <w:rPr>
                <w:color w:val="111111"/>
                <w:sz w:val="24"/>
              </w:rPr>
              <w:t>Adverse</w:t>
            </w:r>
            <w:r>
              <w:rPr>
                <w:color w:val="111111"/>
                <w:spacing w:val="-15"/>
                <w:sz w:val="24"/>
              </w:rPr>
              <w:t> </w:t>
            </w:r>
            <w:r>
              <w:rPr>
                <w:color w:val="111111"/>
                <w:sz w:val="24"/>
              </w:rPr>
              <w:t>event </w:t>
            </w:r>
            <w:r>
              <w:rPr>
                <w:color w:val="111111"/>
                <w:spacing w:val="-2"/>
                <w:sz w:val="24"/>
              </w:rPr>
              <w:t>review</w:t>
            </w:r>
          </w:p>
        </w:tc>
        <w:tc>
          <w:tcPr>
            <w:tcW w:w="1260" w:type="dxa"/>
          </w:tcPr>
          <w:p>
            <w:pPr>
              <w:pStyle w:val="TableParagraph"/>
              <w:spacing w:before="0"/>
              <w:rPr>
                <w:sz w:val="22"/>
              </w:rPr>
            </w:pPr>
          </w:p>
        </w:tc>
        <w:tc>
          <w:tcPr>
            <w:tcW w:w="1110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9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118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</w:tr>
      <w:tr>
        <w:trPr>
          <w:trHeight w:val="599" w:hRule="atLeast"/>
        </w:trPr>
        <w:tc>
          <w:tcPr>
            <w:tcW w:w="2115" w:type="dxa"/>
          </w:tcPr>
          <w:p>
            <w:pPr>
              <w:pStyle w:val="TableParagraph"/>
              <w:ind w:left="127"/>
              <w:rPr>
                <w:sz w:val="24"/>
              </w:rPr>
            </w:pPr>
            <w:r>
              <w:rPr>
                <w:color w:val="111111"/>
                <w:sz w:val="24"/>
              </w:rPr>
              <w:t>Vital</w:t>
            </w:r>
            <w:r>
              <w:rPr>
                <w:color w:val="111111"/>
                <w:spacing w:val="-15"/>
                <w:sz w:val="24"/>
              </w:rPr>
              <w:t> </w:t>
            </w:r>
            <w:r>
              <w:rPr>
                <w:color w:val="111111"/>
                <w:spacing w:val="-2"/>
                <w:sz w:val="24"/>
              </w:rPr>
              <w:t>signs</w:t>
            </w:r>
          </w:p>
        </w:tc>
        <w:tc>
          <w:tcPr>
            <w:tcW w:w="126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1110" w:type="dxa"/>
          </w:tcPr>
          <w:p>
            <w:pPr>
              <w:pStyle w:val="TableParagraph"/>
              <w:ind w:left="124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3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99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  <w:tc>
          <w:tcPr>
            <w:tcW w:w="1181" w:type="dxa"/>
            <w:tcBorders>
              <w:right w:val="single" w:sz="4" w:space="0" w:color="777777"/>
            </w:tcBorders>
          </w:tcPr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color w:val="111111"/>
                <w:spacing w:val="-10"/>
                <w:sz w:val="24"/>
              </w:rPr>
              <w:t>X</w:t>
            </w:r>
          </w:p>
        </w:tc>
      </w:tr>
    </w:tbl>
    <w:p>
      <w:pPr>
        <w:pStyle w:val="BodyText"/>
        <w:spacing w:before="116"/>
        <w:rPr>
          <w:b/>
          <w:sz w:val="25"/>
        </w:rPr>
      </w:pPr>
    </w:p>
    <w:p>
      <w:pPr>
        <w:pStyle w:val="Heading1"/>
        <w:numPr>
          <w:ilvl w:val="0"/>
          <w:numId w:val="2"/>
        </w:numPr>
        <w:tabs>
          <w:tab w:pos="379" w:val="left" w:leader="none"/>
        </w:tabs>
        <w:spacing w:line="240" w:lineRule="auto" w:before="0" w:after="0"/>
        <w:ind w:left="379" w:right="0" w:hanging="283"/>
        <w:jc w:val="left"/>
      </w:pPr>
      <w:r>
        <w:rPr>
          <w:color w:val="111111"/>
        </w:rPr>
        <w:t>Adverse Event </w:t>
      </w:r>
      <w:r>
        <w:rPr>
          <w:color w:val="111111"/>
          <w:spacing w:val="-2"/>
        </w:rPr>
        <w:t>Reporting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781050</wp:posOffset>
                </wp:positionH>
                <wp:positionV relativeFrom="paragraph">
                  <wp:posOffset>73374</wp:posOffset>
                </wp:positionV>
                <wp:extent cx="6005830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77493pt;width:472.886678pt;height:.75pt;mso-position-horizontal-relative:page;mso-position-vertical-relative:paragraph;z-index:-15724032;mso-wrap-distance-left:0;mso-wrap-distance-right:0" id="docshape14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181"/>
        <w:ind w:left="96" w:right="69"/>
        <w:jc w:val="both"/>
      </w:pPr>
      <w:r>
        <w:rPr>
          <w:color w:val="111111"/>
        </w:rPr>
        <w:t>All adverse events occurring after informed consent and through the follow-up period will be collected and assessed by the investigator. Serious adverse events will be reported according to protocol-defined timelines and applicable regulations.</w:t>
      </w:r>
    </w:p>
    <w:p>
      <w:pPr>
        <w:pStyle w:val="BodyText"/>
        <w:spacing w:after="0" w:line="300" w:lineRule="auto"/>
        <w:jc w:val="both"/>
        <w:sectPr>
          <w:pgSz w:w="11900" w:h="16840"/>
          <w:pgMar w:header="284" w:footer="268" w:top="1160" w:bottom="460" w:left="1133" w:right="1133"/>
        </w:sectPr>
      </w:pPr>
    </w:p>
    <w:p>
      <w:pPr>
        <w:pStyle w:val="Heading1"/>
        <w:numPr>
          <w:ilvl w:val="0"/>
          <w:numId w:val="2"/>
        </w:numPr>
        <w:tabs>
          <w:tab w:pos="396" w:val="left" w:leader="none"/>
        </w:tabs>
        <w:spacing w:line="240" w:lineRule="auto" w:before="92" w:after="0"/>
        <w:ind w:left="396" w:right="0" w:hanging="300"/>
        <w:jc w:val="left"/>
      </w:pPr>
      <w:r>
        <w:rPr>
          <w:color w:val="111111"/>
          <w:spacing w:val="-2"/>
        </w:rPr>
        <w:t>Statistics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781050</wp:posOffset>
                </wp:positionH>
                <wp:positionV relativeFrom="paragraph">
                  <wp:posOffset>73478</wp:posOffset>
                </wp:positionV>
                <wp:extent cx="6005830" cy="9525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85704pt;width:472.886678pt;height:.75pt;mso-position-horizontal-relative:page;mso-position-vertical-relative:paragraph;z-index:-15723520;mso-wrap-distance-left:0;mso-wrap-distance-right:0" id="docshape15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91" w:after="0"/>
        <w:ind w:left="470" w:right="0" w:hanging="374"/>
        <w:jc w:val="left"/>
      </w:pPr>
      <w:r>
        <w:rPr>
          <w:color w:val="111111"/>
        </w:rPr>
        <w:t>Sample</w:t>
      </w:r>
      <w:r>
        <w:rPr>
          <w:color w:val="111111"/>
          <w:spacing w:val="-3"/>
        </w:rPr>
        <w:t> </w:t>
      </w:r>
      <w:r>
        <w:rPr>
          <w:color w:val="111111"/>
        </w:rPr>
        <w:t>Size</w:t>
      </w:r>
      <w:r>
        <w:rPr>
          <w:color w:val="111111"/>
          <w:spacing w:val="-1"/>
        </w:rPr>
        <w:t> </w:t>
      </w:r>
      <w:r>
        <w:rPr>
          <w:color w:val="111111"/>
          <w:spacing w:val="-2"/>
        </w:rPr>
        <w:t>Determination</w:t>
      </w:r>
    </w:p>
    <w:p>
      <w:pPr>
        <w:pStyle w:val="BodyText"/>
        <w:spacing w:line="300" w:lineRule="auto" w:before="232"/>
        <w:ind w:left="96" w:right="69"/>
        <w:jc w:val="both"/>
      </w:pPr>
      <w:r>
        <w:rPr>
          <w:color w:val="111111"/>
        </w:rPr>
        <w:t>A sample size of approximately 120 randomized participants is planned to provide </w:t>
      </w:r>
      <w:r>
        <w:rPr>
          <w:color w:val="111111"/>
        </w:rPr>
        <w:t>adequate precision and power for evaluation of the primary endpoint.</w:t>
      </w:r>
    </w:p>
    <w:p>
      <w:pPr>
        <w:pStyle w:val="BodyText"/>
        <w:spacing w:before="0"/>
      </w:pPr>
    </w:p>
    <w:p>
      <w:pPr>
        <w:pStyle w:val="Heading2"/>
        <w:numPr>
          <w:ilvl w:val="1"/>
          <w:numId w:val="2"/>
        </w:numPr>
        <w:tabs>
          <w:tab w:pos="457" w:val="left" w:leader="none"/>
        </w:tabs>
        <w:spacing w:line="240" w:lineRule="auto" w:before="0" w:after="0"/>
        <w:ind w:left="457" w:right="0" w:hanging="361"/>
        <w:jc w:val="left"/>
      </w:pPr>
      <w:r>
        <w:rPr>
          <w:color w:val="111111"/>
        </w:rPr>
        <w:t>Analysis</w:t>
      </w:r>
      <w:r>
        <w:rPr>
          <w:color w:val="111111"/>
          <w:spacing w:val="-1"/>
        </w:rPr>
        <w:t> </w:t>
      </w:r>
      <w:r>
        <w:rPr>
          <w:color w:val="111111"/>
          <w:spacing w:val="-4"/>
        </w:rPr>
        <w:t>Sets</w:t>
      </w:r>
    </w:p>
    <w:p>
      <w:pPr>
        <w:spacing w:before="232"/>
        <w:ind w:left="816" w:right="0" w:firstLine="0"/>
        <w:jc w:val="left"/>
        <w:rPr>
          <w:sz w:val="24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color w:val="111111"/>
          <w:sz w:val="24"/>
        </w:rPr>
        <w:t>Intent-to-Treat Set: </w:t>
      </w:r>
      <w:r>
        <w:rPr>
          <w:color w:val="111111"/>
          <w:sz w:val="24"/>
        </w:rPr>
        <w:t>all randomized participants</w:t>
      </w:r>
    </w:p>
    <w:p>
      <w:pPr>
        <w:pStyle w:val="BodyText"/>
        <w:ind w:left="816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b/>
          <w:color w:val="111111"/>
        </w:rPr>
        <w:t>Safety Set: </w:t>
      </w:r>
      <w:r>
        <w:rPr>
          <w:color w:val="111111"/>
        </w:rPr>
        <w:t>all participants who receive at least one dose of study treatment</w:t>
      </w:r>
    </w:p>
    <w:p>
      <w:pPr>
        <w:pStyle w:val="BodyText"/>
        <w:spacing w:line="300" w:lineRule="auto"/>
        <w:ind w:left="1056" w:right="329" w:hanging="240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b/>
          <w:color w:val="111111"/>
        </w:rPr>
        <w:t>Per-Protocol</w:t>
      </w:r>
      <w:r>
        <w:rPr>
          <w:b/>
          <w:color w:val="111111"/>
          <w:spacing w:val="-6"/>
        </w:rPr>
        <w:t> </w:t>
      </w:r>
      <w:r>
        <w:rPr>
          <w:b/>
          <w:color w:val="111111"/>
        </w:rPr>
        <w:t>Set:</w:t>
      </w:r>
      <w:r>
        <w:rPr>
          <w:b/>
          <w:color w:val="111111"/>
          <w:spacing w:val="-6"/>
        </w:rPr>
        <w:t> </w:t>
      </w:r>
      <w:r>
        <w:rPr>
          <w:color w:val="111111"/>
        </w:rPr>
        <w:t>participants</w:t>
      </w:r>
      <w:r>
        <w:rPr>
          <w:color w:val="111111"/>
          <w:spacing w:val="-6"/>
        </w:rPr>
        <w:t> </w:t>
      </w:r>
      <w:r>
        <w:rPr>
          <w:color w:val="111111"/>
        </w:rPr>
        <w:t>without</w:t>
      </w:r>
      <w:r>
        <w:rPr>
          <w:color w:val="111111"/>
          <w:spacing w:val="-6"/>
        </w:rPr>
        <w:t> </w:t>
      </w:r>
      <w:r>
        <w:rPr>
          <w:color w:val="111111"/>
        </w:rPr>
        <w:t>major</w:t>
      </w:r>
      <w:r>
        <w:rPr>
          <w:color w:val="111111"/>
          <w:spacing w:val="-6"/>
        </w:rPr>
        <w:t> </w:t>
      </w:r>
      <w:r>
        <w:rPr>
          <w:color w:val="111111"/>
        </w:rPr>
        <w:t>protocol</w:t>
      </w:r>
      <w:r>
        <w:rPr>
          <w:color w:val="111111"/>
          <w:spacing w:val="-6"/>
        </w:rPr>
        <w:t> </w:t>
      </w:r>
      <w:r>
        <w:rPr>
          <w:color w:val="111111"/>
        </w:rPr>
        <w:t>deviations</w:t>
      </w:r>
      <w:r>
        <w:rPr>
          <w:color w:val="111111"/>
          <w:spacing w:val="-6"/>
        </w:rPr>
        <w:t> </w:t>
      </w:r>
      <w:r>
        <w:rPr>
          <w:color w:val="111111"/>
        </w:rPr>
        <w:t>affecting</w:t>
      </w:r>
      <w:r>
        <w:rPr>
          <w:color w:val="111111"/>
          <w:spacing w:val="-6"/>
        </w:rPr>
        <w:t> </w:t>
      </w:r>
      <w:r>
        <w:rPr>
          <w:color w:val="111111"/>
        </w:rPr>
        <w:t>efficacy </w:t>
      </w:r>
      <w:r>
        <w:rPr>
          <w:color w:val="111111"/>
          <w:spacing w:val="-2"/>
        </w:rPr>
        <w:t>evaluation</w: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61" w:after="0"/>
        <w:ind w:left="470" w:right="0" w:hanging="374"/>
        <w:jc w:val="left"/>
      </w:pPr>
      <w:r>
        <w:rPr>
          <w:color w:val="111111"/>
        </w:rPr>
        <w:t>Primary</w:t>
      </w:r>
      <w:r>
        <w:rPr>
          <w:color w:val="111111"/>
          <w:spacing w:val="-16"/>
        </w:rPr>
        <w:t> </w:t>
      </w:r>
      <w:r>
        <w:rPr>
          <w:color w:val="111111"/>
          <w:spacing w:val="-2"/>
        </w:rPr>
        <w:t>Analysis</w:t>
      </w:r>
    </w:p>
    <w:p>
      <w:pPr>
        <w:pStyle w:val="BodyText"/>
        <w:spacing w:line="300" w:lineRule="auto" w:before="246"/>
        <w:ind w:left="96" w:right="69"/>
        <w:jc w:val="both"/>
      </w:pPr>
      <w:r>
        <w:rPr>
          <w:color w:val="111111"/>
        </w:rPr>
        <w:t>The primary endpoint will compare change from baseline to Week 12 in disease activity </w:t>
      </w:r>
      <w:r>
        <w:rPr>
          <w:color w:val="111111"/>
        </w:rPr>
        <w:t>score between treatment groups using an appropriate statistical model with treatment as a factor and baseline value as a covariate.</w:t>
      </w:r>
    </w:p>
    <w:p>
      <w:pPr>
        <w:pStyle w:val="Heading2"/>
        <w:numPr>
          <w:ilvl w:val="1"/>
          <w:numId w:val="2"/>
        </w:numPr>
        <w:tabs>
          <w:tab w:pos="470" w:val="left" w:leader="none"/>
        </w:tabs>
        <w:spacing w:line="240" w:lineRule="auto" w:before="261" w:after="0"/>
        <w:ind w:left="470" w:right="0" w:hanging="374"/>
        <w:jc w:val="left"/>
      </w:pPr>
      <w:r>
        <w:rPr>
          <w:color w:val="111111"/>
        </w:rPr>
        <w:t>Missing</w:t>
      </w:r>
      <w:r>
        <w:rPr>
          <w:color w:val="111111"/>
          <w:spacing w:val="-1"/>
        </w:rPr>
        <w:t> </w:t>
      </w:r>
      <w:r>
        <w:rPr>
          <w:color w:val="111111"/>
          <w:spacing w:val="-4"/>
        </w:rPr>
        <w:t>Data</w:t>
      </w:r>
    </w:p>
    <w:p>
      <w:pPr>
        <w:pStyle w:val="BodyText"/>
        <w:spacing w:line="312" w:lineRule="auto" w:before="232"/>
        <w:ind w:left="96" w:right="69"/>
        <w:jc w:val="both"/>
      </w:pPr>
      <w:r>
        <w:rPr>
          <w:color w:val="111111"/>
        </w:rPr>
        <w:t>Handling of missing data will be specified in the statistical analysis plan, including sensitivity analyses where appropriate.</w:t>
      </w:r>
    </w:p>
    <w:p>
      <w:pPr>
        <w:pStyle w:val="BodyText"/>
        <w:spacing w:before="75"/>
      </w:pPr>
    </w:p>
    <w:p>
      <w:pPr>
        <w:pStyle w:val="Heading1"/>
        <w:numPr>
          <w:ilvl w:val="0"/>
          <w:numId w:val="2"/>
        </w:numPr>
        <w:tabs>
          <w:tab w:pos="546" w:val="left" w:leader="none"/>
        </w:tabs>
        <w:spacing w:line="240" w:lineRule="auto" w:before="0" w:after="0"/>
        <w:ind w:left="546" w:right="0" w:hanging="450"/>
        <w:jc w:val="left"/>
      </w:pPr>
      <w:r>
        <w:rPr>
          <w:color w:val="111111"/>
        </w:rPr>
        <w:t>Ethics and Regulatory </w:t>
      </w:r>
      <w:r>
        <w:rPr>
          <w:color w:val="111111"/>
          <w:spacing w:val="-2"/>
        </w:rPr>
        <w:t>Considerations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781050</wp:posOffset>
                </wp:positionH>
                <wp:positionV relativeFrom="paragraph">
                  <wp:posOffset>73587</wp:posOffset>
                </wp:positionV>
                <wp:extent cx="6005830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94285pt;width:472.886678pt;height:.75pt;mso-position-horizontal-relative:page;mso-position-vertical-relative:paragraph;z-index:-15723008;mso-wrap-distance-left:0;mso-wrap-distance-right:0" id="docshape16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181"/>
        <w:ind w:left="96" w:right="69"/>
        <w:jc w:val="both"/>
      </w:pPr>
      <w:r>
        <w:rPr>
          <w:color w:val="111111"/>
        </w:rPr>
        <w:t>This</w:t>
      </w:r>
      <w:r>
        <w:rPr>
          <w:color w:val="111111"/>
          <w:spacing w:val="-3"/>
        </w:rPr>
        <w:t> </w:t>
      </w:r>
      <w:r>
        <w:rPr>
          <w:color w:val="111111"/>
        </w:rPr>
        <w:t>study</w:t>
      </w:r>
      <w:r>
        <w:rPr>
          <w:color w:val="111111"/>
          <w:spacing w:val="-3"/>
        </w:rPr>
        <w:t> </w:t>
      </w:r>
      <w:r>
        <w:rPr>
          <w:color w:val="111111"/>
        </w:rPr>
        <w:t>will</w:t>
      </w:r>
      <w:r>
        <w:rPr>
          <w:color w:val="111111"/>
          <w:spacing w:val="-3"/>
        </w:rPr>
        <w:t> </w:t>
      </w:r>
      <w:r>
        <w:rPr>
          <w:color w:val="111111"/>
        </w:rPr>
        <w:t>be</w:t>
      </w:r>
      <w:r>
        <w:rPr>
          <w:color w:val="111111"/>
          <w:spacing w:val="-3"/>
        </w:rPr>
        <w:t> </w:t>
      </w:r>
      <w:r>
        <w:rPr>
          <w:color w:val="111111"/>
        </w:rPr>
        <w:t>conducted</w:t>
      </w:r>
      <w:r>
        <w:rPr>
          <w:color w:val="111111"/>
          <w:spacing w:val="-3"/>
        </w:rPr>
        <w:t> </w:t>
      </w:r>
      <w:r>
        <w:rPr>
          <w:color w:val="111111"/>
        </w:rPr>
        <w:t>in</w:t>
      </w:r>
      <w:r>
        <w:rPr>
          <w:color w:val="111111"/>
          <w:spacing w:val="-3"/>
        </w:rPr>
        <w:t> </w:t>
      </w:r>
      <w:r>
        <w:rPr>
          <w:color w:val="111111"/>
        </w:rPr>
        <w:t>accordance</w:t>
      </w:r>
      <w:r>
        <w:rPr>
          <w:color w:val="111111"/>
          <w:spacing w:val="-3"/>
        </w:rPr>
        <w:t> </w:t>
      </w:r>
      <w:r>
        <w:rPr>
          <w:color w:val="111111"/>
        </w:rPr>
        <w:t>with</w:t>
      </w:r>
      <w:r>
        <w:rPr>
          <w:color w:val="111111"/>
          <w:spacing w:val="-3"/>
        </w:rPr>
        <w:t> </w:t>
      </w:r>
      <w:r>
        <w:rPr>
          <w:color w:val="111111"/>
        </w:rPr>
        <w:t>the</w:t>
      </w:r>
      <w:r>
        <w:rPr>
          <w:color w:val="111111"/>
          <w:spacing w:val="-3"/>
        </w:rPr>
        <w:t> </w:t>
      </w:r>
      <w:r>
        <w:rPr>
          <w:color w:val="111111"/>
        </w:rPr>
        <w:t>principles</w:t>
      </w:r>
      <w:r>
        <w:rPr>
          <w:color w:val="111111"/>
          <w:spacing w:val="-3"/>
        </w:rPr>
        <w:t> </w:t>
      </w:r>
      <w:r>
        <w:rPr>
          <w:color w:val="111111"/>
        </w:rPr>
        <w:t>of</w:t>
      </w:r>
      <w:r>
        <w:rPr>
          <w:color w:val="111111"/>
          <w:spacing w:val="-3"/>
        </w:rPr>
        <w:t> </w:t>
      </w:r>
      <w:r>
        <w:rPr>
          <w:color w:val="111111"/>
        </w:rPr>
        <w:t>the</w:t>
      </w:r>
      <w:r>
        <w:rPr>
          <w:color w:val="111111"/>
          <w:spacing w:val="-3"/>
        </w:rPr>
        <w:t> </w:t>
      </w:r>
      <w:r>
        <w:rPr>
          <w:color w:val="111111"/>
        </w:rPr>
        <w:t>Declaration</w:t>
      </w:r>
      <w:r>
        <w:rPr>
          <w:color w:val="111111"/>
          <w:spacing w:val="-3"/>
        </w:rPr>
        <w:t> </w:t>
      </w:r>
      <w:r>
        <w:rPr>
          <w:color w:val="111111"/>
        </w:rPr>
        <w:t>of</w:t>
      </w:r>
      <w:r>
        <w:rPr>
          <w:color w:val="111111"/>
          <w:spacing w:val="-3"/>
        </w:rPr>
        <w:t> </w:t>
      </w:r>
      <w:r>
        <w:rPr>
          <w:color w:val="111111"/>
        </w:rPr>
        <w:t>Helsinki,</w:t>
      </w:r>
      <w:r>
        <w:rPr>
          <w:color w:val="111111"/>
          <w:spacing w:val="-3"/>
        </w:rPr>
        <w:t> </w:t>
      </w:r>
      <w:r>
        <w:rPr>
          <w:color w:val="111111"/>
        </w:rPr>
        <w:t>ICH Good Clinical Practice, and applicable regulatory requirements. Approval from the appropriate IRB/IEC will be obtained before study initiation at each site. Written informed consent will be obtained before conduct of study-specific procedures.</w: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2"/>
        </w:numPr>
        <w:tabs>
          <w:tab w:pos="529" w:val="left" w:leader="none"/>
        </w:tabs>
        <w:spacing w:line="240" w:lineRule="auto" w:before="0" w:after="0"/>
        <w:ind w:left="529" w:right="0" w:hanging="433"/>
        <w:jc w:val="left"/>
      </w:pPr>
      <w:r>
        <w:rPr>
          <w:color w:val="111111"/>
        </w:rPr>
        <w:t>Data Handling and </w:t>
      </w:r>
      <w:r>
        <w:rPr>
          <w:color w:val="111111"/>
          <w:spacing w:val="-2"/>
        </w:rPr>
        <w:t>Recordkeeping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781050</wp:posOffset>
                </wp:positionH>
                <wp:positionV relativeFrom="paragraph">
                  <wp:posOffset>73132</wp:posOffset>
                </wp:positionV>
                <wp:extent cx="6005830" cy="952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58481pt;width:472.886678pt;height:.75pt;mso-position-horizontal-relative:page;mso-position-vertical-relative:paragraph;z-index:-15722496;mso-wrap-distance-left:0;mso-wrap-distance-right:0" id="docshape17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181"/>
        <w:ind w:left="96" w:right="69"/>
        <w:jc w:val="both"/>
      </w:pPr>
      <w:r>
        <w:rPr>
          <w:color w:val="111111"/>
        </w:rPr>
        <w:t>Study data will be recorded in case report forms and maintained in accordance with sponsor procedures and applicable requirements for confidentiality, data integrity, and retention.</w:t>
      </w:r>
    </w:p>
    <w:p>
      <w:pPr>
        <w:pStyle w:val="BodyText"/>
        <w:spacing w:before="88"/>
      </w:pPr>
    </w:p>
    <w:p>
      <w:pPr>
        <w:pStyle w:val="Heading1"/>
        <w:numPr>
          <w:ilvl w:val="0"/>
          <w:numId w:val="2"/>
        </w:numPr>
        <w:tabs>
          <w:tab w:pos="546" w:val="left" w:leader="none"/>
        </w:tabs>
        <w:spacing w:line="240" w:lineRule="auto" w:before="0" w:after="0"/>
        <w:ind w:left="546" w:right="0" w:hanging="450"/>
        <w:jc w:val="left"/>
      </w:pPr>
      <w:r>
        <w:rPr>
          <w:color w:val="111111"/>
        </w:rPr>
        <w:t>Quality</w:t>
      </w:r>
      <w:r>
        <w:rPr>
          <w:color w:val="111111"/>
          <w:spacing w:val="-2"/>
        </w:rPr>
        <w:t> </w:t>
      </w:r>
      <w:r>
        <w:rPr>
          <w:color w:val="111111"/>
        </w:rPr>
        <w:t>Control</w:t>
      </w:r>
      <w:r>
        <w:rPr>
          <w:color w:val="111111"/>
          <w:spacing w:val="-2"/>
        </w:rPr>
        <w:t> </w:t>
      </w:r>
      <w:r>
        <w:rPr>
          <w:color w:val="111111"/>
        </w:rPr>
        <w:t>and</w:t>
      </w:r>
      <w:r>
        <w:rPr>
          <w:color w:val="111111"/>
          <w:spacing w:val="-1"/>
        </w:rPr>
        <w:t> </w:t>
      </w:r>
      <w:r>
        <w:rPr>
          <w:color w:val="111111"/>
        </w:rPr>
        <w:t>Quality</w:t>
      </w:r>
      <w:r>
        <w:rPr>
          <w:color w:val="111111"/>
          <w:spacing w:val="-18"/>
        </w:rPr>
        <w:t> </w:t>
      </w:r>
      <w:r>
        <w:rPr>
          <w:color w:val="111111"/>
          <w:spacing w:val="-2"/>
        </w:rPr>
        <w:t>Assurance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781050</wp:posOffset>
                </wp:positionH>
                <wp:positionV relativeFrom="paragraph">
                  <wp:posOffset>73095</wp:posOffset>
                </wp:positionV>
                <wp:extent cx="6005830" cy="952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55556pt;width:472.886678pt;height:.75pt;mso-position-horizontal-relative:page;mso-position-vertical-relative:paragraph;z-index:-15721984;mso-wrap-distance-left:0;mso-wrap-distance-right:0" id="docshape18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181"/>
        <w:ind w:left="96" w:right="69"/>
        <w:jc w:val="both"/>
      </w:pPr>
      <w:r>
        <w:rPr>
          <w:color w:val="111111"/>
        </w:rPr>
        <w:t>The sponsor or designee will implement monitoring, quality control, and quality assurance procedures to ensure the study is conducted and documented appropriately.</w:t>
      </w:r>
    </w:p>
    <w:p>
      <w:pPr>
        <w:pStyle w:val="BodyText"/>
        <w:spacing w:before="88"/>
      </w:pPr>
    </w:p>
    <w:p>
      <w:pPr>
        <w:pStyle w:val="Heading1"/>
        <w:numPr>
          <w:ilvl w:val="0"/>
          <w:numId w:val="2"/>
        </w:numPr>
        <w:tabs>
          <w:tab w:pos="546" w:val="left" w:leader="none"/>
        </w:tabs>
        <w:spacing w:line="240" w:lineRule="auto" w:before="0" w:after="0"/>
        <w:ind w:left="546" w:right="0" w:hanging="450"/>
        <w:jc w:val="left"/>
      </w:pPr>
      <w:r>
        <w:rPr>
          <w:color w:val="111111"/>
        </w:rPr>
        <w:t>Financing and </w:t>
      </w:r>
      <w:r>
        <w:rPr>
          <w:color w:val="111111"/>
          <w:spacing w:val="-2"/>
        </w:rPr>
        <w:t>Insurance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781050</wp:posOffset>
                </wp:positionH>
                <wp:positionV relativeFrom="paragraph">
                  <wp:posOffset>72703</wp:posOffset>
                </wp:positionV>
                <wp:extent cx="6005830" cy="952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24658pt;width:472.886678pt;height:.75pt;mso-position-horizontal-relative:page;mso-position-vertical-relative:paragraph;z-index:-15721472;mso-wrap-distance-left:0;mso-wrap-distance-right:0" id="docshape19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7"/>
        </w:rPr>
        <w:sectPr>
          <w:pgSz w:w="11900" w:h="16840"/>
          <w:pgMar w:header="284" w:footer="268" w:top="1160" w:bottom="460" w:left="1133" w:right="1133"/>
        </w:sectPr>
      </w:pPr>
    </w:p>
    <w:p>
      <w:pPr>
        <w:pStyle w:val="BodyText"/>
        <w:spacing w:line="300" w:lineRule="auto" w:before="88"/>
        <w:ind w:left="96" w:right="329"/>
      </w:pPr>
      <w:r>
        <w:rPr>
          <w:color w:val="111111"/>
        </w:rPr>
        <w:t>Financing</w:t>
      </w:r>
      <w:r>
        <w:rPr>
          <w:color w:val="111111"/>
          <w:spacing w:val="40"/>
        </w:rPr>
        <w:t> </w:t>
      </w:r>
      <w:r>
        <w:rPr>
          <w:color w:val="111111"/>
        </w:rPr>
        <w:t>and</w:t>
      </w:r>
      <w:r>
        <w:rPr>
          <w:color w:val="111111"/>
          <w:spacing w:val="40"/>
        </w:rPr>
        <w:t> </w:t>
      </w:r>
      <w:r>
        <w:rPr>
          <w:color w:val="111111"/>
        </w:rPr>
        <w:t>insurance</w:t>
      </w:r>
      <w:r>
        <w:rPr>
          <w:color w:val="111111"/>
          <w:spacing w:val="40"/>
        </w:rPr>
        <w:t> </w:t>
      </w:r>
      <w:r>
        <w:rPr>
          <w:color w:val="111111"/>
        </w:rPr>
        <w:t>arrangements</w:t>
      </w:r>
      <w:r>
        <w:rPr>
          <w:color w:val="111111"/>
          <w:spacing w:val="40"/>
        </w:rPr>
        <w:t> </w:t>
      </w:r>
      <w:r>
        <w:rPr>
          <w:color w:val="111111"/>
        </w:rPr>
        <w:t>will</w:t>
      </w:r>
      <w:r>
        <w:rPr>
          <w:color w:val="111111"/>
          <w:spacing w:val="40"/>
        </w:rPr>
        <w:t> </w:t>
      </w:r>
      <w:r>
        <w:rPr>
          <w:color w:val="111111"/>
        </w:rPr>
        <w:t>be</w:t>
      </w:r>
      <w:r>
        <w:rPr>
          <w:color w:val="111111"/>
          <w:spacing w:val="40"/>
        </w:rPr>
        <w:t> </w:t>
      </w:r>
      <w:r>
        <w:rPr>
          <w:color w:val="111111"/>
        </w:rPr>
        <w:t>managed</w:t>
      </w:r>
      <w:r>
        <w:rPr>
          <w:color w:val="111111"/>
          <w:spacing w:val="40"/>
        </w:rPr>
        <w:t> </w:t>
      </w:r>
      <w:r>
        <w:rPr>
          <w:color w:val="111111"/>
        </w:rPr>
        <w:t>by</w:t>
      </w:r>
      <w:r>
        <w:rPr>
          <w:color w:val="111111"/>
          <w:spacing w:val="40"/>
        </w:rPr>
        <w:t> </w:t>
      </w:r>
      <w:r>
        <w:rPr>
          <w:color w:val="111111"/>
        </w:rPr>
        <w:t>the</w:t>
      </w:r>
      <w:r>
        <w:rPr>
          <w:color w:val="111111"/>
          <w:spacing w:val="40"/>
        </w:rPr>
        <w:t> </w:t>
      </w:r>
      <w:r>
        <w:rPr>
          <w:color w:val="111111"/>
        </w:rPr>
        <w:t>sponsor</w:t>
      </w:r>
      <w:r>
        <w:rPr>
          <w:color w:val="111111"/>
          <w:spacing w:val="40"/>
        </w:rPr>
        <w:t> </w:t>
      </w:r>
      <w:r>
        <w:rPr>
          <w:color w:val="111111"/>
        </w:rPr>
        <w:t>in</w:t>
      </w:r>
      <w:r>
        <w:rPr>
          <w:color w:val="111111"/>
          <w:spacing w:val="40"/>
        </w:rPr>
        <w:t> </w:t>
      </w:r>
      <w:r>
        <w:rPr>
          <w:color w:val="111111"/>
        </w:rPr>
        <w:t>accordance</w:t>
      </w:r>
      <w:r>
        <w:rPr>
          <w:color w:val="111111"/>
          <w:spacing w:val="40"/>
        </w:rPr>
        <w:t> </w:t>
      </w:r>
      <w:r>
        <w:rPr>
          <w:color w:val="111111"/>
        </w:rPr>
        <w:t>with</w:t>
      </w:r>
      <w:r>
        <w:rPr>
          <w:color w:val="111111"/>
          <w:spacing w:val="80"/>
          <w:w w:val="150"/>
        </w:rPr>
        <w:t> </w:t>
      </w:r>
      <w:r>
        <w:rPr>
          <w:color w:val="111111"/>
        </w:rPr>
        <w:t>applicable local requirements.</w:t>
      </w:r>
    </w:p>
    <w:p>
      <w:pPr>
        <w:pStyle w:val="BodyText"/>
        <w:spacing w:before="88"/>
      </w:pPr>
    </w:p>
    <w:p>
      <w:pPr>
        <w:pStyle w:val="Heading1"/>
        <w:numPr>
          <w:ilvl w:val="0"/>
          <w:numId w:val="2"/>
        </w:numPr>
        <w:tabs>
          <w:tab w:pos="546" w:val="left" w:leader="none"/>
        </w:tabs>
        <w:spacing w:line="240" w:lineRule="auto" w:before="0" w:after="0"/>
        <w:ind w:left="546" w:right="0" w:hanging="450"/>
        <w:jc w:val="left"/>
      </w:pPr>
      <w:r>
        <w:rPr>
          <w:color w:val="111111"/>
        </w:rPr>
        <w:t>Publication </w:t>
      </w:r>
      <w:r>
        <w:rPr>
          <w:color w:val="111111"/>
          <w:spacing w:val="-2"/>
        </w:rPr>
        <w:t>Policy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781050</wp:posOffset>
                </wp:positionH>
                <wp:positionV relativeFrom="paragraph">
                  <wp:posOffset>73530</wp:posOffset>
                </wp:positionV>
                <wp:extent cx="6005830" cy="9525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89821pt;width:472.886678pt;height:.75pt;mso-position-horizontal-relative:page;mso-position-vertical-relative:paragraph;z-index:-15720960;mso-wrap-distance-left:0;mso-wrap-distance-right:0" id="docshape20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181"/>
        <w:ind w:left="96"/>
      </w:pPr>
      <w:r>
        <w:rPr>
          <w:color w:val="111111"/>
        </w:rPr>
        <w:t>Publication of study results will be managed by the sponsor in coordination with investigators and in accordance with applicable agreements and scientific standards.</w:t>
      </w:r>
    </w:p>
    <w:p>
      <w:pPr>
        <w:pStyle w:val="BodyText"/>
        <w:spacing w:before="75"/>
      </w:pPr>
    </w:p>
    <w:p>
      <w:pPr>
        <w:pStyle w:val="Heading1"/>
        <w:numPr>
          <w:ilvl w:val="0"/>
          <w:numId w:val="2"/>
        </w:numPr>
        <w:tabs>
          <w:tab w:pos="546" w:val="left" w:leader="none"/>
        </w:tabs>
        <w:spacing w:line="240" w:lineRule="auto" w:before="0" w:after="0"/>
        <w:ind w:left="546" w:right="0" w:hanging="450"/>
        <w:jc w:val="left"/>
      </w:pPr>
      <w:r>
        <w:rPr>
          <w:color w:val="111111"/>
          <w:spacing w:val="-2"/>
        </w:rPr>
        <w:t>References</w:t>
      </w:r>
    </w:p>
    <w:p>
      <w:pPr>
        <w:pStyle w:val="BodyText"/>
        <w:spacing w:before="11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781050</wp:posOffset>
                </wp:positionH>
                <wp:positionV relativeFrom="paragraph">
                  <wp:posOffset>73351</wp:posOffset>
                </wp:positionV>
                <wp:extent cx="6005830" cy="952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75672pt;width:472.886678pt;height:.75pt;mso-position-horizontal-relative:page;mso-position-vertical-relative:paragraph;z-index:-15720448;mso-wrap-distance-left:0;mso-wrap-distance-right:0" id="docshape21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1"/>
        <w:ind w:left="816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ICH E6 Guideline for Good Clinical Practice</w:t>
      </w:r>
    </w:p>
    <w:p>
      <w:pPr>
        <w:pStyle w:val="BodyText"/>
        <w:ind w:left="816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111111"/>
        </w:rPr>
        <w:t>ICH M11 Clinical Electronic Structured Harmonised Protocol</w:t>
      </w:r>
    </w:p>
    <w:p>
      <w:pPr>
        <w:pStyle w:val="BodyText"/>
        <w:spacing w:line="300" w:lineRule="auto"/>
        <w:ind w:left="1056" w:right="329" w:hanging="240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color w:val="111111"/>
        </w:rPr>
        <w:t>Applicable</w:t>
      </w:r>
      <w:r>
        <w:rPr>
          <w:color w:val="111111"/>
          <w:spacing w:val="-4"/>
        </w:rPr>
        <w:t> </w:t>
      </w:r>
      <w:r>
        <w:rPr>
          <w:color w:val="111111"/>
        </w:rPr>
        <w:t>scientific</w:t>
      </w:r>
      <w:r>
        <w:rPr>
          <w:color w:val="111111"/>
          <w:spacing w:val="-4"/>
        </w:rPr>
        <w:t> </w:t>
      </w:r>
      <w:r>
        <w:rPr>
          <w:color w:val="111111"/>
        </w:rPr>
        <w:t>literature</w:t>
      </w:r>
      <w:r>
        <w:rPr>
          <w:color w:val="111111"/>
          <w:spacing w:val="-4"/>
        </w:rPr>
        <w:t> </w:t>
      </w:r>
      <w:r>
        <w:rPr>
          <w:color w:val="111111"/>
        </w:rPr>
        <w:t>relevant</w:t>
      </w:r>
      <w:r>
        <w:rPr>
          <w:color w:val="111111"/>
          <w:spacing w:val="-4"/>
        </w:rPr>
        <w:t> </w:t>
      </w:r>
      <w:r>
        <w:rPr>
          <w:color w:val="111111"/>
        </w:rPr>
        <w:t>to</w:t>
      </w:r>
      <w:r>
        <w:rPr>
          <w:color w:val="111111"/>
          <w:spacing w:val="-4"/>
        </w:rPr>
        <w:t> </w:t>
      </w:r>
      <w:r>
        <w:rPr>
          <w:color w:val="111111"/>
        </w:rPr>
        <w:t>inflammatory</w:t>
      </w:r>
      <w:r>
        <w:rPr>
          <w:color w:val="111111"/>
          <w:spacing w:val="-4"/>
        </w:rPr>
        <w:t> </w:t>
      </w:r>
      <w:r>
        <w:rPr>
          <w:color w:val="111111"/>
        </w:rPr>
        <w:t>disease</w:t>
      </w:r>
      <w:r>
        <w:rPr>
          <w:color w:val="111111"/>
          <w:spacing w:val="-4"/>
        </w:rPr>
        <w:t> </w:t>
      </w:r>
      <w:r>
        <w:rPr>
          <w:color w:val="111111"/>
        </w:rPr>
        <w:t>and</w:t>
      </w:r>
      <w:r>
        <w:rPr>
          <w:color w:val="111111"/>
          <w:spacing w:val="-4"/>
        </w:rPr>
        <w:t> </w:t>
      </w:r>
      <w:r>
        <w:rPr>
          <w:color w:val="111111"/>
        </w:rPr>
        <w:t>CLN-</w:t>
      </w:r>
      <w:r>
        <w:rPr>
          <w:color w:val="111111"/>
        </w:rPr>
        <w:t>201 </w:t>
      </w:r>
      <w:r>
        <w:rPr>
          <w:color w:val="111111"/>
          <w:spacing w:val="-2"/>
        </w:rPr>
        <w:t>development</w:t>
      </w:r>
    </w:p>
    <w:p>
      <w:pPr>
        <w:pStyle w:val="BodyText"/>
        <w:spacing w:before="103"/>
      </w:pPr>
    </w:p>
    <w:p>
      <w:pPr>
        <w:pStyle w:val="Heading1"/>
        <w:numPr>
          <w:ilvl w:val="0"/>
          <w:numId w:val="2"/>
        </w:numPr>
        <w:tabs>
          <w:tab w:pos="529" w:val="left" w:leader="none"/>
        </w:tabs>
        <w:spacing w:line="240" w:lineRule="auto" w:before="0" w:after="0"/>
        <w:ind w:left="529" w:right="0" w:hanging="433"/>
        <w:jc w:val="left"/>
      </w:pPr>
      <w:r>
        <w:rPr>
          <w:color w:val="111111"/>
          <w:spacing w:val="-2"/>
        </w:rPr>
        <w:t>Appendices</w:t>
      </w:r>
    </w:p>
    <w:p>
      <w:pPr>
        <w:pStyle w:val="BodyText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781050</wp:posOffset>
                </wp:positionH>
                <wp:positionV relativeFrom="paragraph">
                  <wp:posOffset>73125</wp:posOffset>
                </wp:positionV>
                <wp:extent cx="6005830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005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 h="9525">
                              <a:moveTo>
                                <a:pt x="600566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05660" y="0"/>
                              </a:lnTo>
                              <a:lnTo>
                                <a:pt x="600566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5.757895pt;width:472.886678pt;height:.75pt;mso-position-horizontal-relative:page;mso-position-vertical-relative:paragraph;z-index:-15719936;mso-wrap-distance-left:0;mso-wrap-distance-right:0" id="docshape22" filled="true" fillcolor="#87878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0" w:lineRule="auto" w:before="181"/>
        <w:ind w:left="1056" w:right="5399"/>
      </w:pPr>
      <w:r>
        <w:rPr>
          <w:color w:val="111111"/>
        </w:rPr>
        <w:t>Schedule of Activities Laboratory</w:t>
      </w:r>
      <w:r>
        <w:rPr>
          <w:color w:val="111111"/>
          <w:spacing w:val="-15"/>
        </w:rPr>
        <w:t> </w:t>
      </w:r>
      <w:r>
        <w:rPr>
          <w:color w:val="111111"/>
        </w:rPr>
        <w:t>Reference</w:t>
      </w:r>
      <w:r>
        <w:rPr>
          <w:color w:val="111111"/>
          <w:spacing w:val="-15"/>
        </w:rPr>
        <w:t> </w:t>
      </w:r>
      <w:r>
        <w:rPr>
          <w:color w:val="111111"/>
        </w:rPr>
        <w:t>Ranges</w:t>
      </w:r>
    </w:p>
    <w:p>
      <w:pPr>
        <w:pStyle w:val="BodyText"/>
        <w:spacing w:line="300" w:lineRule="auto" w:before="0"/>
        <w:ind w:left="1056" w:right="40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1238249</wp:posOffset>
                </wp:positionH>
                <wp:positionV relativeFrom="paragraph">
                  <wp:posOffset>-362547</wp:posOffset>
                </wp:positionV>
                <wp:extent cx="47625" cy="476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499992pt;margin-top:-28.547026pt;width:3.75pt;height:3.75pt;mso-position-horizontal-relative:page;mso-position-vertical-relative:paragraph;z-index:15737856" id="docshape23" coordorigin="1950,-571" coordsize="75,75" path="m1992,-496l1983,-496,1978,-497,1950,-528,1950,-538,1983,-571,1992,-571,2025,-533,2025,-528,1992,-496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1238249</wp:posOffset>
                </wp:positionH>
                <wp:positionV relativeFrom="paragraph">
                  <wp:posOffset>-143472</wp:posOffset>
                </wp:positionV>
                <wp:extent cx="47625" cy="4762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499992pt;margin-top:-11.297027pt;width:3.75pt;height:3.75pt;mso-position-horizontal-relative:page;mso-position-vertical-relative:paragraph;z-index:15738368" id="docshape24" coordorigin="1950,-226" coordsize="75,75" path="m1992,-151l1983,-151,1978,-152,1950,-183,1950,-193,1983,-226,1992,-226,2025,-188,2025,-183,1992,-151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1238249</wp:posOffset>
                </wp:positionH>
                <wp:positionV relativeFrom="paragraph">
                  <wp:posOffset>75602</wp:posOffset>
                </wp:positionV>
                <wp:extent cx="47625" cy="4762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499992pt;margin-top:5.952972pt;width:3.75pt;height:3.75pt;mso-position-horizontal-relative:page;mso-position-vertical-relative:paragraph;z-index:15738880" id="docshape25" coordorigin="1950,119" coordsize="75,75" path="m1992,194l1983,194,1978,193,1950,162,1950,152,1983,119,1992,119,2025,157,2025,162,1992,194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1238249</wp:posOffset>
                </wp:positionH>
                <wp:positionV relativeFrom="paragraph">
                  <wp:posOffset>294677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499992pt;margin-top:23.202971pt;width:3.75pt;height:3.75pt;mso-position-horizontal-relative:page;mso-position-vertical-relative:paragraph;z-index:15739392" id="docshape26" coordorigin="1950,464" coordsize="75,75" path="m1992,539l1983,539,1978,538,1950,507,1950,497,1983,464,1992,464,2025,502,2025,507,1992,539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11111"/>
        </w:rPr>
        <w:t>Contraception</w:t>
      </w:r>
      <w:r>
        <w:rPr>
          <w:color w:val="111111"/>
          <w:spacing w:val="-12"/>
        </w:rPr>
        <w:t> </w:t>
      </w:r>
      <w:r>
        <w:rPr>
          <w:color w:val="111111"/>
        </w:rPr>
        <w:t>and</w:t>
      </w:r>
      <w:r>
        <w:rPr>
          <w:color w:val="111111"/>
          <w:spacing w:val="-12"/>
        </w:rPr>
        <w:t> </w:t>
      </w:r>
      <w:r>
        <w:rPr>
          <w:color w:val="111111"/>
        </w:rPr>
        <w:t>Pregnancy</w:t>
      </w:r>
      <w:r>
        <w:rPr>
          <w:color w:val="111111"/>
          <w:spacing w:val="-12"/>
        </w:rPr>
        <w:t> </w:t>
      </w:r>
      <w:r>
        <w:rPr>
          <w:color w:val="111111"/>
        </w:rPr>
        <w:t>Guidance Adverse Event Definitions</w:t>
      </w:r>
    </w:p>
    <w:p>
      <w:pPr>
        <w:pStyle w:val="BodyText"/>
        <w:spacing w:before="0"/>
        <w:ind w:left="10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1238249</wp:posOffset>
                </wp:positionH>
                <wp:positionV relativeFrom="paragraph">
                  <wp:posOffset>75639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111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499992pt;margin-top:5.955899pt;width:3.75pt;height:3.75pt;mso-position-horizontal-relative:page;mso-position-vertical-relative:paragraph;z-index:15739904" id="docshape27" coordorigin="1950,119" coordsize="75,75" path="m1992,194l1983,194,1978,193,1950,162,1950,152,1983,119,1992,119,2025,157,2025,162,1992,194xe" filled="true" fillcolor="#111111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11111"/>
        </w:rPr>
        <w:t>List of Study </w:t>
      </w:r>
      <w:r>
        <w:rPr>
          <w:color w:val="111111"/>
          <w:spacing w:val="-2"/>
        </w:rPr>
        <w:t>Procedures</w:t>
      </w:r>
    </w:p>
    <w:sectPr>
      <w:pgSz w:w="11900" w:h="16840"/>
      <w:pgMar w:header="284" w:footer="268" w:top="1160" w:bottom="46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13880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1388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file:///C:/Users/dmukopad/Downloads/protocol_ich_m11_positive.html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47.15pt;height:10.95pt;mso-position-horizontal-relative:page;mso-position-vertical-relative:page;z-index:-1603891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file:///C:/Users/dmukopad/Downloads/protocol_ich_m11_positive.html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7075735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144531pt;margin-top:817.512329pt;width:15.15pt;height:10.95pt;mso-position-horizontal-relative:page;mso-position-vertical-relative:page;z-index:-1603840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7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5/16/26,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2:34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2.45pt;height:10.95pt;mso-position-horizontal-relative:page;mso-position-vertical-relative:page;z-index:-160399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5/16/26,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2:34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3526135</wp:posOffset>
              </wp:positionH>
              <wp:positionV relativeFrom="page">
                <wp:posOffset>181131</wp:posOffset>
              </wp:positionV>
              <wp:extent cx="1656714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67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Clinical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Protocol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CLN-201-2026-</w:t>
                          </w:r>
                          <w:r>
                            <w:rPr>
                              <w:rFonts w:ascii="Arial MT"/>
                              <w:spacing w:val="-7"/>
                              <w:sz w:val="16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648438pt;margin-top:14.262341pt;width:130.4500pt;height:10.95pt;mso-position-horizontal-relative:page;mso-position-vertical-relative:page;z-index:-160394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Clinical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Protocol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CLN-201-2026-</w:t>
                    </w:r>
                    <w:r>
                      <w:rPr>
                        <w:rFonts w:ascii="Arial MT"/>
                        <w:spacing w:val="-7"/>
                        <w:sz w:val="16"/>
                      </w:rPr>
                      <w:t>01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97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11111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1" w:hanging="3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11111"/>
        <w:spacing w:val="0"/>
        <w:w w:val="100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7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4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1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8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5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9" w:hanging="3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97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11111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9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3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3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06" w:hanging="24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96" w:hanging="30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70" w:hanging="374"/>
      <w:outlineLvl w:val="2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9"/>
      <w:ind w:left="96" w:right="3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4"/>
      <w:ind w:left="25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0" w:hanging="37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Protocol - CLN-201-2026-01</dc:title>
  <dcterms:created xsi:type="dcterms:W3CDTF">2026-05-16T07:42:54Z</dcterms:created>
  <dcterms:modified xsi:type="dcterms:W3CDTF">2026-05-16T07:42:54Z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Mozilla/5.0 (Windows NT 10.0; Win64; x64) AppleWebKit/537.36 (KHTML, like Gecko) Chrome/148.0.0.0 Safari/537.36</vt:lpwstr>
  </property>
  <property fmtid="{D5CDD505-2E9C-101B-9397-08002B2CF9AE}" pid="4" name="LastSaved">
    <vt:filetime>2026-05-16T00:00:00Z</vt:filetime>
  </property>
  <property fmtid="{D5CDD505-2E9C-101B-9397-08002B2CF9AE}" pid="5" name="Producer">
    <vt:lpwstr>Skia/PDF m148</vt:lpwstr>
  </property>
</Properties>
</file>