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rFonts w:ascii="Calibri" w:cs="Calibri" w:eastAsia="Calibri" w:hAnsi="Calibri"/>
          <w:b/>
          <w:bCs/>
          <w:i w:val="false"/>
          <w:iCs w:val="false"/>
          <w:caps/>
          <w:color w:val="6B7B9E"/>
          <w:sz w:val="20"/>
          <w:szCs w:val="20"/>
        </w:rPr>
        <w:t xml:space="preserve">HABIT HEALTH  ·  ENGAGEMENT PLATFORM</w:t>
      </w:r>
    </w:p>
    <w:p>
      <w:pPr>
        <w:pBdr>
          <w:bottom w:val="single" w:color="3B4B7A" w:sz="14" w:space="10"/>
        </w:pBdr>
        <w:spacing w:after="0" w:before="60"/>
      </w:pPr>
      <w:r>
        <w:rPr>
          <w:rFonts w:ascii="Calibri" w:cs="Calibri" w:eastAsia="Calibri" w:hAnsi="Calibri"/>
          <w:b w:val="false"/>
          <w:bCs w:val="false"/>
          <w:i w:val="false"/>
          <w:iCs w:val="false"/>
          <w:caps w:val="false"/>
          <w:color w:val="222222"/>
          <w:sz w:val="21"/>
          <w:szCs w:val="21"/>
        </w:rPr>
        <w:t xml:space="preserve"/>
      </w:r>
    </w:p>
    <w:p>
      <w:pPr>
        <w:spacing w:after="0" w:before="220"/>
      </w:pPr>
      <w:r>
        <w:rPr>
          <w:rFonts w:ascii="Calibri" w:cs="Calibri" w:eastAsia="Calibri" w:hAnsi="Calibri"/>
          <w:b/>
          <w:bCs/>
          <w:i w:val="false"/>
          <w:iCs w:val="false"/>
          <w:caps w:val="false"/>
          <w:color w:val="1A1A2E"/>
          <w:sz w:val="60"/>
          <w:szCs w:val="60"/>
        </w:rPr>
        <w:t xml:space="preserve">Badges &amp; Achievements</w:t>
      </w:r>
    </w:p>
    <w:p>
      <w:pPr>
        <w:spacing w:after="0" w:before="40"/>
      </w:pPr>
      <w:r>
        <w:rPr>
          <w:rFonts w:ascii="Calibri" w:cs="Calibri" w:eastAsia="Calibri" w:hAnsi="Calibri"/>
          <w:b w:val="false"/>
          <w:bCs w:val="false"/>
          <w:i w:val="false"/>
          <w:iCs w:val="false"/>
          <w:caps w:val="false"/>
          <w:color w:val="3B4B7A"/>
          <w:sz w:val="32"/>
          <w:szCs w:val="32"/>
        </w:rPr>
        <w:t xml:space="preserve">Product Requirements Document</w:t>
      </w:r>
    </w:p>
    <w:p>
      <w:pPr>
        <w:spacing w:after="0" w:before="340"/>
      </w:pPr>
      <w:r>
        <w:rPr>
          <w:rFonts w:ascii="Calibri" w:cs="Calibri" w:eastAsia="Calibri" w:hAnsi="Calibri"/>
          <w:b w:val="false"/>
          <w:bCs w:val="false"/>
          <w:i/>
          <w:iCs/>
          <w:caps w:val="false"/>
          <w:color w:val="5B6472"/>
          <w:sz w:val="22"/>
          <w:szCs w:val="22"/>
        </w:rPr>
        <w:t xml:space="preserve">A platform-wide gamification layer that turns every meaningful wellness action into visible, collectible, and rewardable recognition — the connective tissue that carries user motivation across features and between campaigns.</w:t>
      </w:r>
    </w:p>
    <w:p>
      <w:pPr>
        <w:spacing w:after="0" w:before="620"/>
      </w:pPr>
      <w:r>
        <w:rPr>
          <w:rFonts w:ascii="Calibri" w:cs="Calibri" w:eastAsia="Calibri" w:hAnsi="Calibri"/>
          <w:b w:val="false"/>
          <w:bCs w:val="false"/>
          <w:i w:val="false"/>
          <w:iCs w:val="false"/>
          <w:caps w:val="false"/>
          <w:color w:val="5B6472"/>
          <w:sz w:val="20"/>
          <w:szCs w:val="20"/>
        </w:rPr>
        <w:t xml:space="preserve">Version </w:t>
      </w:r>
      <w:r>
        <w:rPr>
          <w:rFonts w:ascii="Calibri" w:cs="Calibri" w:eastAsia="Calibri" w:hAnsi="Calibri"/>
          <w:b/>
          <w:bCs/>
          <w:i w:val="false"/>
          <w:iCs w:val="false"/>
          <w:caps w:val="false"/>
          <w:color w:val="1A1A2E"/>
          <w:sz w:val="20"/>
          <w:szCs w:val="20"/>
        </w:rPr>
        <w:t xml:space="preserve">1.0</w:t>
      </w:r>
      <w:r>
        <w:rPr>
          <w:rFonts w:ascii="Calibri" w:cs="Calibri" w:eastAsia="Calibri" w:hAnsi="Calibri"/>
          <w:b w:val="false"/>
          <w:bCs w:val="false"/>
          <w:i w:val="false"/>
          <w:iCs w:val="false"/>
          <w:caps w:val="false"/>
          <w:color w:val="5B6472"/>
          <w:sz w:val="20"/>
          <w:szCs w:val="20"/>
        </w:rPr>
        <w:t xml:space="preserve">     ·     Status </w:t>
      </w:r>
      <w:r>
        <w:rPr>
          <w:rFonts w:ascii="Calibri" w:cs="Calibri" w:eastAsia="Calibri" w:hAnsi="Calibri"/>
          <w:b/>
          <w:bCs/>
          <w:i w:val="false"/>
          <w:iCs w:val="false"/>
          <w:caps w:val="false"/>
          <w:color w:val="1A1A2E"/>
          <w:sz w:val="20"/>
          <w:szCs w:val="20"/>
        </w:rPr>
        <w:t xml:space="preserve">Draft for Review</w:t>
      </w:r>
      <w:r>
        <w:rPr>
          <w:rFonts w:ascii="Calibri" w:cs="Calibri" w:eastAsia="Calibri" w:hAnsi="Calibri"/>
          <w:b w:val="false"/>
          <w:bCs w:val="false"/>
          <w:i w:val="false"/>
          <w:iCs w:val="false"/>
          <w:caps w:val="false"/>
          <w:color w:val="5B6472"/>
          <w:sz w:val="20"/>
          <w:szCs w:val="20"/>
        </w:rPr>
        <w:t xml:space="preserve">     ·     July 2026</w:t>
      </w:r>
    </w:p>
    <w:p>
      <w:pPr>
        <w:spacing w:after="0" w:before="40"/>
      </w:pPr>
      <w:r>
        <w:rPr>
          <w:rFonts w:ascii="Calibri" w:cs="Calibri" w:eastAsia="Calibri" w:hAnsi="Calibri"/>
          <w:b w:val="false"/>
          <w:bCs w:val="false"/>
          <w:i w:val="false"/>
          <w:iCs w:val="false"/>
          <w:caps/>
          <w:color w:val="6B7B9E"/>
          <w:sz w:val="18"/>
          <w:szCs w:val="18"/>
        </w:rPr>
        <w:t xml:space="preserve">Confidential — Internal</w:t>
      </w:r>
    </w:p>
    <w:p>
      <w:r>
        <w:br w:type="page"/>
      </w:r>
    </w:p>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1  </w:t>
      </w:r>
      <w:r>
        <w:rPr>
          <w:rFonts w:ascii="Calibri" w:cs="Calibri" w:eastAsia="Calibri" w:hAnsi="Calibri"/>
          <w:b/>
          <w:bCs/>
          <w:i w:val="false"/>
          <w:iCs w:val="false"/>
          <w:caps w:val="false"/>
          <w:color w:val="1A1A2E"/>
          <w:sz w:val="26"/>
          <w:szCs w:val="26"/>
        </w:rPr>
        <w:t xml:space="preserve">Document Information</w:t>
      </w:r>
    </w:p>
    <w:p>
      <w:pPr>
        <w:spacing w:after="160" w:before="0" w:line="268"/>
        <w:jc w:val="left"/>
      </w:pPr>
      <w:r>
        <w:rPr>
          <w:rFonts w:ascii="Calibri" w:cs="Calibri" w:eastAsia="Calibri" w:hAnsi="Calibri"/>
          <w:b w:val="false"/>
          <w:bCs w:val="false"/>
          <w:i w:val="false"/>
          <w:iCs w:val="false"/>
          <w:caps w:val="false"/>
          <w:color w:val="222222"/>
          <w:sz w:val="21"/>
          <w:szCs w:val="21"/>
        </w:rPr>
        <w:t xml:space="preserve">This Product Requirements Document defines the product intent, scope, success criteria, and cross-functional commitments for the Badges &amp; Achievements feature. It is the decision-and-alignment layer for the initiative. Implementation-level detail — the full badge catalogue, unlock criteria, reward tables, admin configuration, notification copy, event taxonomy, and system architecture — lives in the two companion artefacts referenced throughout and enumerated in the Appendix. Where this PRD and a companion artefact appear to differ, this document governs product intent and the companions govern implementation detail.</w:t>
      </w:r>
    </w:p>
    <w:tbl>
      <w:tblPr>
        <w:tblW w:type="dxa" w:w="9360"/>
        <w:tblBorders>
          <w:top w:val="single" w:color="C9CFDD" w:sz="2"/>
          <w:left w:val="none"/>
          <w:bottom w:val="single" w:color="C9CFDD" w:sz="2"/>
          <w:right w:val="none"/>
          <w:insideH w:val="single" w:color="C9CFDD" w:sz="2"/>
          <w:insideV w:val="none"/>
        </w:tblBorders>
      </w:tblPr>
      <w:tblGrid>
        <w:gridCol w:w="2600"/>
        <w:gridCol w:w="6760"/>
      </w:tblGrid>
      <w:tr>
        <w:trPr>
          <w:tblHeader/>
        </w:trPr>
        <w:tc>
          <w:tcPr>
            <w:tcW w:type="dxa" w:w="26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Field</w:t>
            </w:r>
          </w:p>
        </w:tc>
        <w:tc>
          <w:tcPr>
            <w:tcW w:type="dxa" w:w="67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Detail</w:t>
            </w:r>
          </w:p>
        </w:tc>
      </w:tr>
      <w:tr>
        <w:tc>
          <w:tcPr>
            <w:tcW w:type="dxa" w:w="26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Feature Name</w:t>
            </w:r>
          </w:p>
        </w:tc>
        <w:tc>
          <w:tcPr>
            <w:tcW w:type="dxa" w:w="67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Badges &amp; Achievements</w:t>
            </w:r>
          </w:p>
        </w:tc>
      </w:tr>
      <w:tr>
        <w:tc>
          <w:tcPr>
            <w:tcW w:type="dxa" w:w="26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Product</w:t>
            </w:r>
          </w:p>
        </w:tc>
        <w:tc>
          <w:tcPr>
            <w:tcW w:type="dxa" w:w="67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Habit Health — Engagement Platform</w:t>
            </w:r>
          </w:p>
        </w:tc>
      </w:tr>
      <w:tr>
        <w:tc>
          <w:tcPr>
            <w:tcW w:type="dxa" w:w="26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Document Type</w:t>
            </w:r>
          </w:p>
        </w:tc>
        <w:tc>
          <w:tcPr>
            <w:tcW w:type="dxa" w:w="67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Product Requirements Document (PRD)</w:t>
            </w:r>
          </w:p>
        </w:tc>
      </w:tr>
      <w:tr>
        <w:tc>
          <w:tcPr>
            <w:tcW w:type="dxa" w:w="26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Version</w:t>
            </w:r>
          </w:p>
        </w:tc>
        <w:tc>
          <w:tcPr>
            <w:tcW w:type="dxa" w:w="67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1.0</w:t>
            </w:r>
          </w:p>
        </w:tc>
      </w:tr>
      <w:tr>
        <w:tc>
          <w:tcPr>
            <w:tcW w:type="dxa" w:w="26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Status</w:t>
            </w:r>
          </w:p>
        </w:tc>
        <w:tc>
          <w:tcPr>
            <w:tcW w:type="dxa" w:w="67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Draft for Review</w:t>
            </w:r>
          </w:p>
        </w:tc>
      </w:tr>
      <w:tr>
        <w:tc>
          <w:tcPr>
            <w:tcW w:type="dxa" w:w="26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Author</w:t>
            </w:r>
          </w:p>
        </w:tc>
        <w:tc>
          <w:tcPr>
            <w:tcW w:type="dxa" w:w="67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Product Management, Habit Health</w:t>
            </w:r>
          </w:p>
        </w:tc>
      </w:tr>
      <w:tr>
        <w:tc>
          <w:tcPr>
            <w:tcW w:type="dxa" w:w="26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Date</w:t>
            </w:r>
          </w:p>
        </w:tc>
        <w:tc>
          <w:tcPr>
            <w:tcW w:type="dxa" w:w="67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July 2026</w:t>
            </w:r>
          </w:p>
        </w:tc>
      </w:tr>
      <w:tr>
        <w:tc>
          <w:tcPr>
            <w:tcW w:type="dxa" w:w="26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Primary Reviewers</w:t>
            </w:r>
          </w:p>
        </w:tc>
        <w:tc>
          <w:tcPr>
            <w:tcW w:type="dxa" w:w="67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Product Manager · Engineering Lead · UX Design Lead · Business Stakeholders</w:t>
            </w:r>
          </w:p>
        </w:tc>
      </w:tr>
      <w:tr>
        <w:tc>
          <w:tcPr>
            <w:tcW w:type="dxa" w:w="26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Companion Artefacts</w:t>
            </w:r>
          </w:p>
        </w:tc>
        <w:tc>
          <w:tcPr>
            <w:tcW w:type="dxa" w:w="67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Feature Specification &amp; Business Blueprint v1.0; Badges &amp; Achievements System Workbook</w:t>
            </w:r>
          </w:p>
        </w:tc>
      </w:tr>
    </w:tbl>
    <w:p>
      <w:pPr>
        <w:spacing w:after="40"/>
      </w:pPr>
      <w:r>
        <w:rPr>
          <w:rFonts w:ascii="Calibri" w:cs="Calibri" w:eastAsia="Calibri" w:hAnsi="Calibri"/>
          <w:b w:val="false"/>
          <w:bCs w:val="false"/>
          <w:i w:val="false"/>
          <w:iCs w:val="false"/>
          <w:caps w:val="false"/>
          <w:color w:val="222222"/>
          <w:sz w:val="21"/>
          <w:szCs w:val="21"/>
        </w:rPr>
        <w:t xml:space="preserve"/>
      </w:r>
    </w:p>
    <w:p>
      <w:pPr>
        <w:pStyle w:val="Heading2"/>
        <w:keepNext/>
        <w:spacing w:after="90" w:before="220"/>
      </w:pPr>
      <w:r>
        <w:rPr>
          <w:rFonts w:ascii="Calibri" w:cs="Calibri" w:eastAsia="Calibri" w:hAnsi="Calibri"/>
          <w:b/>
          <w:bCs/>
          <w:i w:val="false"/>
          <w:iCs w:val="false"/>
          <w:caps w:val="false"/>
          <w:color w:val="3B4B7A"/>
          <w:sz w:val="22"/>
          <w:szCs w:val="22"/>
        </w:rPr>
        <w:t xml:space="preserve">Stakeholders &amp; Responsibilities</w:t>
      </w:r>
    </w:p>
    <w:tbl>
      <w:tblPr>
        <w:tblW w:type="dxa" w:w="9360"/>
        <w:tblBorders>
          <w:top w:val="single" w:color="C9CFDD" w:sz="2"/>
          <w:left w:val="none"/>
          <w:bottom w:val="single" w:color="C9CFDD" w:sz="2"/>
          <w:right w:val="none"/>
          <w:insideH w:val="single" w:color="C9CFDD" w:sz="2"/>
          <w:insideV w:val="none"/>
        </w:tblBorders>
      </w:tblPr>
      <w:tblGrid>
        <w:gridCol w:w="2600"/>
        <w:gridCol w:w="3400"/>
        <w:gridCol w:w="3360"/>
      </w:tblGrid>
      <w:tr>
        <w:trPr>
          <w:tblHeader/>
        </w:trPr>
        <w:tc>
          <w:tcPr>
            <w:tcW w:type="dxa" w:w="26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Stakeholder</w:t>
            </w:r>
          </w:p>
        </w:tc>
        <w:tc>
          <w:tcPr>
            <w:tcW w:type="dxa" w:w="34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Interest</w:t>
            </w:r>
          </w:p>
        </w:tc>
        <w:tc>
          <w:tcPr>
            <w:tcW w:type="dxa" w:w="33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Decision Rights</w:t>
            </w:r>
          </w:p>
        </w:tc>
      </w:tr>
      <w:tr>
        <w:tc>
          <w:tcPr>
            <w:tcW w:type="dxa" w:w="26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Product Manager</w:t>
            </w:r>
          </w:p>
        </w:tc>
        <w:tc>
          <w:tcPr>
            <w:tcW w:type="dxa" w:w="34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Roadmap fit, scope, success metrics</w:t>
            </w:r>
          </w:p>
        </w:tc>
        <w:tc>
          <w:tcPr>
            <w:tcW w:type="dxa" w:w="33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Owns scope, priorities, and this PRD</w:t>
            </w:r>
          </w:p>
        </w:tc>
      </w:tr>
      <w:tr>
        <w:tc>
          <w:tcPr>
            <w:tcW w:type="dxa" w:w="26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Engineering Lead</w:t>
            </w:r>
          </w:p>
        </w:tc>
        <w:tc>
          <w:tcPr>
            <w:tcW w:type="dxa" w:w="34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Feasibility, architecture, delivery</w:t>
            </w:r>
          </w:p>
        </w:tc>
        <w:tc>
          <w:tcPr>
            <w:tcW w:type="dxa" w:w="33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Owns technical design &amp; estimates</w:t>
            </w:r>
          </w:p>
        </w:tc>
      </w:tr>
      <w:tr>
        <w:tc>
          <w:tcPr>
            <w:tcW w:type="dxa" w:w="26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UX Design Lead</w:t>
            </w:r>
          </w:p>
        </w:tc>
        <w:tc>
          <w:tcPr>
            <w:tcW w:type="dxa" w:w="34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Hub, celebration, share, accessibility</w:t>
            </w:r>
          </w:p>
        </w:tc>
        <w:tc>
          <w:tcPr>
            <w:tcW w:type="dxa" w:w="33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Owns experience &amp; design-system assets</w:t>
            </w:r>
          </w:p>
        </w:tc>
      </w:tr>
      <w:tr>
        <w:tc>
          <w:tcPr>
            <w:tcW w:type="dxa" w:w="26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Business Stakeholders</w:t>
            </w:r>
          </w:p>
        </w:tc>
        <w:tc>
          <w:tcPr>
            <w:tcW w:type="dxa" w:w="34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Client value, adoption, commercials</w:t>
            </w:r>
          </w:p>
        </w:tc>
        <w:tc>
          <w:tcPr>
            <w:tcW w:type="dxa" w:w="33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Approve go-to-market &amp; client rollout</w:t>
            </w:r>
          </w:p>
        </w:tc>
      </w:tr>
      <w:tr>
        <w:tc>
          <w:tcPr>
            <w:tcW w:type="dxa" w:w="26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Finance</w:t>
            </w:r>
          </w:p>
        </w:tc>
        <w:tc>
          <w:tcPr>
            <w:tcW w:type="dxa" w:w="34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Reward liability &amp; budget control</w:t>
            </w:r>
          </w:p>
        </w:tc>
        <w:tc>
          <w:tcPr>
            <w:tcW w:type="dxa" w:w="33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Approve reward-liability model &amp; caps</w:t>
            </w:r>
          </w:p>
        </w:tc>
      </w:tr>
      <w:tr>
        <w:tc>
          <w:tcPr>
            <w:tcW w:type="dxa" w:w="26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Legal / Privacy</w:t>
            </w:r>
          </w:p>
        </w:tc>
        <w:tc>
          <w:tcPr>
            <w:tcW w:type="dxa" w:w="34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Workplace privacy, data handling</w:t>
            </w:r>
          </w:p>
        </w:tc>
        <w:tc>
          <w:tcPr>
            <w:tcW w:type="dxa" w:w="33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Approve visibility defaults &amp; consent</w:t>
            </w:r>
          </w:p>
        </w:tc>
      </w:tr>
    </w:tbl>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2  </w:t>
      </w:r>
      <w:r>
        <w:rPr>
          <w:rFonts w:ascii="Calibri" w:cs="Calibri" w:eastAsia="Calibri" w:hAnsi="Calibri"/>
          <w:b/>
          <w:bCs/>
          <w:i w:val="false"/>
          <w:iCs w:val="false"/>
          <w:caps w:val="false"/>
          <w:color w:val="1A1A2E"/>
          <w:sz w:val="26"/>
          <w:szCs w:val="26"/>
        </w:rPr>
        <w:t xml:space="preserve">Executive Summary</w:t>
      </w:r>
    </w:p>
    <w:p>
      <w:pPr>
        <w:spacing w:after="120" w:before="0" w:line="268"/>
        <w:jc w:val="left"/>
      </w:pPr>
      <w:r>
        <w:rPr>
          <w:rFonts w:ascii="Calibri" w:cs="Calibri" w:eastAsia="Calibri" w:hAnsi="Calibri"/>
          <w:b w:val="false"/>
          <w:bCs w:val="false"/>
          <w:i w:val="false"/>
          <w:iCs w:val="false"/>
          <w:caps w:val="false"/>
          <w:color w:val="222222"/>
          <w:sz w:val="21"/>
          <w:szCs w:val="21"/>
        </w:rPr>
        <w:t xml:space="preserve">Corporate wellness has a structural engagement problem: strong sign-up followed by steep drop-off. Individual features — a step challenge, a webinar, a health check — create engagement spikes, but nothing sustains motivation across features or carries it between campaigns. On the days when no challenge is running and no event is scheduled, users have no reason to return.</w:t>
      </w:r>
    </w:p>
    <w:p>
      <w:pPr>
        <w:spacing w:after="120" w:before="0" w:line="268"/>
        <w:jc w:val="left"/>
      </w:pPr>
      <w:r>
        <w:rPr>
          <w:rFonts w:ascii="Calibri" w:cs="Calibri" w:eastAsia="Calibri" w:hAnsi="Calibri"/>
          <w:b/>
          <w:bCs/>
          <w:i w:val="false"/>
          <w:iCs w:val="false"/>
          <w:caps w:val="false"/>
          <w:color w:val="222222"/>
          <w:sz w:val="21"/>
          <w:szCs w:val="21"/>
        </w:rPr>
        <w:t xml:space="preserve">Badges &amp; Achievements is the persistent progression layer that closes this gap.</w:t>
      </w:r>
      <w:r>
        <w:rPr>
          <w:rFonts w:ascii="Calibri" w:cs="Calibri" w:eastAsia="Calibri" w:hAnsi="Calibri"/>
          <w:b w:val="false"/>
          <w:bCs w:val="false"/>
          <w:i w:val="false"/>
          <w:iCs w:val="false"/>
          <w:caps w:val="false"/>
          <w:color w:val="222222"/>
          <w:sz w:val="21"/>
          <w:szCs w:val="21"/>
        </w:rPr>
        <w:t xml:space="preserve"> It converts every meaningful wellness action — syncing steps, finishing challenges, attending webinars, booking health checks, consuming content, engaging with the community — into recognition that is visible, collectible, and rewardable. It launches as a greenfield capability with no dependency on legacy platform components, built on an event-driven Badge Engine that is deliberately feature-agnostic: future modules plug in by emitting events and adding catalogue rows, with no change to the engine itself.</w:t>
      </w:r>
    </w:p>
    <w:p>
      <w:pPr>
        <w:spacing w:after="120" w:before="0" w:line="268"/>
        <w:jc w:val="left"/>
      </w:pPr>
      <w:r>
        <w:rPr>
          <w:rFonts w:ascii="Calibri" w:cs="Calibri" w:eastAsia="Calibri" w:hAnsi="Calibri"/>
          <w:b w:val="false"/>
          <w:bCs w:val="false"/>
          <w:i w:val="false"/>
          <w:iCs w:val="false"/>
          <w:caps w:val="false"/>
          <w:color w:val="222222"/>
          <w:sz w:val="21"/>
          <w:szCs w:val="21"/>
        </w:rPr>
        <w:t xml:space="preserve">At launch the feature ships a curated catalogue of approximately </w:t>
      </w:r>
      <w:r>
        <w:rPr>
          <w:rFonts w:ascii="Calibri" w:cs="Calibri" w:eastAsia="Calibri" w:hAnsi="Calibri"/>
          <w:b/>
          <w:bCs/>
          <w:i w:val="false"/>
          <w:iCs w:val="false"/>
          <w:caps w:val="false"/>
          <w:color w:val="222222"/>
          <w:sz w:val="21"/>
          <w:szCs w:val="21"/>
        </w:rPr>
        <w:t xml:space="preserve">31 badge families (~52 unlockable instances)</w:t>
      </w:r>
      <w:r>
        <w:rPr>
          <w:rFonts w:ascii="Calibri" w:cs="Calibri" w:eastAsia="Calibri" w:hAnsi="Calibri"/>
          <w:b w:val="false"/>
          <w:bCs w:val="false"/>
          <w:i w:val="false"/>
          <w:iCs w:val="false"/>
          <w:caps w:val="false"/>
          <w:color w:val="222222"/>
          <w:sz w:val="21"/>
          <w:szCs w:val="21"/>
        </w:rPr>
        <w:t xml:space="preserve"> across eight categories, blending progressive tiers (Bronze → Silver → Gold → Platinum), one-time achievements, and repeatable badges with earn counters. Rewards — Care Coins, wallet money, or vouchers — are configured per badge and fulfilled automatically on unlock through existing wallet and rewards services. A two-level administration model lets HCL Super Admins manage the global catalogue while Client Admins create badges scoped to their own corporate user group within reward and approval guardrails.</w:t>
      </w:r>
    </w:p>
    <w:p>
      <w:pPr>
        <w:pBdr>
          <w:top w:val="single" w:color="C9CFDD" w:sz="2" w:space="8"/>
          <w:bottom w:val="none"/>
          <w:left w:val="single" w:color="3B4B7A" w:sz="18" w:space="12"/>
          <w:right w:val="single" w:color="C9CFDD" w:sz="2" w:space="8"/>
        </w:pBdr>
        <w:shd w:fill="EAEDF5" w:color="auto" w:val="clear"/>
        <w:spacing w:after="60" w:before="0" w:line="260"/>
      </w:pPr>
      <w:r>
        <w:rPr>
          <w:rFonts w:ascii="Calibri" w:cs="Calibri" w:eastAsia="Calibri" w:hAnsi="Calibri"/>
          <w:b w:val="false"/>
          <w:bCs w:val="false"/>
          <w:i w:val="false"/>
          <w:iCs w:val="false"/>
          <w:caps w:val="false"/>
          <w:color w:val="3B4B7A"/>
          <w:sz w:val="20"/>
          <w:szCs w:val="20"/>
        </w:rPr>
        <w:t xml:space="preserve">North-star principle</w:t>
      </w:r>
    </w:p>
    <w:p>
      <w:pPr>
        <w:pBdr>
          <w:top w:val="none"/>
          <w:bottom w:val="single" w:color="C9CFDD" w:sz="2" w:space="8"/>
          <w:left w:val="single" w:color="3B4B7A" w:sz="18" w:space="12"/>
          <w:right w:val="single" w:color="C9CFDD" w:sz="2" w:space="8"/>
        </w:pBdr>
        <w:shd w:fill="EAEDF5" w:color="auto" w:val="clear"/>
        <w:spacing w:after="0" w:before="0" w:line="260"/>
      </w:pPr>
      <w:r>
        <w:rPr>
          <w:rFonts w:ascii="Calibri" w:cs="Calibri" w:eastAsia="Calibri" w:hAnsi="Calibri"/>
          <w:b w:val="false"/>
          <w:bCs w:val="false"/>
          <w:i w:val="false"/>
          <w:iCs w:val="false"/>
          <w:caps w:val="false"/>
          <w:color w:val="2A2A2A"/>
          <w:sz w:val="21"/>
          <w:szCs w:val="21"/>
        </w:rPr>
        <w:t xml:space="preserve">Make the healthy action the rewarding action. Every business objective this feature targets — daily active use, step-sync frequency, challenge participation, health-check engagement, and retention — is moved by the same loop: act → recognise → reward → repeat.</w:t>
      </w:r>
    </w:p>
    <w:p>
      <w:pPr>
        <w:spacing w:after="30"/>
      </w:pPr>
      <w:r>
        <w:rPr>
          <w:rFonts w:ascii="Calibri" w:cs="Calibri" w:eastAsia="Calibri" w:hAnsi="Calibri"/>
          <w:b w:val="false"/>
          <w:bCs w:val="false"/>
          <w:i w:val="false"/>
          <w:iCs w:val="false"/>
          <w:caps w:val="false"/>
          <w:color w:val="222222"/>
          <w:sz w:val="21"/>
          <w:szCs w:val="21"/>
        </w:rPr>
        <w:t xml:space="preserve"/>
      </w:r>
    </w:p>
    <w:p>
      <w:pPr>
        <w:spacing w:after="60" w:before="0" w:line="268"/>
        <w:jc w:val="left"/>
      </w:pPr>
      <w:r>
        <w:rPr>
          <w:rFonts w:ascii="Calibri" w:cs="Calibri" w:eastAsia="Calibri" w:hAnsi="Calibri"/>
          <w:b w:val="false"/>
          <w:bCs w:val="false"/>
          <w:i w:val="false"/>
          <w:iCs w:val="false"/>
          <w:caps w:val="false"/>
          <w:color w:val="222222"/>
          <w:sz w:val="21"/>
          <w:szCs w:val="21"/>
        </w:rPr>
        <w:t xml:space="preserve">The expected impact is a measurable lift across the core engagement funnel, benchmarked against published gamification results and validated against the analytics plan in Section 16. Directionally, streaks and daily-goal badges give users a reason to open the app each day; onboarding and discovery badges guide users into under-used features; and permanent, collectible progression gives new users unfinished goals in their first week. The remainder of this document sets out the problem, goals, success metrics, scope, and cross-functional commitments required to deliver that impact.</w:t>
      </w:r>
    </w:p>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3  </w:t>
      </w:r>
      <w:r>
        <w:rPr>
          <w:rFonts w:ascii="Calibri" w:cs="Calibri" w:eastAsia="Calibri" w:hAnsi="Calibri"/>
          <w:b/>
          <w:bCs/>
          <w:i w:val="false"/>
          <w:iCs w:val="false"/>
          <w:caps w:val="false"/>
          <w:color w:val="1A1A2E"/>
          <w:sz w:val="26"/>
          <w:szCs w:val="26"/>
        </w:rPr>
        <w:t xml:space="preserve">Problem Statement</w:t>
      </w:r>
    </w:p>
    <w:p>
      <w:pPr>
        <w:spacing w:after="130" w:before="0" w:line="268"/>
        <w:jc w:val="left"/>
      </w:pPr>
      <w:r>
        <w:rPr>
          <w:rFonts w:ascii="Calibri" w:cs="Calibri" w:eastAsia="Calibri" w:hAnsi="Calibri"/>
          <w:b w:val="false"/>
          <w:bCs w:val="false"/>
          <w:i w:val="false"/>
          <w:iCs w:val="false"/>
          <w:caps w:val="false"/>
          <w:color w:val="222222"/>
          <w:sz w:val="21"/>
          <w:szCs w:val="21"/>
        </w:rPr>
        <w:t xml:space="preserve">Habit Health has strong feature coverage but no mechanism that sustains engagement across those features over time. Five specific problems compound into the retention curve the business is trying to bend.</w:t>
      </w:r>
    </w:p>
    <w:tbl>
      <w:tblPr>
        <w:tblW w:type="dxa" w:w="9360"/>
        <w:tblBorders>
          <w:top w:val="single" w:color="C9CFDD" w:sz="2"/>
          <w:left w:val="none"/>
          <w:bottom w:val="single" w:color="C9CFDD" w:sz="2"/>
          <w:right w:val="none"/>
          <w:insideH w:val="single" w:color="C9CFDD" w:sz="2"/>
          <w:insideV w:val="none"/>
        </w:tblBorders>
      </w:tblPr>
      <w:tblGrid>
        <w:gridCol w:w="640"/>
        <w:gridCol w:w="2900"/>
        <w:gridCol w:w="5820"/>
      </w:tblGrid>
      <w:tr>
        <w:trPr>
          <w:tblHeader/>
        </w:trPr>
        <w:tc>
          <w:tcPr>
            <w:tcW w:type="dxa" w:w="64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w:t>
            </w:r>
          </w:p>
        </w:tc>
        <w:tc>
          <w:tcPr>
            <w:tcW w:type="dxa" w:w="29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Problem</w:t>
            </w:r>
          </w:p>
        </w:tc>
        <w:tc>
          <w:tcPr>
            <w:tcW w:type="dxa" w:w="582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Why it persists today</w:t>
            </w:r>
          </w:p>
        </w:tc>
      </w:tr>
      <w:tr>
        <w:tc>
          <w:tcPr>
            <w:tcW w:type="dxa" w:w="64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c>
          <w:tcPr>
            <w:tcW w:type="dxa" w:w="29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Engagement is episodic, not habitual</w:t>
            </w:r>
          </w:p>
        </w:tc>
        <w:tc>
          <w:tcPr>
            <w:tcW w:type="dxa" w:w="582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Challenges engage users for 7–10 days and then release them. Between campaigns there is no always-on goal, so activity decays to zero until the next scheduled event.</w:t>
            </w:r>
          </w:p>
        </w:tc>
      </w:tr>
      <w:tr>
        <w:tc>
          <w:tcPr>
            <w:tcW w:type="dxa" w:w="64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P2</w:t>
            </w:r>
          </w:p>
        </w:tc>
        <w:tc>
          <w:tcPr>
            <w:tcW w:type="dxa" w:w="29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Features are under-discovered</w:t>
            </w:r>
          </w:p>
        </w:tc>
        <w:tc>
          <w:tcPr>
            <w:tcW w:type="dxa" w:w="582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Users who join for step challenges rarely find webinars, sports facilities, health checks, or content. There is no incentivised path that guides a user from their entry feature into the rest of the platform.</w:t>
            </w:r>
          </w:p>
        </w:tc>
      </w:tr>
      <w:tr>
        <w:tc>
          <w:tcPr>
            <w:tcW w:type="dxa" w:w="64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P3</w:t>
            </w:r>
          </w:p>
        </w:tc>
        <w:tc>
          <w:tcPr>
            <w:tcW w:type="dxa" w:w="29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Recognition is winner-only</w:t>
            </w:r>
          </w:p>
        </w:tc>
        <w:tc>
          <w:tcPr>
            <w:tcW w:type="dxa" w:w="582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Leaderboards reward the top few. The median employee — consistent but not competitive — receives nothing, so the majority of users get no acknowledgement for real effort.</w:t>
            </w:r>
          </w:p>
        </w:tc>
      </w:tr>
      <w:tr>
        <w:tc>
          <w:tcPr>
            <w:tcW w:type="dxa" w:w="64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P4</w:t>
            </w:r>
          </w:p>
        </w:tc>
        <w:tc>
          <w:tcPr>
            <w:tcW w:type="dxa" w:w="29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Healthy outcomes need repetition</w:t>
            </w:r>
          </w:p>
        </w:tc>
        <w:tc>
          <w:tcPr>
            <w:tcW w:type="dxa" w:w="582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 single health-check booking or one high-step day has limited health value. Nothing today rewards the repeat behaviour that actually drives wellness outcomes.</w:t>
            </w:r>
          </w:p>
        </w:tc>
      </w:tr>
      <w:tr>
        <w:tc>
          <w:tcPr>
            <w:tcW w:type="dxa" w:w="64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P5</w:t>
            </w:r>
          </w:p>
        </w:tc>
        <w:tc>
          <w:tcPr>
            <w:tcW w:type="dxa" w:w="29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No persistent sense of progress</w:t>
            </w:r>
          </w:p>
        </w:tc>
        <w:tc>
          <w:tcPr>
            <w:tcW w:type="dxa" w:w="582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Motivation resets with every campaign. New users have nothing to work toward in week one beyond whatever single activity brought them in, which undermines early retention.</w:t>
            </w:r>
          </w:p>
        </w:tc>
      </w:tr>
    </w:tbl>
    <w:p>
      <w:pPr>
        <w:spacing w:after="30"/>
      </w:pPr>
      <w:r>
        <w:rPr>
          <w:rFonts w:ascii="Calibri" w:cs="Calibri" w:eastAsia="Calibri" w:hAnsi="Calibri"/>
          <w:b w:val="false"/>
          <w:bCs w:val="false"/>
          <w:i w:val="false"/>
          <w:iCs w:val="false"/>
          <w:caps w:val="false"/>
          <w:color w:val="222222"/>
          <w:sz w:val="21"/>
          <w:szCs w:val="21"/>
        </w:rPr>
        <w:t xml:space="preserve"/>
      </w:r>
    </w:p>
    <w:p>
      <w:pPr>
        <w:spacing w:after="60" w:before="0" w:line="268"/>
        <w:jc w:val="left"/>
      </w:pPr>
      <w:r>
        <w:rPr>
          <w:rFonts w:ascii="Calibri" w:cs="Calibri" w:eastAsia="Calibri" w:hAnsi="Calibri"/>
          <w:b w:val="false"/>
          <w:bCs w:val="false"/>
          <w:i w:val="false"/>
          <w:iCs w:val="false"/>
          <w:caps w:val="false"/>
          <w:color w:val="222222"/>
          <w:sz w:val="21"/>
          <w:szCs w:val="21"/>
        </w:rPr>
        <w:t xml:space="preserve">Badges address all five directly. A progression system built from streaks, cumulative milestones, and repeatable goals creates always-on reasons to return </w:t>
      </w:r>
      <w:r>
        <w:rPr>
          <w:rFonts w:ascii="Calibri" w:cs="Calibri" w:eastAsia="Calibri" w:hAnsi="Calibri"/>
          <w:b/>
          <w:bCs/>
          <w:i w:val="false"/>
          <w:iCs w:val="false"/>
          <w:caps w:val="false"/>
          <w:color w:val="222222"/>
          <w:sz w:val="21"/>
          <w:szCs w:val="21"/>
        </w:rPr>
        <w:t xml:space="preserve">(P1)</w:t>
      </w:r>
      <w:r>
        <w:rPr>
          <w:rFonts w:ascii="Calibri" w:cs="Calibri" w:eastAsia="Calibri" w:hAnsi="Calibri"/>
          <w:b w:val="false"/>
          <w:bCs w:val="false"/>
          <w:i w:val="false"/>
          <w:iCs w:val="false"/>
          <w:caps w:val="false"/>
          <w:color w:val="222222"/>
          <w:sz w:val="21"/>
          <w:szCs w:val="21"/>
        </w:rPr>
        <w:t xml:space="preserve">; onboarding and discovery badges act as guided, incentivised cross-feature exploration </w:t>
      </w:r>
      <w:r>
        <w:rPr>
          <w:rFonts w:ascii="Calibri" w:cs="Calibri" w:eastAsia="Calibri" w:hAnsi="Calibri"/>
          <w:b/>
          <w:bCs/>
          <w:i w:val="false"/>
          <w:iCs w:val="false"/>
          <w:caps w:val="false"/>
          <w:color w:val="222222"/>
          <w:sz w:val="21"/>
          <w:szCs w:val="21"/>
        </w:rPr>
        <w:t xml:space="preserve">(P2)</w:t>
      </w:r>
      <w:r>
        <w:rPr>
          <w:rFonts w:ascii="Calibri" w:cs="Calibri" w:eastAsia="Calibri" w:hAnsi="Calibri"/>
          <w:b w:val="false"/>
          <w:bCs w:val="false"/>
          <w:i w:val="false"/>
          <w:iCs w:val="false"/>
          <w:caps w:val="false"/>
          <w:color w:val="222222"/>
          <w:sz w:val="21"/>
          <w:szCs w:val="21"/>
        </w:rPr>
        <w:t xml:space="preserve">; parallel achievement tracks for consistency, participation, and personal bests give every user a realistic path to recognition, not only the podium finishers </w:t>
      </w:r>
      <w:r>
        <w:rPr>
          <w:rFonts w:ascii="Calibri" w:cs="Calibri" w:eastAsia="Calibri" w:hAnsi="Calibri"/>
          <w:b/>
          <w:bCs/>
          <w:i w:val="false"/>
          <w:iCs w:val="false"/>
          <w:caps w:val="false"/>
          <w:color w:val="222222"/>
          <w:sz w:val="21"/>
          <w:szCs w:val="21"/>
        </w:rPr>
        <w:t xml:space="preserve">(P3)</w:t>
      </w:r>
      <w:r>
        <w:rPr>
          <w:rFonts w:ascii="Calibri" w:cs="Calibri" w:eastAsia="Calibri" w:hAnsi="Calibri"/>
          <w:b w:val="false"/>
          <w:bCs w:val="false"/>
          <w:i w:val="false"/>
          <w:iCs w:val="false"/>
          <w:caps w:val="false"/>
          <w:color w:val="222222"/>
          <w:sz w:val="21"/>
          <w:szCs w:val="21"/>
        </w:rPr>
        <w:t xml:space="preserve">; annual repeatable badges and streak mechanics reward repetition as the outcome itself </w:t>
      </w:r>
      <w:r>
        <w:rPr>
          <w:rFonts w:ascii="Calibri" w:cs="Calibri" w:eastAsia="Calibri" w:hAnsi="Calibri"/>
          <w:b/>
          <w:bCs/>
          <w:i w:val="false"/>
          <w:iCs w:val="false"/>
          <w:caps w:val="false"/>
          <w:color w:val="222222"/>
          <w:sz w:val="21"/>
          <w:szCs w:val="21"/>
        </w:rPr>
        <w:t xml:space="preserve">(P4)</w:t>
      </w:r>
      <w:r>
        <w:rPr>
          <w:rFonts w:ascii="Calibri" w:cs="Calibri" w:eastAsia="Calibri" w:hAnsi="Calibri"/>
          <w:b w:val="false"/>
          <w:bCs w:val="false"/>
          <w:i w:val="false"/>
          <w:iCs w:val="false"/>
          <w:caps w:val="false"/>
          <w:color w:val="222222"/>
          <w:sz w:val="21"/>
          <w:szCs w:val="21"/>
        </w:rPr>
        <w:t xml:space="preserve">; and a permanent, ever-growing collection gives users durable goals that survive the end of any single campaign </w:t>
      </w:r>
      <w:r>
        <w:rPr>
          <w:rFonts w:ascii="Calibri" w:cs="Calibri" w:eastAsia="Calibri" w:hAnsi="Calibri"/>
          <w:b/>
          <w:bCs/>
          <w:i w:val="false"/>
          <w:iCs w:val="false"/>
          <w:caps w:val="false"/>
          <w:color w:val="222222"/>
          <w:sz w:val="21"/>
          <w:szCs w:val="21"/>
        </w:rPr>
        <w:t xml:space="preserve">(P5)</w:t>
      </w:r>
      <w:r>
        <w:rPr>
          <w:rFonts w:ascii="Calibri" w:cs="Calibri" w:eastAsia="Calibri" w:hAnsi="Calibri"/>
          <w:b w:val="false"/>
          <w:bCs w:val="false"/>
          <w:i w:val="false"/>
          <w:iCs w:val="false"/>
          <w:caps w:val="false"/>
          <w:color w:val="222222"/>
          <w:sz w:val="21"/>
          <w:szCs w:val="21"/>
        </w:rPr>
        <w:t xml:space="preserve">.</w:t>
      </w:r>
    </w:p>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4  </w:t>
      </w:r>
      <w:r>
        <w:rPr>
          <w:rFonts w:ascii="Calibri" w:cs="Calibri" w:eastAsia="Calibri" w:hAnsi="Calibri"/>
          <w:b/>
          <w:bCs/>
          <w:i w:val="false"/>
          <w:iCs w:val="false"/>
          <w:caps w:val="false"/>
          <w:color w:val="1A1A2E"/>
          <w:sz w:val="26"/>
          <w:szCs w:val="26"/>
        </w:rPr>
        <w:t xml:space="preserve">Goals</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Goals are split into the business outcomes the feature is accountable for and the user outcomes that produce them. The two are intentionally coupled: each business goal is achieved only by satisfying a corresponding user need.</w:t>
      </w:r>
    </w:p>
    <w:p>
      <w:pPr>
        <w:pStyle w:val="Heading2"/>
        <w:keepNext/>
        <w:spacing w:after="90" w:before="220"/>
      </w:pPr>
      <w:r>
        <w:rPr>
          <w:rFonts w:ascii="Calibri" w:cs="Calibri" w:eastAsia="Calibri" w:hAnsi="Calibri"/>
          <w:b/>
          <w:bCs/>
          <w:i w:val="false"/>
          <w:iCs w:val="false"/>
          <w:caps w:val="false"/>
          <w:color w:val="3B4B7A"/>
          <w:sz w:val="22"/>
          <w:szCs w:val="22"/>
        </w:rPr>
        <w:t xml:space="preserve">Business Goals</w:t>
      </w:r>
    </w:p>
    <w:tbl>
      <w:tblPr>
        <w:tblW w:type="dxa" w:w="9360"/>
        <w:tblBorders>
          <w:top w:val="single" w:color="C9CFDD" w:sz="2"/>
          <w:left w:val="none"/>
          <w:bottom w:val="single" w:color="C9CFDD" w:sz="2"/>
          <w:right w:val="none"/>
          <w:insideH w:val="single" w:color="C9CFDD" w:sz="2"/>
          <w:insideV w:val="none"/>
        </w:tblBorders>
      </w:tblPr>
      <w:tblGrid>
        <w:gridCol w:w="4400"/>
        <w:gridCol w:w="4960"/>
      </w:tblGrid>
      <w:tr>
        <w:trPr>
          <w:tblHeader/>
        </w:trPr>
        <w:tc>
          <w:tcPr>
            <w:tcW w:type="dxa" w:w="44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Goal</w:t>
            </w:r>
          </w:p>
        </w:tc>
        <w:tc>
          <w:tcPr>
            <w:tcW w:type="dxa" w:w="49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How badges deliver it</w:t>
            </w:r>
          </w:p>
        </w:tc>
      </w:tr>
      <w:tr>
        <w:tc>
          <w:tcPr>
            <w:tcW w:type="dxa" w:w="44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Improve retention (D30)</w:t>
            </w:r>
          </w:p>
        </w:tc>
        <w:tc>
          <w:tcPr>
            <w:tcW w:type="dxa" w:w="49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Progression systems give new users unfinished goals in week one; streaks create daily return pressure.</w:t>
            </w:r>
          </w:p>
        </w:tc>
      </w:tr>
      <w:tr>
        <w:tc>
          <w:tcPr>
            <w:tcW w:type="dxa" w:w="44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Increase DAU / WAU</w:t>
            </w:r>
          </w:p>
        </w:tc>
        <w:tc>
          <w:tcPr>
            <w:tcW w:type="dxa" w:w="49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Daily-goal and streak badges give a reason to open the app on days with no scheduled activity.</w:t>
            </w:r>
          </w:p>
        </w:tc>
      </w:tr>
      <w:tr>
        <w:tc>
          <w:tcPr>
            <w:tcW w:type="dxa" w:w="44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Increase challenge participation</w:t>
            </w:r>
          </w:p>
        </w:tc>
        <w:tc>
          <w:tcPr>
            <w:tcW w:type="dxa" w:w="49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Join, finish, and career badges reward taking part — not only winning — widening the top of the funnel.</w:t>
            </w:r>
          </w:p>
        </w:tc>
      </w:tr>
      <w:tr>
        <w:tc>
          <w:tcPr>
            <w:tcW w:type="dxa" w:w="44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Improve AHC engagement</w:t>
            </w:r>
          </w:p>
        </w:tc>
        <w:tc>
          <w:tcPr>
            <w:tcW w:type="dxa" w:w="49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Annual repeatable health badges plus high-value Care Coin rewards lift both bookings and completion.</w:t>
            </w:r>
          </w:p>
        </w:tc>
      </w:tr>
      <w:tr>
        <w:tc>
          <w:tcPr>
            <w:tcW w:type="dxa" w:w="44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Increase step-sync frequency</w:t>
            </w:r>
          </w:p>
        </w:tc>
        <w:tc>
          <w:tcPr>
            <w:tcW w:type="dxa" w:w="49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 sync-streak badge rewards the sync action itself, improving the data pipeline that powers other features.</w:t>
            </w:r>
          </w:p>
        </w:tc>
      </w:tr>
      <w:tr>
        <w:tc>
          <w:tcPr>
            <w:tcW w:type="dxa" w:w="44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Increase cross-feature adoption</w:t>
            </w:r>
          </w:p>
        </w:tc>
        <w:tc>
          <w:tcPr>
            <w:tcW w:type="dxa" w:w="49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Onboarding and discovery badges bounty first use of each module, pulling single-feature users into the platform.</w:t>
            </w:r>
          </w:p>
        </w:tc>
      </w:tr>
    </w:tbl>
    <w:p>
      <w:pPr>
        <w:spacing w:after="40"/>
      </w:pPr>
      <w:r>
        <w:rPr>
          <w:rFonts w:ascii="Calibri" w:cs="Calibri" w:eastAsia="Calibri" w:hAnsi="Calibri"/>
          <w:b w:val="false"/>
          <w:bCs w:val="false"/>
          <w:i w:val="false"/>
          <w:iCs w:val="false"/>
          <w:caps w:val="false"/>
          <w:color w:val="222222"/>
          <w:sz w:val="21"/>
          <w:szCs w:val="21"/>
        </w:rPr>
        <w:t xml:space="preserve"/>
      </w:r>
    </w:p>
    <w:p>
      <w:pPr>
        <w:pStyle w:val="Heading2"/>
        <w:keepNext/>
        <w:spacing w:after="90" w:before="220"/>
      </w:pPr>
      <w:r>
        <w:rPr>
          <w:rFonts w:ascii="Calibri" w:cs="Calibri" w:eastAsia="Calibri" w:hAnsi="Calibri"/>
          <w:b/>
          <w:bCs/>
          <w:i w:val="false"/>
          <w:iCs w:val="false"/>
          <w:caps w:val="false"/>
          <w:color w:val="3B4B7A"/>
          <w:sz w:val="22"/>
          <w:szCs w:val="22"/>
        </w:rPr>
        <w:t xml:space="preserve">User Goals</w:t>
      </w:r>
    </w:p>
    <w:tbl>
      <w:tblPr>
        <w:tblW w:type="dxa" w:w="9360"/>
        <w:tblBorders>
          <w:top w:val="single" w:color="C9CFDD" w:sz="2"/>
          <w:left w:val="none"/>
          <w:bottom w:val="single" w:color="C9CFDD" w:sz="2"/>
          <w:right w:val="none"/>
          <w:insideH w:val="single" w:color="C9CFDD" w:sz="2"/>
          <w:insideV w:val="none"/>
        </w:tblBorders>
      </w:tblPr>
      <w:tblGrid>
        <w:gridCol w:w="3200"/>
        <w:gridCol w:w="6160"/>
      </w:tblGrid>
      <w:tr>
        <w:trPr>
          <w:tblHeader/>
        </w:trPr>
        <w:tc>
          <w:tcPr>
            <w:tcW w:type="dxa" w:w="32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User need</w:t>
            </w:r>
          </w:p>
        </w:tc>
        <w:tc>
          <w:tcPr>
            <w:tcW w:type="dxa" w:w="61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What the user experiences</w:t>
            </w:r>
          </w:p>
        </w:tc>
      </w:tr>
      <w:tr>
        <w:tc>
          <w:tcPr>
            <w:tcW w:type="dxa" w:w="3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Motivation</w:t>
            </w:r>
          </w:p>
        </w:tc>
        <w:tc>
          <w:tcPr>
            <w:tcW w:type="dxa" w:w="6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 goal is always within reach at some horizon — daily, weekly, monthly, or lifetime.</w:t>
            </w:r>
          </w:p>
        </w:tc>
      </w:tr>
      <w:tr>
        <w:tc>
          <w:tcPr>
            <w:tcW w:type="dxa" w:w="3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Recognition</w:t>
            </w:r>
          </w:p>
        </w:tc>
        <w:tc>
          <w:tcPr>
            <w:tcW w:type="dxa" w:w="6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Real accomplishments are acknowledged, including consistency and participation, not just winning.</w:t>
            </w:r>
          </w:p>
        </w:tc>
      </w:tr>
      <w:tr>
        <w:tc>
          <w:tcPr>
            <w:tcW w:type="dxa" w:w="3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Visible progress</w:t>
            </w:r>
          </w:p>
        </w:tc>
        <w:tc>
          <w:tcPr>
            <w:tcW w:type="dxa" w:w="6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Locked badges always show exactly how close the user is ("412,300 / 500,000 steps").</w:t>
            </w:r>
          </w:p>
        </w:tc>
      </w:tr>
      <w:tr>
        <w:tc>
          <w:tcPr>
            <w:tcW w:type="dxa" w:w="3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Long-term goals</w:t>
            </w:r>
          </w:p>
        </w:tc>
        <w:tc>
          <w:tcPr>
            <w:tcW w:type="dxa" w:w="6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 permanent, collectible progression that grows over months and years and never resets.</w:t>
            </w:r>
          </w:p>
        </w:tc>
      </w:tr>
      <w:tr>
        <w:tc>
          <w:tcPr>
            <w:tcW w:type="dxa" w:w="3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Consistency</w:t>
            </w:r>
          </w:p>
        </w:tc>
        <w:tc>
          <w:tcPr>
            <w:tcW w:type="dxa" w:w="6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Streaks and repeatables make showing up regularly feel meaningful and rewarded.</w:t>
            </w:r>
          </w:p>
        </w:tc>
      </w:tr>
      <w:tr>
        <w:tc>
          <w:tcPr>
            <w:tcW w:type="dxa" w:w="3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Identity &amp; status</w:t>
            </w:r>
          </w:p>
        </w:tc>
        <w:tc>
          <w:tcPr>
            <w:tcW w:type="dxa" w:w="6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Shareable, group-visible achievements turn private effort into public identity.</w:t>
            </w:r>
          </w:p>
        </w:tc>
      </w:tr>
    </w:tbl>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5  </w:t>
      </w:r>
      <w:r>
        <w:rPr>
          <w:rFonts w:ascii="Calibri" w:cs="Calibri" w:eastAsia="Calibri" w:hAnsi="Calibri"/>
          <w:b/>
          <w:bCs/>
          <w:i w:val="false"/>
          <w:iCs w:val="false"/>
          <w:caps w:val="false"/>
          <w:color w:val="1A1A2E"/>
          <w:sz w:val="26"/>
          <w:szCs w:val="26"/>
        </w:rPr>
        <w:t xml:space="preserve">Success Metrics</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Success is measured against pre-launch baselines captured during Beta and reviewed at 90 days after general availability (GA+90d). Targets below are drawn from the analytics plan in the companion Workbook; measurement sources and cadences are summarised here and specified in full there. Targets are directional and benchmarked to published gamification results; actuals govern.</w:t>
      </w:r>
    </w:p>
    <w:tbl>
      <w:tblPr>
        <w:tblW w:type="dxa" w:w="9360"/>
        <w:tblBorders>
          <w:top w:val="single" w:color="C9CFDD" w:sz="2"/>
          <w:left w:val="none"/>
          <w:bottom w:val="single" w:color="C9CFDD" w:sz="2"/>
          <w:right w:val="none"/>
          <w:insideH w:val="single" w:color="C9CFDD" w:sz="2"/>
          <w:insideV w:val="none"/>
        </w:tblBorders>
      </w:tblPr>
      <w:tblGrid>
        <w:gridCol w:w="2380"/>
        <w:gridCol w:w="2560"/>
        <w:gridCol w:w="1760"/>
        <w:gridCol w:w="2660"/>
      </w:tblGrid>
      <w:tr>
        <w:trPr>
          <w:tblHeader/>
        </w:trPr>
        <w:tc>
          <w:tcPr>
            <w:tcW w:type="dxa" w:w="238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Metric</w:t>
            </w:r>
          </w:p>
        </w:tc>
        <w:tc>
          <w:tcPr>
            <w:tcW w:type="dxa" w:w="25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Target</w:t>
            </w:r>
          </w:p>
        </w:tc>
        <w:tc>
          <w:tcPr>
            <w:tcW w:type="dxa" w:w="17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Baseline</w:t>
            </w:r>
          </w:p>
        </w:tc>
        <w:tc>
          <w:tcPr>
            <w:tcW w:type="dxa" w:w="26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Measurement method</w:t>
            </w:r>
          </w:p>
        </w:tc>
      </w:tr>
      <w:tr>
        <w:tc>
          <w:tcPr>
            <w:tcW w:type="dxa" w:w="23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DAU / WAU uplift</w:t>
            </w:r>
          </w:p>
        </w:tc>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+8–15% by GA+90d</w:t>
            </w:r>
          </w:p>
        </w:tc>
        <w:tc>
          <w:tcPr>
            <w:tcW w:type="dxa" w:w="17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Captured in Beta</w:t>
            </w:r>
          </w:p>
        </w:tc>
        <w:tc>
          <w:tcPr>
            <w:tcW w:type="dxa" w:w="26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App analytics, weekly vs pre-launch</w:t>
            </w:r>
          </w:p>
        </w:tc>
      </w:tr>
      <w:tr>
        <w:tc>
          <w:tcPr>
            <w:tcW w:type="dxa" w:w="23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Step-sync days / user / week</w:t>
            </w:r>
          </w:p>
        </w:tc>
        <w:tc>
          <w:tcPr>
            <w:tcW w:type="dxa" w:w="2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+20–30%</w:t>
            </w:r>
          </w:p>
        </w:tc>
        <w:tc>
          <w:tcPr>
            <w:tcW w:type="dxa" w:w="17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Captured in Beta</w:t>
            </w:r>
          </w:p>
        </w:tc>
        <w:tc>
          <w:tcPr>
            <w:tcW w:type="dxa" w:w="26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steps.synced events, weekly</w:t>
            </w:r>
          </w:p>
        </w:tc>
      </w:tr>
      <w:tr>
        <w:tc>
          <w:tcPr>
            <w:tcW w:type="dxa" w:w="23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Challenge participation</w:t>
            </w:r>
          </w:p>
        </w:tc>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+10–20% joins</w:t>
            </w:r>
          </w:p>
        </w:tc>
        <w:tc>
          <w:tcPr>
            <w:tcW w:type="dxa" w:w="17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Captured in Beta</w:t>
            </w:r>
          </w:p>
        </w:tc>
        <w:tc>
          <w:tcPr>
            <w:tcW w:type="dxa" w:w="26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challenge.joined per eligible user</w:t>
            </w:r>
          </w:p>
        </w:tc>
      </w:tr>
      <w:tr>
        <w:tc>
          <w:tcPr>
            <w:tcW w:type="dxa" w:w="23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AHC bookings &amp; completion</w:t>
            </w:r>
          </w:p>
        </w:tc>
        <w:tc>
          <w:tcPr>
            <w:tcW w:type="dxa" w:w="2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Uplift vs last year</w:t>
            </w:r>
          </w:p>
        </w:tc>
        <w:tc>
          <w:tcPr>
            <w:tcW w:type="dxa" w:w="17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Prior-year actuals</w:t>
            </w:r>
          </w:p>
        </w:tc>
        <w:tc>
          <w:tcPr>
            <w:tcW w:type="dxa" w:w="26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AHC events, monthly</w:t>
            </w:r>
          </w:p>
        </w:tc>
      </w:tr>
      <w:tr>
        <w:tc>
          <w:tcPr>
            <w:tcW w:type="dxa" w:w="23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D30 retention</w:t>
            </w:r>
          </w:p>
        </w:tc>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+5–10%</w:t>
            </w:r>
          </w:p>
        </w:tc>
        <w:tc>
          <w:tcPr>
            <w:tcW w:type="dxa" w:w="17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Captured in Beta</w:t>
            </w:r>
          </w:p>
        </w:tc>
        <w:tc>
          <w:tcPr>
            <w:tcW w:type="dxa" w:w="26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Monthly cohort retention</w:t>
            </w:r>
          </w:p>
        </w:tc>
      </w:tr>
      <w:tr>
        <w:tc>
          <w:tcPr>
            <w:tcW w:type="dxa" w:w="23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Badge unlock rate</w:t>
            </w:r>
          </w:p>
        </w:tc>
        <w:tc>
          <w:tcPr>
            <w:tcW w:type="dxa" w:w="2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No badge &lt;2% or &gt;95%</w:t>
            </w:r>
          </w:p>
        </w:tc>
        <w:tc>
          <w:tcPr>
            <w:tcW w:type="dxa" w:w="17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n/a (new)</w:t>
            </w:r>
          </w:p>
        </w:tc>
        <w:tc>
          <w:tcPr>
            <w:tcW w:type="dxa" w:w="26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Earn ledger, weekly (catalogue balance)</w:t>
            </w:r>
          </w:p>
        </w:tc>
      </w:tr>
      <w:tr>
        <w:tc>
          <w:tcPr>
            <w:tcW w:type="dxa" w:w="23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Median time-to-first-badge</w:t>
            </w:r>
          </w:p>
        </w:tc>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&lt; 2 days from signup</w:t>
            </w:r>
          </w:p>
        </w:tc>
        <w:tc>
          <w:tcPr>
            <w:tcW w:type="dxa" w:w="17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n/a (new)</w:t>
            </w:r>
          </w:p>
        </w:tc>
        <w:tc>
          <w:tcPr>
            <w:tcW w:type="dxa" w:w="26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Earn ledger, weekly</w:t>
            </w:r>
          </w:p>
        </w:tc>
      </w:tr>
      <w:tr>
        <w:tc>
          <w:tcPr>
            <w:tcW w:type="dxa" w:w="23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Celebration → share rate</w:t>
            </w:r>
          </w:p>
        </w:tc>
        <w:tc>
          <w:tcPr>
            <w:tcW w:type="dxa" w:w="2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&gt; 8%</w:t>
            </w:r>
          </w:p>
        </w:tc>
        <w:tc>
          <w:tcPr>
            <w:tcW w:type="dxa" w:w="17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n/a (new)</w:t>
            </w:r>
          </w:p>
        </w:tc>
        <w:tc>
          <w:tcPr>
            <w:tcW w:type="dxa" w:w="26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UX events, weekly</w:t>
            </w:r>
          </w:p>
        </w:tc>
      </w:tr>
      <w:tr>
        <w:tc>
          <w:tcPr>
            <w:tcW w:type="dxa" w:w="23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Hub weekly visit rate</w:t>
            </w:r>
          </w:p>
        </w:tc>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&gt; 35% of WAU</w:t>
            </w:r>
          </w:p>
        </w:tc>
        <w:tc>
          <w:tcPr>
            <w:tcW w:type="dxa" w:w="17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n/a (new)</w:t>
            </w:r>
          </w:p>
        </w:tc>
        <w:tc>
          <w:tcPr>
            <w:tcW w:type="dxa" w:w="26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UX events, weekly</w:t>
            </w:r>
          </w:p>
        </w:tc>
      </w:tr>
      <w:tr>
        <w:tc>
          <w:tcPr>
            <w:tcW w:type="dxa" w:w="23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Reward liability</w:t>
            </w:r>
          </w:p>
        </w:tc>
        <w:tc>
          <w:tcPr>
            <w:tcW w:type="dxa" w:w="2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Within budget; caps &lt; 80%</w:t>
            </w:r>
          </w:p>
        </w:tc>
        <w:tc>
          <w:tcPr>
            <w:tcW w:type="dxa" w:w="17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Budget-set</w:t>
            </w:r>
          </w:p>
        </w:tc>
        <w:tc>
          <w:tcPr>
            <w:tcW w:type="dxa" w:w="26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Reward ledger, monthly (Finance)</w:t>
            </w:r>
          </w:p>
        </w:tc>
      </w:tr>
      <w:tr>
        <w:tc>
          <w:tcPr>
            <w:tcW w:type="dxa" w:w="23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Engagement lift by badge count</w:t>
            </w:r>
          </w:p>
        </w:tc>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Positive monotonic</w:t>
            </w:r>
          </w:p>
        </w:tc>
        <w:tc>
          <w:tcPr>
            <w:tcW w:type="dxa" w:w="17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n/a (new)</w:t>
            </w:r>
          </w:p>
        </w:tc>
        <w:tc>
          <w:tcPr>
            <w:tcW w:type="dxa" w:w="26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Cohort analysis, monthly</w:t>
            </w:r>
          </w:p>
        </w:tc>
      </w:tr>
    </w:tbl>
    <w:p>
      <w:pPr>
        <w:spacing w:after="24"/>
      </w:pPr>
      <w:r>
        <w:rPr>
          <w:rFonts w:ascii="Calibri" w:cs="Calibri" w:eastAsia="Calibri" w:hAnsi="Calibri"/>
          <w:b w:val="false"/>
          <w:bCs w:val="false"/>
          <w:i w:val="false"/>
          <w:iCs w:val="false"/>
          <w:caps w:val="false"/>
          <w:color w:val="222222"/>
          <w:sz w:val="21"/>
          <w:szCs w:val="21"/>
        </w:rPr>
        <w:t xml:space="preserve"/>
      </w:r>
    </w:p>
    <w:p>
      <w:pPr>
        <w:spacing w:after="60" w:before="0" w:line="268"/>
        <w:jc w:val="left"/>
      </w:pPr>
      <w:r>
        <w:rPr>
          <w:rFonts w:ascii="Calibri" w:cs="Calibri" w:eastAsia="Calibri" w:hAnsi="Calibri"/>
          <w:b w:val="false"/>
          <w:bCs w:val="false"/>
          <w:i w:val="false"/>
          <w:iCs w:val="false"/>
          <w:caps w:val="false"/>
          <w:color w:val="222222"/>
          <w:sz w:val="21"/>
          <w:szCs w:val="21"/>
        </w:rPr>
        <w:t xml:space="preserve">Two categories of metric matter together. </w:t>
      </w:r>
      <w:r>
        <w:rPr>
          <w:rFonts w:ascii="Calibri" w:cs="Calibri" w:eastAsia="Calibri" w:hAnsi="Calibri"/>
          <w:b/>
          <w:bCs/>
          <w:i w:val="false"/>
          <w:iCs w:val="false"/>
          <w:caps w:val="false"/>
          <w:color w:val="222222"/>
          <w:sz w:val="21"/>
          <w:szCs w:val="21"/>
        </w:rPr>
        <w:t xml:space="preserve">Outcome metrics</w:t>
      </w:r>
      <w:r>
        <w:rPr>
          <w:rFonts w:ascii="Calibri" w:cs="Calibri" w:eastAsia="Calibri" w:hAnsi="Calibri"/>
          <w:b w:val="false"/>
          <w:bCs w:val="false"/>
          <w:i w:val="false"/>
          <w:iCs w:val="false"/>
          <w:caps w:val="false"/>
          <w:color w:val="222222"/>
          <w:sz w:val="21"/>
          <w:szCs w:val="21"/>
        </w:rPr>
        <w:t xml:space="preserve"> (retention, DAU/WAU, participation, AHC) tell us whether the feature moved the business. </w:t>
      </w:r>
      <w:r>
        <w:rPr>
          <w:rFonts w:ascii="Calibri" w:cs="Calibri" w:eastAsia="Calibri" w:hAnsi="Calibri"/>
          <w:b/>
          <w:bCs/>
          <w:i w:val="false"/>
          <w:iCs w:val="false"/>
          <w:caps w:val="false"/>
          <w:color w:val="222222"/>
          <w:sz w:val="21"/>
          <w:szCs w:val="21"/>
        </w:rPr>
        <w:t xml:space="preserve">Health metrics</w:t>
      </w:r>
      <w:r>
        <w:rPr>
          <w:rFonts w:ascii="Calibri" w:cs="Calibri" w:eastAsia="Calibri" w:hAnsi="Calibri"/>
          <w:b w:val="false"/>
          <w:bCs w:val="false"/>
          <w:i w:val="false"/>
          <w:iCs w:val="false"/>
          <w:caps w:val="false"/>
          <w:color w:val="222222"/>
          <w:sz w:val="21"/>
          <w:szCs w:val="21"/>
        </w:rPr>
        <w:t xml:space="preserve"> (unlock rate, time-to-first-badge, catalogue balance, reward-cap utilisation) tell us whether the system itself is well-tuned — a badge unlocked by fewer than 2% or more than 95% of eligible users signals a badge that is mis-calibrated and should be adjusted before it distorts the outcome metrics.</w:t>
      </w:r>
    </w:p>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6  </w:t>
      </w:r>
      <w:r>
        <w:rPr>
          <w:rFonts w:ascii="Calibri" w:cs="Calibri" w:eastAsia="Calibri" w:hAnsi="Calibri"/>
          <w:b/>
          <w:bCs/>
          <w:i w:val="false"/>
          <w:iCs w:val="false"/>
          <w:caps w:val="false"/>
          <w:color w:val="1A1A2E"/>
          <w:sz w:val="26"/>
          <w:szCs w:val="26"/>
        </w:rPr>
        <w:t xml:space="preserve">Target Users</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The feature serves employees of client organisations as its primary audience, with two administrative audiences who configure and govern it. Personas below are deliberately brief; they exist to anchor design and prioritisation decisions.</w:t>
      </w:r>
    </w:p>
    <w:p>
      <w:pPr>
        <w:pStyle w:val="Heading2"/>
        <w:keepNext/>
        <w:spacing w:after="90" w:before="220"/>
      </w:pPr>
      <w:r>
        <w:rPr>
          <w:rFonts w:ascii="Calibri" w:cs="Calibri" w:eastAsia="Calibri" w:hAnsi="Calibri"/>
          <w:b/>
          <w:bCs/>
          <w:i w:val="false"/>
          <w:iCs w:val="false"/>
          <w:caps w:val="false"/>
          <w:color w:val="3B4B7A"/>
          <w:sz w:val="22"/>
          <w:szCs w:val="22"/>
        </w:rPr>
        <w:t xml:space="preserve">Primary — the employee (end user)</w:t>
      </w:r>
    </w:p>
    <w:p>
      <w:pPr>
        <w:spacing w:after="120" w:before="0" w:line="268"/>
        <w:jc w:val="left"/>
      </w:pPr>
      <w:r>
        <w:rPr>
          <w:rFonts w:ascii="Calibri" w:cs="Calibri" w:eastAsia="Calibri" w:hAnsi="Calibri"/>
          <w:b w:val="false"/>
          <w:bCs w:val="false"/>
          <w:i w:val="false"/>
          <w:iCs w:val="false"/>
          <w:caps w:val="false"/>
          <w:color w:val="222222"/>
          <w:sz w:val="21"/>
          <w:szCs w:val="21"/>
        </w:rPr>
        <w:t xml:space="preserve">An employee at a client company using Habit Health for wellness, most often entering through step tracking or a company challenge. This user is typically consistent rather than competitive — they will never top a leaderboard, but they show up. The feature must give </w:t>
      </w:r>
      <w:r>
        <w:rPr>
          <w:rFonts w:ascii="Calibri" w:cs="Calibri" w:eastAsia="Calibri" w:hAnsi="Calibri"/>
          <w:b/>
          <w:bCs/>
          <w:i w:val="false"/>
          <w:iCs w:val="false"/>
          <w:caps w:val="false"/>
          <w:color w:val="222222"/>
          <w:sz w:val="21"/>
          <w:szCs w:val="21"/>
        </w:rPr>
        <w:t xml:space="preserve">this median user</w:t>
      </w:r>
      <w:r>
        <w:rPr>
          <w:rFonts w:ascii="Calibri" w:cs="Calibri" w:eastAsia="Calibri" w:hAnsi="Calibri"/>
          <w:b w:val="false"/>
          <w:bCs w:val="false"/>
          <w:i w:val="false"/>
          <w:iCs w:val="false"/>
          <w:caps w:val="false"/>
          <w:color w:val="222222"/>
          <w:sz w:val="21"/>
          <w:szCs w:val="21"/>
        </w:rPr>
        <w:t xml:space="preserve"> a realistic and continuous path to recognition. Sub-segments include the newly onboarded user (needs a fast first win and a visible next goal) and the lapsing user (needs a streak or near-miss nudge to return).</w:t>
      </w:r>
    </w:p>
    <w:p>
      <w:pPr>
        <w:pStyle w:val="Heading2"/>
        <w:keepNext/>
        <w:spacing w:after="90" w:before="220"/>
      </w:pPr>
      <w:r>
        <w:rPr>
          <w:rFonts w:ascii="Calibri" w:cs="Calibri" w:eastAsia="Calibri" w:hAnsi="Calibri"/>
          <w:b/>
          <w:bCs/>
          <w:i w:val="false"/>
          <w:iCs w:val="false"/>
          <w:caps w:val="false"/>
          <w:color w:val="3B4B7A"/>
          <w:sz w:val="22"/>
          <w:szCs w:val="22"/>
        </w:rPr>
        <w:t xml:space="preserve">Secondary — the socially motivated user</w:t>
      </w:r>
    </w:p>
    <w:p>
      <w:pPr>
        <w:spacing w:after="120" w:before="0" w:line="268"/>
        <w:jc w:val="left"/>
      </w:pPr>
      <w:r>
        <w:rPr>
          <w:rFonts w:ascii="Calibri" w:cs="Calibri" w:eastAsia="Calibri" w:hAnsi="Calibri"/>
          <w:b w:val="false"/>
          <w:bCs w:val="false"/>
          <w:i w:val="false"/>
          <w:iCs w:val="false"/>
          <w:caps w:val="false"/>
          <w:color w:val="222222"/>
          <w:sz w:val="21"/>
          <w:szCs w:val="21"/>
        </w:rPr>
        <w:t xml:space="preserve">A subset of end users motivated by status and sharing. They display badges on their in-group profile and share achievement cards externally. They seed the social proof that makes the system visible to everyone else, and they are the primary driver of the share-rate metric.</w:t>
      </w:r>
    </w:p>
    <w:p>
      <w:pPr>
        <w:pStyle w:val="Heading2"/>
        <w:keepNext/>
        <w:spacing w:after="90" w:before="220"/>
      </w:pPr>
      <w:r>
        <w:rPr>
          <w:rFonts w:ascii="Calibri" w:cs="Calibri" w:eastAsia="Calibri" w:hAnsi="Calibri"/>
          <w:b/>
          <w:bCs/>
          <w:i w:val="false"/>
          <w:iCs w:val="false"/>
          <w:caps w:val="false"/>
          <w:color w:val="3B4B7A"/>
          <w:sz w:val="22"/>
          <w:szCs w:val="22"/>
        </w:rPr>
        <w:t xml:space="preserve">Client Admin</w:t>
      </w:r>
    </w:p>
    <w:p>
      <w:pPr>
        <w:spacing w:after="120" w:before="0" w:line="268"/>
        <w:jc w:val="left"/>
      </w:pPr>
      <w:r>
        <w:rPr>
          <w:rFonts w:ascii="Calibri" w:cs="Calibri" w:eastAsia="Calibri" w:hAnsi="Calibri"/>
          <w:b w:val="false"/>
          <w:bCs w:val="false"/>
          <w:i w:val="false"/>
          <w:iCs w:val="false"/>
          <w:caps w:val="false"/>
          <w:color w:val="222222"/>
          <w:sz w:val="21"/>
          <w:szCs w:val="21"/>
        </w:rPr>
        <w:t xml:space="preserve">The wellness or HR administrator at a client organisation. They create badges scoped to their own corporate user group (CUG) — most importantly time-boxed campaign badges for events like Wellness Week — operating within reward budgets and an approval workflow. They need a guided builder, pre-publish unlock projections, and per-badge analytics for their group. They cannot revoke a user's badge or edit the global catalogue.</w:t>
      </w:r>
    </w:p>
    <w:p>
      <w:pPr>
        <w:pStyle w:val="Heading2"/>
        <w:keepNext/>
        <w:spacing w:after="90" w:before="220"/>
      </w:pPr>
      <w:r>
        <w:rPr>
          <w:rFonts w:ascii="Calibri" w:cs="Calibri" w:eastAsia="Calibri" w:hAnsi="Calibri"/>
          <w:b/>
          <w:bCs/>
          <w:i w:val="false"/>
          <w:iCs w:val="false"/>
          <w:caps w:val="false"/>
          <w:color w:val="3B4B7A"/>
          <w:sz w:val="22"/>
          <w:szCs w:val="22"/>
        </w:rPr>
        <w:t xml:space="preserve">Super Admin (HCL)</w:t>
      </w:r>
    </w:p>
    <w:p>
      <w:pPr>
        <w:spacing w:after="60" w:before="0" w:line="268"/>
        <w:jc w:val="left"/>
      </w:pPr>
      <w:r>
        <w:rPr>
          <w:rFonts w:ascii="Calibri" w:cs="Calibri" w:eastAsia="Calibri" w:hAnsi="Calibri"/>
          <w:b w:val="false"/>
          <w:bCs w:val="false"/>
          <w:i w:val="false"/>
          <w:iCs w:val="false"/>
          <w:caps w:val="false"/>
          <w:color w:val="222222"/>
          <w:sz w:val="21"/>
          <w:szCs w:val="21"/>
        </w:rPr>
        <w:t xml:space="preserve">The platform administrator who owns the global badge catalogue, approves high-value Client Admin badges, and holds the sole ability to revoke a fraudulent earn (audited, with reward clawback). They set the guardrails within which all Client Admins operate and have full analytics visibility across every group.</w:t>
      </w:r>
    </w:p>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7  </w:t>
      </w:r>
      <w:r>
        <w:rPr>
          <w:rFonts w:ascii="Calibri" w:cs="Calibri" w:eastAsia="Calibri" w:hAnsi="Calibri"/>
          <w:b/>
          <w:bCs/>
          <w:i w:val="false"/>
          <w:iCs w:val="false"/>
          <w:caps w:val="false"/>
          <w:color w:val="1A1A2E"/>
          <w:sz w:val="26"/>
          <w:szCs w:val="26"/>
        </w:rPr>
        <w:t xml:space="preserve">User Journey</w:t>
      </w:r>
    </w:p>
    <w:p>
      <w:pPr>
        <w:spacing w:after="150" w:before="0" w:line="268"/>
        <w:jc w:val="left"/>
      </w:pPr>
      <w:r>
        <w:rPr>
          <w:rFonts w:ascii="Calibri" w:cs="Calibri" w:eastAsia="Calibri" w:hAnsi="Calibri"/>
          <w:b w:val="false"/>
          <w:bCs w:val="false"/>
          <w:i w:val="false"/>
          <w:iCs w:val="false"/>
          <w:caps w:val="false"/>
          <w:color w:val="222222"/>
          <w:sz w:val="21"/>
          <w:szCs w:val="21"/>
        </w:rPr>
        <w:t xml:space="preserve">The end-to-end experience is a single reinforcing loop. A user acts, the system recognises the accomplishment, the user is celebrated and rewarded, progress toward the next goal becomes visible, and that visible progress pulls the user back into the next action. The flow below traces one pass through that loop.</w:t>
      </w:r>
    </w:p>
    <w:tbl>
      <w:tblPr>
        <w:tblW w:type="dxa" w:w="9360"/>
        <w:tblBorders>
          <w:top w:val="single" w:color="C9CFDD" w:sz="2"/>
          <w:left w:val="none"/>
          <w:bottom w:val="single" w:color="C9CFDD" w:sz="2"/>
          <w:right w:val="none"/>
          <w:insideH w:val="single" w:color="FFFFFF" w:sz="2"/>
          <w:insideV w:val="single" w:color="FFFFFF" w:sz="2"/>
        </w:tblBorders>
      </w:tblPr>
      <w:tblGrid>
        <w:gridCol w:w="900"/>
        <w:gridCol w:w="2800"/>
        <w:gridCol w:w="5660"/>
      </w:tblGrid>
      <w:tr>
        <w:tc>
          <w:tcPr>
            <w:tcW w:type="dxa" w:w="900"/>
            <w:shd w:fill="2B3556" w:color="auto" w:val="clear"/>
            <w:tcMar>
              <w:top w:type="dxa" w:w="70"/>
              <w:left w:type="dxa" w:w="80"/>
              <w:bottom w:type="dxa" w:w="70"/>
              <w:right w:type="dxa" w:w="80"/>
            </w:tcMar>
            <w:vAlign w:val="center"/>
          </w:tcPr>
          <w:p>
            <w:pPr>
              <w:spacing w:after="0"/>
              <w:jc w:val="center"/>
            </w:pPr>
            <w:r>
              <w:rPr>
                <w:rFonts w:ascii="Calibri" w:cs="Calibri" w:eastAsia="Calibri" w:hAnsi="Calibri"/>
                <w:b/>
                <w:bCs/>
                <w:i w:val="false"/>
                <w:iCs w:val="false"/>
                <w:caps w:val="false"/>
                <w:color w:val="FFFFFF"/>
                <w:sz w:val="24"/>
                <w:szCs w:val="24"/>
              </w:rPr>
              <w:t xml:space="preserve">1</w:t>
            </w:r>
          </w:p>
        </w:tc>
        <w:tc>
          <w:tcPr>
            <w:tcW w:type="dxa" w:w="2800"/>
            <w:shd w:fill="EAEDF5" w:color="auto" w:val="clear"/>
            <w:tcMar>
              <w:top w:type="dxa" w:w="70"/>
              <w:left w:type="dxa" w:w="130"/>
              <w:bottom w:type="dxa" w:w="70"/>
              <w:right w:type="dxa" w:w="100"/>
            </w:tcMar>
            <w:vAlign w:val="center"/>
          </w:tcPr>
          <w:p>
            <w:pPr>
              <w:spacing w:after="0"/>
            </w:pPr>
            <w:r>
              <w:rPr>
                <w:rFonts w:ascii="Calibri" w:cs="Calibri" w:eastAsia="Calibri" w:hAnsi="Calibri"/>
                <w:b/>
                <w:bCs/>
                <w:i w:val="false"/>
                <w:iCs w:val="false"/>
                <w:caps w:val="false"/>
                <w:color w:val="1A1A2E"/>
                <w:sz w:val="21"/>
                <w:szCs w:val="21"/>
              </w:rPr>
              <w:t xml:space="preserve">Open app &amp; act</w:t>
            </w:r>
          </w:p>
        </w:tc>
        <w:tc>
          <w:tcPr>
            <w:tcW w:type="dxa" w:w="5660"/>
            <w:tcMar>
              <w:top w:type="dxa" w:w="70"/>
              <w:left w:type="dxa" w:w="130"/>
              <w:bottom w:type="dxa" w:w="70"/>
              <w:right w:type="dxa" w:w="110"/>
            </w:tcMar>
            <w:vAlign w:val="center"/>
          </w:tcPr>
          <w:p>
            <w:pPr>
              <w:spacing w:after="0" w:line="248"/>
            </w:pPr>
            <w:r>
              <w:rPr>
                <w:rFonts w:ascii="Calibri" w:cs="Calibri" w:eastAsia="Calibri" w:hAnsi="Calibri"/>
                <w:b w:val="false"/>
                <w:bCs w:val="false"/>
                <w:i w:val="false"/>
                <w:iCs w:val="false"/>
                <w:caps w:val="false"/>
                <w:color w:val="333333"/>
                <w:sz w:val="20"/>
                <w:szCs w:val="20"/>
              </w:rPr>
              <w:t xml:space="preserve">The user opens Habit Health and completes a meaningful action — syncs steps, finishes a challenge, attends a webinar, books a health check.</w:t>
            </w:r>
          </w:p>
        </w:tc>
      </w:tr>
      <w:tr>
        <w:tc>
          <w:tcPr>
            <w:tcW w:type="dxa" w:w="900"/>
            <w:shd w:fill="2B3556" w:color="auto" w:val="clear"/>
            <w:tcMar>
              <w:top w:type="dxa" w:w="70"/>
              <w:left w:type="dxa" w:w="80"/>
              <w:bottom w:type="dxa" w:w="70"/>
              <w:right w:type="dxa" w:w="80"/>
            </w:tcMar>
            <w:vAlign w:val="center"/>
          </w:tcPr>
          <w:p>
            <w:pPr>
              <w:spacing w:after="0"/>
              <w:jc w:val="center"/>
            </w:pPr>
            <w:r>
              <w:rPr>
                <w:rFonts w:ascii="Calibri" w:cs="Calibri" w:eastAsia="Calibri" w:hAnsi="Calibri"/>
                <w:b/>
                <w:bCs/>
                <w:i w:val="false"/>
                <w:iCs w:val="false"/>
                <w:caps w:val="false"/>
                <w:color w:val="FFFFFF"/>
                <w:sz w:val="24"/>
                <w:szCs w:val="24"/>
              </w:rPr>
              <w:t xml:space="preserve">2</w:t>
            </w:r>
          </w:p>
        </w:tc>
        <w:tc>
          <w:tcPr>
            <w:tcW w:type="dxa" w:w="2800"/>
            <w:shd w:fill="EAEDF5" w:color="auto" w:val="clear"/>
            <w:tcMar>
              <w:top w:type="dxa" w:w="70"/>
              <w:left w:type="dxa" w:w="130"/>
              <w:bottom w:type="dxa" w:w="70"/>
              <w:right w:type="dxa" w:w="100"/>
            </w:tcMar>
            <w:vAlign w:val="center"/>
          </w:tcPr>
          <w:p>
            <w:pPr>
              <w:spacing w:after="0"/>
            </w:pPr>
            <w:r>
              <w:rPr>
                <w:rFonts w:ascii="Calibri" w:cs="Calibri" w:eastAsia="Calibri" w:hAnsi="Calibri"/>
                <w:b/>
                <w:bCs/>
                <w:i w:val="false"/>
                <w:iCs w:val="false"/>
                <w:caps w:val="false"/>
                <w:color w:val="1A1A2E"/>
                <w:sz w:val="21"/>
                <w:szCs w:val="21"/>
              </w:rPr>
              <w:t xml:space="preserve">Eligibility evaluated</w:t>
            </w:r>
          </w:p>
        </w:tc>
        <w:tc>
          <w:tcPr>
            <w:tcW w:type="dxa" w:w="5660"/>
            <w:tcMar>
              <w:top w:type="dxa" w:w="70"/>
              <w:left w:type="dxa" w:w="130"/>
              <w:bottom w:type="dxa" w:w="70"/>
              <w:right w:type="dxa" w:w="110"/>
            </w:tcMar>
            <w:vAlign w:val="center"/>
          </w:tcPr>
          <w:p>
            <w:pPr>
              <w:spacing w:after="0" w:line="248"/>
            </w:pPr>
            <w:r>
              <w:rPr>
                <w:rFonts w:ascii="Calibri" w:cs="Calibri" w:eastAsia="Calibri" w:hAnsi="Calibri"/>
                <w:b w:val="false"/>
                <w:bCs w:val="false"/>
                <w:i w:val="false"/>
                <w:iCs w:val="false"/>
                <w:caps w:val="false"/>
                <w:color w:val="333333"/>
                <w:sz w:val="20"/>
                <w:szCs w:val="20"/>
              </w:rPr>
              <w:t xml:space="preserve">The Badge Engine evaluates only the badges mapped to that action, keyed to the activity date in the user's timezone so late-synced data still counts on the right day.</w:t>
            </w:r>
          </w:p>
        </w:tc>
      </w:tr>
      <w:tr>
        <w:tc>
          <w:tcPr>
            <w:tcW w:type="dxa" w:w="900"/>
            <w:shd w:fill="2B3556" w:color="auto" w:val="clear"/>
            <w:tcMar>
              <w:top w:type="dxa" w:w="70"/>
              <w:left w:type="dxa" w:w="80"/>
              <w:bottom w:type="dxa" w:w="70"/>
              <w:right w:type="dxa" w:w="80"/>
            </w:tcMar>
            <w:vAlign w:val="center"/>
          </w:tcPr>
          <w:p>
            <w:pPr>
              <w:spacing w:after="0"/>
              <w:jc w:val="center"/>
            </w:pPr>
            <w:r>
              <w:rPr>
                <w:rFonts w:ascii="Calibri" w:cs="Calibri" w:eastAsia="Calibri" w:hAnsi="Calibri"/>
                <w:b/>
                <w:bCs/>
                <w:i w:val="false"/>
                <w:iCs w:val="false"/>
                <w:caps w:val="false"/>
                <w:color w:val="FFFFFF"/>
                <w:sz w:val="24"/>
                <w:szCs w:val="24"/>
              </w:rPr>
              <w:t xml:space="preserve">3</w:t>
            </w:r>
          </w:p>
        </w:tc>
        <w:tc>
          <w:tcPr>
            <w:tcW w:type="dxa" w:w="2800"/>
            <w:shd w:fill="EAEDF5" w:color="auto" w:val="clear"/>
            <w:tcMar>
              <w:top w:type="dxa" w:w="70"/>
              <w:left w:type="dxa" w:w="130"/>
              <w:bottom w:type="dxa" w:w="70"/>
              <w:right w:type="dxa" w:w="100"/>
            </w:tcMar>
            <w:vAlign w:val="center"/>
          </w:tcPr>
          <w:p>
            <w:pPr>
              <w:spacing w:after="0"/>
            </w:pPr>
            <w:r>
              <w:rPr>
                <w:rFonts w:ascii="Calibri" w:cs="Calibri" w:eastAsia="Calibri" w:hAnsi="Calibri"/>
                <w:b/>
                <w:bCs/>
                <w:i w:val="false"/>
                <w:iCs w:val="false"/>
                <w:caps w:val="false"/>
                <w:color w:val="1A1A2E"/>
                <w:sz w:val="21"/>
                <w:szCs w:val="21"/>
              </w:rPr>
              <w:t xml:space="preserve">Badge unlocks</w:t>
            </w:r>
          </w:p>
        </w:tc>
        <w:tc>
          <w:tcPr>
            <w:tcW w:type="dxa" w:w="5660"/>
            <w:tcMar>
              <w:top w:type="dxa" w:w="70"/>
              <w:left w:type="dxa" w:w="130"/>
              <w:bottom w:type="dxa" w:w="70"/>
              <w:right w:type="dxa" w:w="110"/>
            </w:tcMar>
            <w:vAlign w:val="center"/>
          </w:tcPr>
          <w:p>
            <w:pPr>
              <w:spacing w:after="0" w:line="248"/>
            </w:pPr>
            <w:r>
              <w:rPr>
                <w:rFonts w:ascii="Calibri" w:cs="Calibri" w:eastAsia="Calibri" w:hAnsi="Calibri"/>
                <w:b w:val="false"/>
                <w:bCs w:val="false"/>
                <w:i w:val="false"/>
                <w:iCs w:val="false"/>
                <w:caps w:val="false"/>
                <w:color w:val="333333"/>
                <w:sz w:val="20"/>
                <w:szCs w:val="20"/>
              </w:rPr>
              <w:t xml:space="preserve">Criteria are met and an immutable earn record is created. If one event crosses several tiers at once, all qualifying tiers unlock.</w:t>
            </w:r>
          </w:p>
        </w:tc>
      </w:tr>
      <w:tr>
        <w:tc>
          <w:tcPr>
            <w:tcW w:type="dxa" w:w="900"/>
            <w:shd w:fill="2B3556" w:color="auto" w:val="clear"/>
            <w:tcMar>
              <w:top w:type="dxa" w:w="70"/>
              <w:left w:type="dxa" w:w="80"/>
              <w:bottom w:type="dxa" w:w="70"/>
              <w:right w:type="dxa" w:w="80"/>
            </w:tcMar>
            <w:vAlign w:val="center"/>
          </w:tcPr>
          <w:p>
            <w:pPr>
              <w:spacing w:after="0"/>
              <w:jc w:val="center"/>
            </w:pPr>
            <w:r>
              <w:rPr>
                <w:rFonts w:ascii="Calibri" w:cs="Calibri" w:eastAsia="Calibri" w:hAnsi="Calibri"/>
                <w:b/>
                <w:bCs/>
                <w:i w:val="false"/>
                <w:iCs w:val="false"/>
                <w:caps w:val="false"/>
                <w:color w:val="FFFFFF"/>
                <w:sz w:val="24"/>
                <w:szCs w:val="24"/>
              </w:rPr>
              <w:t xml:space="preserve">4</w:t>
            </w:r>
          </w:p>
        </w:tc>
        <w:tc>
          <w:tcPr>
            <w:tcW w:type="dxa" w:w="2800"/>
            <w:shd w:fill="EAEDF5" w:color="auto" w:val="clear"/>
            <w:tcMar>
              <w:top w:type="dxa" w:w="70"/>
              <w:left w:type="dxa" w:w="130"/>
              <w:bottom w:type="dxa" w:w="70"/>
              <w:right w:type="dxa" w:w="100"/>
            </w:tcMar>
            <w:vAlign w:val="center"/>
          </w:tcPr>
          <w:p>
            <w:pPr>
              <w:spacing w:after="0"/>
            </w:pPr>
            <w:r>
              <w:rPr>
                <w:rFonts w:ascii="Calibri" w:cs="Calibri" w:eastAsia="Calibri" w:hAnsi="Calibri"/>
                <w:b/>
                <w:bCs/>
                <w:i w:val="false"/>
                <w:iCs w:val="false"/>
                <w:caps w:val="false"/>
                <w:color w:val="1A1A2E"/>
                <w:sz w:val="21"/>
                <w:szCs w:val="21"/>
              </w:rPr>
              <w:t xml:space="preserve">Celebration</w:t>
            </w:r>
          </w:p>
        </w:tc>
        <w:tc>
          <w:tcPr>
            <w:tcW w:type="dxa" w:w="5660"/>
            <w:tcMar>
              <w:top w:type="dxa" w:w="70"/>
              <w:left w:type="dxa" w:w="130"/>
              <w:bottom w:type="dxa" w:w="70"/>
              <w:right w:type="dxa" w:w="110"/>
            </w:tcMar>
            <w:vAlign w:val="center"/>
          </w:tcPr>
          <w:p>
            <w:pPr>
              <w:spacing w:after="0" w:line="248"/>
            </w:pPr>
            <w:r>
              <w:rPr>
                <w:rFonts w:ascii="Calibri" w:cs="Calibri" w:eastAsia="Calibri" w:hAnsi="Calibri"/>
                <w:b w:val="false"/>
                <w:bCs w:val="false"/>
                <w:i w:val="false"/>
                <w:iCs w:val="false"/>
                <w:caps w:val="false"/>
                <w:color w:val="333333"/>
                <w:sz w:val="20"/>
                <w:szCs w:val="20"/>
              </w:rPr>
              <w:t xml:space="preserve">A full-screen celebration plays — badge art, name, tier, and the reward earned. Multiple simultaneous unlocks collapse into one swipeable carousel.</w:t>
            </w:r>
          </w:p>
        </w:tc>
      </w:tr>
      <w:tr>
        <w:tc>
          <w:tcPr>
            <w:tcW w:type="dxa" w:w="900"/>
            <w:shd w:fill="2B3556" w:color="auto" w:val="clear"/>
            <w:tcMar>
              <w:top w:type="dxa" w:w="70"/>
              <w:left w:type="dxa" w:w="80"/>
              <w:bottom w:type="dxa" w:w="70"/>
              <w:right w:type="dxa" w:w="80"/>
            </w:tcMar>
            <w:vAlign w:val="center"/>
          </w:tcPr>
          <w:p>
            <w:pPr>
              <w:spacing w:after="0"/>
              <w:jc w:val="center"/>
            </w:pPr>
            <w:r>
              <w:rPr>
                <w:rFonts w:ascii="Calibri" w:cs="Calibri" w:eastAsia="Calibri" w:hAnsi="Calibri"/>
                <w:b/>
                <w:bCs/>
                <w:i w:val="false"/>
                <w:iCs w:val="false"/>
                <w:caps w:val="false"/>
                <w:color w:val="FFFFFF"/>
                <w:sz w:val="24"/>
                <w:szCs w:val="24"/>
              </w:rPr>
              <w:t xml:space="preserve">5</w:t>
            </w:r>
          </w:p>
        </w:tc>
        <w:tc>
          <w:tcPr>
            <w:tcW w:type="dxa" w:w="2800"/>
            <w:shd w:fill="EAEDF5" w:color="auto" w:val="clear"/>
            <w:tcMar>
              <w:top w:type="dxa" w:w="70"/>
              <w:left w:type="dxa" w:w="130"/>
              <w:bottom w:type="dxa" w:w="70"/>
              <w:right w:type="dxa" w:w="100"/>
            </w:tcMar>
            <w:vAlign w:val="center"/>
          </w:tcPr>
          <w:p>
            <w:pPr>
              <w:spacing w:after="0"/>
            </w:pPr>
            <w:r>
              <w:rPr>
                <w:rFonts w:ascii="Calibri" w:cs="Calibri" w:eastAsia="Calibri" w:hAnsi="Calibri"/>
                <w:b/>
                <w:bCs/>
                <w:i w:val="false"/>
                <w:iCs w:val="false"/>
                <w:caps w:val="false"/>
                <w:color w:val="1A1A2E"/>
                <w:sz w:val="21"/>
                <w:szCs w:val="21"/>
              </w:rPr>
              <w:t xml:space="preserve">Reward fulfilled</w:t>
            </w:r>
          </w:p>
        </w:tc>
        <w:tc>
          <w:tcPr>
            <w:tcW w:type="dxa" w:w="5660"/>
            <w:tcMar>
              <w:top w:type="dxa" w:w="70"/>
              <w:left w:type="dxa" w:w="130"/>
              <w:bottom w:type="dxa" w:w="70"/>
              <w:right w:type="dxa" w:w="110"/>
            </w:tcMar>
            <w:vAlign w:val="center"/>
          </w:tcPr>
          <w:p>
            <w:pPr>
              <w:spacing w:after="0" w:line="248"/>
            </w:pPr>
            <w:r>
              <w:rPr>
                <w:rFonts w:ascii="Calibri" w:cs="Calibri" w:eastAsia="Calibri" w:hAnsi="Calibri"/>
                <w:b w:val="false"/>
                <w:bCs w:val="false"/>
                <w:i w:val="false"/>
                <w:iCs w:val="false"/>
                <w:caps w:val="false"/>
                <w:color w:val="333333"/>
                <w:sz w:val="20"/>
                <w:szCs w:val="20"/>
              </w:rPr>
              <w:t xml:space="preserve">The configured reward (Care Coins, wallet money, or a voucher) is credited automatically and immediately through existing wallet and rewards services.</w:t>
            </w:r>
          </w:p>
        </w:tc>
      </w:tr>
      <w:tr>
        <w:tc>
          <w:tcPr>
            <w:tcW w:type="dxa" w:w="900"/>
            <w:shd w:fill="2B3556" w:color="auto" w:val="clear"/>
            <w:tcMar>
              <w:top w:type="dxa" w:w="70"/>
              <w:left w:type="dxa" w:w="80"/>
              <w:bottom w:type="dxa" w:w="70"/>
              <w:right w:type="dxa" w:w="80"/>
            </w:tcMar>
            <w:vAlign w:val="center"/>
          </w:tcPr>
          <w:p>
            <w:pPr>
              <w:spacing w:after="0"/>
              <w:jc w:val="center"/>
            </w:pPr>
            <w:r>
              <w:rPr>
                <w:rFonts w:ascii="Calibri" w:cs="Calibri" w:eastAsia="Calibri" w:hAnsi="Calibri"/>
                <w:b/>
                <w:bCs/>
                <w:i w:val="false"/>
                <w:iCs w:val="false"/>
                <w:caps w:val="false"/>
                <w:color w:val="FFFFFF"/>
                <w:sz w:val="24"/>
                <w:szCs w:val="24"/>
              </w:rPr>
              <w:t xml:space="preserve">6</w:t>
            </w:r>
          </w:p>
        </w:tc>
        <w:tc>
          <w:tcPr>
            <w:tcW w:type="dxa" w:w="2800"/>
            <w:shd w:fill="EAEDF5" w:color="auto" w:val="clear"/>
            <w:tcMar>
              <w:top w:type="dxa" w:w="70"/>
              <w:left w:type="dxa" w:w="130"/>
              <w:bottom w:type="dxa" w:w="70"/>
              <w:right w:type="dxa" w:w="100"/>
            </w:tcMar>
            <w:vAlign w:val="center"/>
          </w:tcPr>
          <w:p>
            <w:pPr>
              <w:spacing w:after="0"/>
            </w:pPr>
            <w:r>
              <w:rPr>
                <w:rFonts w:ascii="Calibri" w:cs="Calibri" w:eastAsia="Calibri" w:hAnsi="Calibri"/>
                <w:b/>
                <w:bCs/>
                <w:i w:val="false"/>
                <w:iCs w:val="false"/>
                <w:caps w:val="false"/>
                <w:color w:val="1A1A2E"/>
                <w:sz w:val="21"/>
                <w:szCs w:val="21"/>
              </w:rPr>
              <w:t xml:space="preserve">Progress tracked</w:t>
            </w:r>
          </w:p>
        </w:tc>
        <w:tc>
          <w:tcPr>
            <w:tcW w:type="dxa" w:w="5660"/>
            <w:tcMar>
              <w:top w:type="dxa" w:w="70"/>
              <w:left w:type="dxa" w:w="130"/>
              <w:bottom w:type="dxa" w:w="70"/>
              <w:right w:type="dxa" w:w="110"/>
            </w:tcMar>
            <w:vAlign w:val="center"/>
          </w:tcPr>
          <w:p>
            <w:pPr>
              <w:spacing w:after="0" w:line="248"/>
            </w:pPr>
            <w:r>
              <w:rPr>
                <w:rFonts w:ascii="Calibri" w:cs="Calibri" w:eastAsia="Calibri" w:hAnsi="Calibri"/>
                <w:b w:val="false"/>
                <w:bCs w:val="false"/>
                <w:i w:val="false"/>
                <w:iCs w:val="false"/>
                <w:caps w:val="false"/>
                <w:color w:val="333333"/>
                <w:sz w:val="20"/>
                <w:szCs w:val="20"/>
              </w:rPr>
              <w:t xml:space="preserve">The Achievements hub updates: earned badges move to the collection and the next locked tier shows live, absolute progress toward its goal.</w:t>
            </w:r>
          </w:p>
        </w:tc>
      </w:tr>
      <w:tr>
        <w:tc>
          <w:tcPr>
            <w:tcW w:type="dxa" w:w="900"/>
            <w:shd w:fill="2B3556" w:color="auto" w:val="clear"/>
            <w:tcMar>
              <w:top w:type="dxa" w:w="70"/>
              <w:left w:type="dxa" w:w="80"/>
              <w:bottom w:type="dxa" w:w="70"/>
              <w:right w:type="dxa" w:w="80"/>
            </w:tcMar>
            <w:vAlign w:val="center"/>
          </w:tcPr>
          <w:p>
            <w:pPr>
              <w:spacing w:after="0"/>
              <w:jc w:val="center"/>
            </w:pPr>
            <w:r>
              <w:rPr>
                <w:rFonts w:ascii="Calibri" w:cs="Calibri" w:eastAsia="Calibri" w:hAnsi="Calibri"/>
                <w:b/>
                <w:bCs/>
                <w:i w:val="false"/>
                <w:iCs w:val="false"/>
                <w:caps w:val="false"/>
                <w:color w:val="FFFFFF"/>
                <w:sz w:val="24"/>
                <w:szCs w:val="24"/>
              </w:rPr>
              <w:t xml:space="preserve">7</w:t>
            </w:r>
          </w:p>
        </w:tc>
        <w:tc>
          <w:tcPr>
            <w:tcW w:type="dxa" w:w="2800"/>
            <w:shd w:fill="EAEDF5" w:color="auto" w:val="clear"/>
            <w:tcMar>
              <w:top w:type="dxa" w:w="70"/>
              <w:left w:type="dxa" w:w="130"/>
              <w:bottom w:type="dxa" w:w="70"/>
              <w:right w:type="dxa" w:w="100"/>
            </w:tcMar>
            <w:vAlign w:val="center"/>
          </w:tcPr>
          <w:p>
            <w:pPr>
              <w:spacing w:after="0"/>
            </w:pPr>
            <w:r>
              <w:rPr>
                <w:rFonts w:ascii="Calibri" w:cs="Calibri" w:eastAsia="Calibri" w:hAnsi="Calibri"/>
                <w:b/>
                <w:bCs/>
                <w:i w:val="false"/>
                <w:iCs w:val="false"/>
                <w:caps w:val="false"/>
                <w:color w:val="1A1A2E"/>
                <w:sz w:val="21"/>
                <w:szCs w:val="21"/>
              </w:rPr>
              <w:t xml:space="preserve">Sharing</w:t>
            </w:r>
          </w:p>
        </w:tc>
        <w:tc>
          <w:tcPr>
            <w:tcW w:type="dxa" w:w="5660"/>
            <w:tcMar>
              <w:top w:type="dxa" w:w="70"/>
              <w:left w:type="dxa" w:w="130"/>
              <w:bottom w:type="dxa" w:w="70"/>
              <w:right w:type="dxa" w:w="110"/>
            </w:tcMar>
            <w:vAlign w:val="center"/>
          </w:tcPr>
          <w:p>
            <w:pPr>
              <w:spacing w:after="0" w:line="248"/>
            </w:pPr>
            <w:r>
              <w:rPr>
                <w:rFonts w:ascii="Calibri" w:cs="Calibri" w:eastAsia="Calibri" w:hAnsi="Calibri"/>
                <w:b w:val="false"/>
                <w:bCs w:val="false"/>
                <w:i w:val="false"/>
                <w:iCs w:val="false"/>
                <w:caps w:val="false"/>
                <w:color w:val="333333"/>
                <w:sz w:val="20"/>
                <w:szCs w:val="20"/>
              </w:rPr>
              <w:t xml:space="preserve">The user optionally shares a branded, privacy-safe achievement card to WhatsApp or LinkedIn, and the badge appears on their in-group profile.</w:t>
            </w:r>
          </w:p>
        </w:tc>
      </w:tr>
      <w:tr>
        <w:tc>
          <w:tcPr>
            <w:tcW w:type="dxa" w:w="900"/>
            <w:shd w:fill="2B3556" w:color="auto" w:val="clear"/>
            <w:tcMar>
              <w:top w:type="dxa" w:w="70"/>
              <w:left w:type="dxa" w:w="80"/>
              <w:bottom w:type="dxa" w:w="70"/>
              <w:right w:type="dxa" w:w="80"/>
            </w:tcMar>
            <w:vAlign w:val="center"/>
          </w:tcPr>
          <w:p>
            <w:pPr>
              <w:spacing w:after="0"/>
              <w:jc w:val="center"/>
            </w:pPr>
            <w:r>
              <w:rPr>
                <w:rFonts w:ascii="Calibri" w:cs="Calibri" w:eastAsia="Calibri" w:hAnsi="Calibri"/>
                <w:b/>
                <w:bCs/>
                <w:i w:val="false"/>
                <w:iCs w:val="false"/>
                <w:caps w:val="false"/>
                <w:color w:val="FFFFFF"/>
                <w:sz w:val="24"/>
                <w:szCs w:val="24"/>
              </w:rPr>
              <w:t xml:space="preserve">8</w:t>
            </w:r>
          </w:p>
        </w:tc>
        <w:tc>
          <w:tcPr>
            <w:tcW w:type="dxa" w:w="2800"/>
            <w:shd w:fill="EAEDF5" w:color="auto" w:val="clear"/>
            <w:tcMar>
              <w:top w:type="dxa" w:w="70"/>
              <w:left w:type="dxa" w:w="130"/>
              <w:bottom w:type="dxa" w:w="70"/>
              <w:right w:type="dxa" w:w="100"/>
            </w:tcMar>
            <w:vAlign w:val="center"/>
          </w:tcPr>
          <w:p>
            <w:pPr>
              <w:spacing w:after="0"/>
            </w:pPr>
            <w:r>
              <w:rPr>
                <w:rFonts w:ascii="Calibri" w:cs="Calibri" w:eastAsia="Calibri" w:hAnsi="Calibri"/>
                <w:b/>
                <w:bCs/>
                <w:i w:val="false"/>
                <w:iCs w:val="false"/>
                <w:caps w:val="false"/>
                <w:color w:val="1A1A2E"/>
                <w:sz w:val="21"/>
                <w:szCs w:val="21"/>
              </w:rPr>
              <w:t xml:space="preserve">Continued engagement</w:t>
            </w:r>
          </w:p>
        </w:tc>
        <w:tc>
          <w:tcPr>
            <w:tcW w:type="dxa" w:w="5660"/>
            <w:tcMar>
              <w:top w:type="dxa" w:w="70"/>
              <w:left w:type="dxa" w:w="130"/>
              <w:bottom w:type="dxa" w:w="70"/>
              <w:right w:type="dxa" w:w="110"/>
            </w:tcMar>
            <w:vAlign w:val="center"/>
          </w:tcPr>
          <w:p>
            <w:pPr>
              <w:spacing w:after="0" w:line="248"/>
            </w:pPr>
            <w:r>
              <w:rPr>
                <w:rFonts w:ascii="Calibri" w:cs="Calibri" w:eastAsia="Calibri" w:hAnsi="Calibri"/>
                <w:b w:val="false"/>
                <w:bCs w:val="false"/>
                <w:i w:val="false"/>
                <w:iCs w:val="false"/>
                <w:caps w:val="false"/>
                <w:color w:val="333333"/>
                <w:sz w:val="20"/>
                <w:szCs w:val="20"/>
              </w:rPr>
              <w:t xml:space="preserve">Visible progress toward the next goal, plus streak and near-miss nudges, pulls the user back into the next action — closing the loop.</w:t>
            </w:r>
          </w:p>
        </w:tc>
      </w:tr>
    </w:tbl>
    <w:p>
      <w:pPr>
        <w:spacing w:after="20"/>
      </w:pPr>
      <w:r>
        <w:rPr>
          <w:rFonts w:ascii="Calibri" w:cs="Calibri" w:eastAsia="Calibri" w:hAnsi="Calibri"/>
          <w:b w:val="false"/>
          <w:bCs w:val="false"/>
          <w:i w:val="false"/>
          <w:iCs w:val="false"/>
          <w:caps w:val="false"/>
          <w:color w:val="222222"/>
          <w:sz w:val="21"/>
          <w:szCs w:val="21"/>
        </w:rPr>
        <w:t xml:space="preserve"/>
      </w:r>
    </w:p>
    <w:p>
      <w:pPr>
        <w:spacing w:after="60" w:before="0" w:line="268"/>
        <w:jc w:val="left"/>
      </w:pPr>
      <w:r>
        <w:rPr>
          <w:rFonts w:ascii="Calibri" w:cs="Calibri" w:eastAsia="Calibri" w:hAnsi="Calibri"/>
          <w:b w:val="false"/>
          <w:bCs w:val="false"/>
          <w:i w:val="false"/>
          <w:iCs w:val="false"/>
          <w:caps w:val="false"/>
          <w:color w:val="222222"/>
          <w:sz w:val="21"/>
          <w:szCs w:val="21"/>
        </w:rPr>
        <w:t xml:space="preserve">The loop is designed to work at every time horizon simultaneously: a daily goal, a weekly streak, a monthly repeatable, and a lifetime tier are all in play at once, so a user is never without a reachable next goal. Two moments carry disproportionate weight and are called out for design focus — the </w:t>
      </w:r>
      <w:r>
        <w:rPr>
          <w:rFonts w:ascii="Calibri" w:cs="Calibri" w:eastAsia="Calibri" w:hAnsi="Calibri"/>
          <w:b/>
          <w:bCs/>
          <w:i w:val="false"/>
          <w:iCs w:val="false"/>
          <w:caps w:val="false"/>
          <w:color w:val="222222"/>
          <w:sz w:val="21"/>
          <w:szCs w:val="21"/>
        </w:rPr>
        <w:t xml:space="preserve">first-badge moment</w:t>
      </w:r>
      <w:r>
        <w:rPr>
          <w:rFonts w:ascii="Calibri" w:cs="Calibri" w:eastAsia="Calibri" w:hAnsi="Calibri"/>
          <w:b w:val="false"/>
          <w:bCs w:val="false"/>
          <w:i w:val="false"/>
          <w:iCs w:val="false"/>
          <w:caps w:val="false"/>
          <w:color w:val="222222"/>
          <w:sz w:val="21"/>
          <w:szCs w:val="21"/>
        </w:rPr>
        <w:t xml:space="preserve"> (target: under two days from signup) and the </w:t>
      </w:r>
      <w:r>
        <w:rPr>
          <w:rFonts w:ascii="Calibri" w:cs="Calibri" w:eastAsia="Calibri" w:hAnsi="Calibri"/>
          <w:b/>
          <w:bCs/>
          <w:i w:val="false"/>
          <w:iCs w:val="false"/>
          <w:caps w:val="false"/>
          <w:color w:val="222222"/>
          <w:sz w:val="21"/>
          <w:szCs w:val="21"/>
        </w:rPr>
        <w:t xml:space="preserve">celebration-to-share moment</w:t>
      </w:r>
      <w:r>
        <w:rPr>
          <w:rFonts w:ascii="Calibri" w:cs="Calibri" w:eastAsia="Calibri" w:hAnsi="Calibri"/>
          <w:b w:val="false"/>
          <w:bCs w:val="false"/>
          <w:i w:val="false"/>
          <w:iCs w:val="false"/>
          <w:caps w:val="false"/>
          <w:color w:val="222222"/>
          <w:sz w:val="21"/>
          <w:szCs w:val="21"/>
        </w:rPr>
        <w:t xml:space="preserve"> (the primary organic-growth lever).</w:t>
      </w:r>
    </w:p>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8  </w:t>
      </w:r>
      <w:r>
        <w:rPr>
          <w:rFonts w:ascii="Calibri" w:cs="Calibri" w:eastAsia="Calibri" w:hAnsi="Calibri"/>
          <w:b/>
          <w:bCs/>
          <w:i w:val="false"/>
          <w:iCs w:val="false"/>
          <w:caps w:val="false"/>
          <w:color w:val="1A1A2E"/>
          <w:sz w:val="26"/>
          <w:szCs w:val="26"/>
        </w:rPr>
        <w:t xml:space="preserve">Product Overview</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This section describes the feature at the conceptual level. The complete catalogue, per-badge criteria, and reward values are in the Workbook; this is the model a reader needs to understand what is being built, not the inventory of what ships.</w:t>
      </w:r>
    </w:p>
    <w:p>
      <w:pPr>
        <w:pStyle w:val="Heading2"/>
        <w:keepNext/>
        <w:spacing w:after="90" w:before="220"/>
      </w:pPr>
      <w:r>
        <w:rPr>
          <w:rFonts w:ascii="Calibri" w:cs="Calibri" w:eastAsia="Calibri" w:hAnsi="Calibri"/>
          <w:b/>
          <w:bCs/>
          <w:i w:val="false"/>
          <w:iCs w:val="false"/>
          <w:caps w:val="false"/>
          <w:color w:val="3B4B7A"/>
          <w:sz w:val="22"/>
          <w:szCs w:val="22"/>
        </w:rPr>
        <w:t xml:space="preserve">Badge categories</w:t>
      </w:r>
    </w:p>
    <w:p>
      <w:pPr>
        <w:spacing w:after="130" w:before="0" w:line="268"/>
        <w:jc w:val="left"/>
      </w:pPr>
      <w:r>
        <w:rPr>
          <w:rFonts w:ascii="Calibri" w:cs="Calibri" w:eastAsia="Calibri" w:hAnsi="Calibri"/>
          <w:b w:val="false"/>
          <w:bCs w:val="false"/>
          <w:i w:val="false"/>
          <w:iCs w:val="false"/>
          <w:caps w:val="false"/>
          <w:color w:val="222222"/>
          <w:sz w:val="21"/>
          <w:szCs w:val="21"/>
        </w:rPr>
        <w:t xml:space="preserve">The launch catalogue spans eight categories, each mapped to a primary business objective — Onboarding &amp; Discovery (activation and cross-feature discovery), Steps &amp; Distance (daily activity and lifetime accumulation), Streaks &amp; Consistency (the core retention loop), Challenges (the full participation funnel from joining to winning), Health &amp; AHC (bookings, completion, and consult adoption), Events &amp; Facilities (webinar attendance and facility use), Content &amp; Learning (article and video consumption), and Community &amp; Social (posts and reactions that seed the social layer). A ninth, Seasonal &amp; Campaign, exists as admin-run templates rather than fixed badges.</w:t>
      </w:r>
    </w:p>
    <w:p>
      <w:pPr>
        <w:pStyle w:val="Heading2"/>
        <w:keepNext/>
        <w:spacing w:after="90" w:before="220"/>
      </w:pPr>
      <w:r>
        <w:rPr>
          <w:rFonts w:ascii="Calibri" w:cs="Calibri" w:eastAsia="Calibri" w:hAnsi="Calibri"/>
          <w:b/>
          <w:bCs/>
          <w:i w:val="false"/>
          <w:iCs w:val="false"/>
          <w:caps w:val="false"/>
          <w:color w:val="3B4B7A"/>
          <w:sz w:val="22"/>
          <w:szCs w:val="22"/>
        </w:rPr>
        <w:t xml:space="preserve">Badge types</w:t>
      </w:r>
    </w:p>
    <w:tbl>
      <w:tblPr>
        <w:tblW w:type="dxa" w:w="9360"/>
        <w:tblBorders>
          <w:top w:val="single" w:color="C9CFDD" w:sz="2"/>
          <w:left w:val="none"/>
          <w:bottom w:val="single" w:color="C9CFDD" w:sz="2"/>
          <w:right w:val="none"/>
          <w:insideH w:val="single" w:color="C9CFDD" w:sz="2"/>
          <w:insideV w:val="none"/>
        </w:tblBorders>
      </w:tblPr>
      <w:tblGrid>
        <w:gridCol w:w="2100"/>
        <w:gridCol w:w="3130"/>
        <w:gridCol w:w="4130"/>
      </w:tblGrid>
      <w:tr>
        <w:trPr>
          <w:tblHeader/>
        </w:trPr>
        <w:tc>
          <w:tcPr>
            <w:tcW w:type="dxa" w:w="21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Type</w:t>
            </w:r>
          </w:p>
        </w:tc>
        <w:tc>
          <w:tcPr>
            <w:tcW w:type="dxa" w:w="313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When it is used</w:t>
            </w:r>
          </w:p>
        </w:tc>
        <w:tc>
          <w:tcPr>
            <w:tcW w:type="dxa" w:w="413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User-facing behaviour</w:t>
            </w:r>
          </w:p>
        </w:tc>
      </w:tr>
      <w:tr>
        <w:tc>
          <w:tcPr>
            <w:tcW w:type="dxa" w:w="21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Progressive</w:t>
            </w:r>
          </w:p>
        </w:tc>
        <w:tc>
          <w:tcPr>
            <w:tcW w:type="dxa" w:w="313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Where volume accumulates (steps, challenges, content, webinars)</w:t>
            </w:r>
          </w:p>
        </w:tc>
        <w:tc>
          <w:tcPr>
            <w:tcW w:type="dxa" w:w="413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Bronze → Silver → Gold → Platinum; each tier is a distinct unlock with its own criteria, artwork accent, and reward.</w:t>
            </w:r>
          </w:p>
        </w:tc>
      </w:tr>
      <w:tr>
        <w:tc>
          <w:tcPr>
            <w:tcW w:type="dxa" w:w="21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One-time</w:t>
            </w:r>
          </w:p>
        </w:tc>
        <w:tc>
          <w:tcPr>
            <w:tcW w:type="dxa" w:w="313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Where the act itself is the achievement (first sync, first booking)</w:t>
            </w:r>
          </w:p>
        </w:tc>
        <w:tc>
          <w:tcPr>
            <w:tcW w:type="dxa" w:w="413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Unlocks once; further qualifying events are ignored.</w:t>
            </w:r>
          </w:p>
        </w:tc>
      </w:tr>
      <w:tr>
        <w:tc>
          <w:tcPr>
            <w:tcW w:type="dxa" w:w="21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Repeatable</w:t>
            </w:r>
          </w:p>
        </w:tc>
        <w:tc>
          <w:tcPr>
            <w:tcW w:type="dxa" w:w="313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Where repetition is the health outcome (weekly sync, annual AHC)</w:t>
            </w:r>
          </w:p>
        </w:tc>
        <w:tc>
          <w:tcPr>
            <w:tcW w:type="dxa" w:w="413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Earns again each new window and displays an ×N counter (e.g., Sync Champion ×12).</w:t>
            </w:r>
          </w:p>
        </w:tc>
      </w:tr>
    </w:tbl>
    <w:p>
      <w:pPr>
        <w:spacing w:after="40"/>
      </w:pPr>
      <w:r>
        <w:rPr>
          <w:rFonts w:ascii="Calibri" w:cs="Calibri" w:eastAsia="Calibri" w:hAnsi="Calibri"/>
          <w:b w:val="false"/>
          <w:bCs w:val="false"/>
          <w:i w:val="false"/>
          <w:iCs w:val="false"/>
          <w:caps w:val="false"/>
          <w:color w:val="222222"/>
          <w:sz w:val="21"/>
          <w:szCs w:val="21"/>
        </w:rPr>
        <w:t xml:space="preserve"/>
      </w:r>
    </w:p>
    <w:p>
      <w:pPr>
        <w:pStyle w:val="Heading2"/>
        <w:keepNext/>
        <w:spacing w:after="90" w:before="220"/>
      </w:pPr>
      <w:r>
        <w:rPr>
          <w:rFonts w:ascii="Calibri" w:cs="Calibri" w:eastAsia="Calibri" w:hAnsi="Calibri"/>
          <w:b/>
          <w:bCs/>
          <w:i w:val="false"/>
          <w:iCs w:val="false"/>
          <w:caps w:val="false"/>
          <w:color w:val="3B4B7A"/>
          <w:sz w:val="22"/>
          <w:szCs w:val="22"/>
        </w:rPr>
        <w:t xml:space="preserve">The reward system</w:t>
      </w:r>
    </w:p>
    <w:p>
      <w:pPr>
        <w:spacing w:after="130" w:before="0" w:line="268"/>
        <w:jc w:val="left"/>
      </w:pPr>
      <w:r>
        <w:rPr>
          <w:rFonts w:ascii="Calibri" w:cs="Calibri" w:eastAsia="Calibri" w:hAnsi="Calibri"/>
          <w:b w:val="false"/>
          <w:bCs w:val="false"/>
          <w:i w:val="false"/>
          <w:iCs w:val="false"/>
          <w:caps w:val="false"/>
          <w:color w:val="222222"/>
          <w:sz w:val="21"/>
          <w:szCs w:val="21"/>
        </w:rPr>
        <w:t xml:space="preserve">Every badge can carry one or more reward lines — Care Coins by default, or wallet money or vouchers — fulfilled automatically and immediately on unlock. Reward value scales with effort: defaults rise by tier (Bronze through Platinum), and high-value health actions carry premium rewards. Governance is built in through per-badge caps, a per-user monthly ceiling, and approval requirements for high-value Client Admin rewards. Rewards are the commercial engine of the feature and the primary liability to manage; the full reward table and governance rules are in the Workbook.</w:t>
      </w:r>
    </w:p>
    <w:p>
      <w:pPr>
        <w:pStyle w:val="Heading2"/>
        <w:keepNext/>
        <w:spacing w:after="90" w:before="220"/>
      </w:pPr>
      <w:r>
        <w:rPr>
          <w:rFonts w:ascii="Calibri" w:cs="Calibri" w:eastAsia="Calibri" w:hAnsi="Calibri"/>
          <w:b/>
          <w:bCs/>
          <w:i w:val="false"/>
          <w:iCs w:val="false"/>
          <w:caps w:val="false"/>
          <w:color w:val="3B4B7A"/>
          <w:sz w:val="22"/>
          <w:szCs w:val="22"/>
        </w:rPr>
        <w:t xml:space="preserve">The Achievements hub, progress tracking &amp; celebrations</w:t>
      </w:r>
    </w:p>
    <w:p>
      <w:pPr>
        <w:spacing w:after="130" w:before="0" w:line="268"/>
        <w:jc w:val="left"/>
      </w:pPr>
      <w:r>
        <w:rPr>
          <w:rFonts w:ascii="Calibri" w:cs="Calibri" w:eastAsia="Calibri" w:hAnsi="Calibri"/>
          <w:b w:val="false"/>
          <w:bCs w:val="false"/>
          <w:i w:val="false"/>
          <w:iCs w:val="false"/>
          <w:caps w:val="false"/>
          <w:color w:val="222222"/>
          <w:sz w:val="21"/>
          <w:szCs w:val="21"/>
        </w:rPr>
        <w:t xml:space="preserve">A dedicated Achievements hub serves as the trophy case — a card on Home and one tap from Profile — showing earned badges, Care Coins earned, and the current streak. Crucially, badges are also surfaced </w:t>
      </w:r>
      <w:r>
        <w:rPr>
          <w:rFonts w:ascii="Calibri" w:cs="Calibri" w:eastAsia="Calibri" w:hAnsi="Calibri"/>
          <w:b/>
          <w:bCs/>
          <w:i w:val="false"/>
          <w:iCs w:val="false"/>
          <w:caps w:val="false"/>
          <w:color w:val="222222"/>
          <w:sz w:val="21"/>
          <w:szCs w:val="21"/>
        </w:rPr>
        <w:t xml:space="preserve">contextually in the flow of the action</w:t>
      </w:r>
      <w:r>
        <w:rPr>
          <w:rFonts w:ascii="Calibri" w:cs="Calibri" w:eastAsia="Calibri" w:hAnsi="Calibri"/>
          <w:b w:val="false"/>
          <w:bCs w:val="false"/>
          <w:i w:val="false"/>
          <w:iCs w:val="false"/>
          <w:caps w:val="false"/>
          <w:color w:val="222222"/>
          <w:sz w:val="21"/>
          <w:szCs w:val="21"/>
        </w:rPr>
        <w:t xml:space="preserve"> (a streak flame on the home step card, a challenge badge on the challenge screen), because research from Duolingo and Strava shows badges convert best at the moment of relevance, not only in a separate hub. Locked badges always display live, absolute progress toward the next goal — the endowed-progress mechanic that materially lifts completion. On unlock, a full-screen celebration plays with badge art, the reward earned, and haptic feedback.</w:t>
      </w:r>
    </w:p>
    <w:p>
      <w:pPr>
        <w:pStyle w:val="Heading2"/>
        <w:keepNext/>
        <w:spacing w:after="90" w:before="220"/>
      </w:pPr>
      <w:r>
        <w:rPr>
          <w:rFonts w:ascii="Calibri" w:cs="Calibri" w:eastAsia="Calibri" w:hAnsi="Calibri"/>
          <w:b/>
          <w:bCs/>
          <w:i w:val="false"/>
          <w:iCs w:val="false"/>
          <w:caps w:val="false"/>
          <w:color w:val="3B4B7A"/>
          <w:sz w:val="22"/>
          <w:szCs w:val="22"/>
        </w:rPr>
        <w:t xml:space="preserve">Sharing &amp; admin management</w:t>
      </w:r>
    </w:p>
    <w:p>
      <w:pPr>
        <w:spacing w:after="60" w:before="0" w:line="268"/>
        <w:jc w:val="left"/>
      </w:pPr>
      <w:r>
        <w:rPr>
          <w:rFonts w:ascii="Calibri" w:cs="Calibri" w:eastAsia="Calibri" w:hAnsi="Calibri"/>
          <w:b w:val="false"/>
          <w:bCs w:val="false"/>
          <w:i w:val="false"/>
          <w:iCs w:val="false"/>
          <w:caps w:val="false"/>
          <w:color w:val="222222"/>
          <w:sz w:val="21"/>
          <w:szCs w:val="21"/>
        </w:rPr>
        <w:t xml:space="preserve">Users can share a branded achievement card — carrying no health numbers by default, a privacy-safe brag — to any channel via the OS share sheet, and earned badges appear on their in-group profile subject to a per-user privacy toggle. Administration follows a two-level model: Super Admins own the global catalogue and approvals; Client Admins build group-scoped badges through a guided five-step builder (Identity → Type &amp; Criteria → Rewards → Audience &amp; Schedule → Review) that projects expected unlock volume from trailing 90-day data before publishing. The full capability matrix is in the Workbook.</w:t>
      </w:r>
    </w:p>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9  </w:t>
      </w:r>
      <w:r>
        <w:rPr>
          <w:rFonts w:ascii="Calibri" w:cs="Calibri" w:eastAsia="Calibri" w:hAnsi="Calibri"/>
          <w:b/>
          <w:bCs/>
          <w:i w:val="false"/>
          <w:iCs w:val="false"/>
          <w:caps w:val="false"/>
          <w:color w:val="1A1A2E"/>
          <w:sz w:val="26"/>
          <w:szCs w:val="26"/>
        </w:rPr>
        <w:t xml:space="preserve">Functional Requirements</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Functional requirements are grouped by capability area below. This is a summary for product alignment; the authoritative, individually-referenceable requirements (FR-01 through FR-14) and their acceptance detail live in the companion Blueprint. Each group here maps to those requirements.</w:t>
      </w:r>
    </w:p>
    <w:tbl>
      <w:tblPr>
        <w:tblW w:type="dxa" w:w="9360"/>
        <w:tblBorders>
          <w:top w:val="single" w:color="C9CFDD" w:sz="2"/>
          <w:left w:val="none"/>
          <w:bottom w:val="single" w:color="C9CFDD" w:sz="2"/>
          <w:right w:val="none"/>
          <w:insideH w:val="single" w:color="C9CFDD" w:sz="2"/>
          <w:insideV w:val="none"/>
        </w:tblBorders>
      </w:tblPr>
      <w:tblGrid>
        <w:gridCol w:w="2160"/>
        <w:gridCol w:w="7200"/>
      </w:tblGrid>
      <w:tr>
        <w:trPr>
          <w:tblHeader/>
        </w:trPr>
        <w:tc>
          <w:tcPr>
            <w:tcW w:type="dxa" w:w="21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Capability area</w:t>
            </w:r>
          </w:p>
        </w:tc>
        <w:tc>
          <w:tcPr>
            <w:tcW w:type="dxa" w:w="72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What the system must do</w:t>
            </w:r>
          </w:p>
        </w:tc>
      </w:tr>
      <w:tr>
        <w:tc>
          <w:tcPr>
            <w:tcW w:type="dxa" w:w="2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Badge Engine</w:t>
            </w:r>
          </w:p>
        </w:tc>
        <w:tc>
          <w:tcPr>
            <w:tcW w:type="dxa" w:w="7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Evaluate criteria on ingested activity events, keyed to activity timestamp and user timezone; support one-time, progressive (≤5 tiers), and windowed repeatable types with ×N counters; guarantee exactly-once earn semantics per (user, instance, window) under replay and concurrency; retro-evaluate historical data at launch; and remain feature-agnostic so new modules require only new event mappings and catalogue rows.</w:t>
            </w:r>
          </w:p>
        </w:tc>
      </w:tr>
      <w:tr>
        <w:tc>
          <w:tcPr>
            <w:tcW w:type="dxa" w:w="2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User Experience</w:t>
            </w:r>
          </w:p>
        </w:tc>
        <w:tc>
          <w:tcPr>
            <w:tcW w:type="dxa" w:w="7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Render locked badges with live progress (value, target, %); present the Achievements hub and contextual in-feature surfacing; play unlock celebrations including stacked multi-tier unlocks; and generate shareable, privacy-safe achievement cards.</w:t>
            </w:r>
          </w:p>
        </w:tc>
      </w:tr>
      <w:tr>
        <w:tc>
          <w:tcPr>
            <w:tcW w:type="dxa" w:w="2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Rewards</w:t>
            </w:r>
          </w:p>
        </w:tc>
        <w:tc>
          <w:tcPr>
            <w:tcW w:type="dxa" w:w="7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Auto-fulfil configured rewards (Care Coins, wallet, voucher) on earn with a ledger entry and idempotency key; enforce per-badge caps and per-user monthly ceilings; and route high-value Client Admin rewards through an approval workflow before activation.</w:t>
            </w:r>
          </w:p>
        </w:tc>
      </w:tr>
      <w:tr>
        <w:tc>
          <w:tcPr>
            <w:tcW w:type="dxa" w:w="2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Admin Console</w:t>
            </w:r>
          </w:p>
        </w:tc>
        <w:tc>
          <w:tcPr>
            <w:tcW w:type="dxa" w:w="7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Provide a guided badge builder with a criteria composer and tier grid; support GLOBAL and CUG scopes with Client Admin creation limited to their own group; simulate expected unlock volume against trailing 90-day data before publish; and manage lifecycle (Draft → Active → Paused → Archived) with criteria versioning so historical earns are never re-evaluated.</w:t>
            </w:r>
          </w:p>
        </w:tc>
      </w:tr>
      <w:tr>
        <w:tc>
          <w:tcPr>
            <w:tcW w:type="dxa" w:w="2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Notifications</w:t>
            </w:r>
          </w:p>
        </w:tc>
        <w:tc>
          <w:tcPr>
            <w:tcW w:type="dxa" w:w="7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Deliver unlock celebrations, capped and quiet-hours-respecting push notifications, near-miss and streak-at-risk nudges with opt-out, and a single consolidated recap for retroactive grants at launch (no push storm).</w:t>
            </w:r>
          </w:p>
        </w:tc>
      </w:tr>
      <w:tr>
        <w:tc>
          <w:tcPr>
            <w:tcW w:type="dxa" w:w="2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Analytics</w:t>
            </w:r>
          </w:p>
        </w:tc>
        <w:tc>
          <w:tcPr>
            <w:tcW w:type="dxa" w:w="7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Expose per-badge analytics — eligible users, unlocks, time-to-unlock, reward spend, and engagement-lift cohorting — and instrument every celebration, share, and hub interaction.</w:t>
            </w:r>
          </w:p>
        </w:tc>
      </w:tr>
      <w:tr>
        <w:tc>
          <w:tcPr>
            <w:tcW w:type="dxa" w:w="2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Privacy &amp; Governance</w:t>
            </w:r>
          </w:p>
        </w:tc>
        <w:tc>
          <w:tcPr>
            <w:tcW w:type="dxa" w:w="7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Never auto-revoke a badge; restrict manual revocation to Super Admins with reason code, reward clawback, and audit trail; and honour a per-user CUG-visibility toggle for group profile display.</w:t>
            </w:r>
          </w:p>
        </w:tc>
      </w:tr>
    </w:tbl>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10  </w:t>
      </w:r>
      <w:r>
        <w:rPr>
          <w:rFonts w:ascii="Calibri" w:cs="Calibri" w:eastAsia="Calibri" w:hAnsi="Calibri"/>
          <w:b/>
          <w:bCs/>
          <w:i w:val="false"/>
          <w:iCs w:val="false"/>
          <w:caps w:val="false"/>
          <w:color w:val="1A1A2E"/>
          <w:sz w:val="26"/>
          <w:szCs w:val="26"/>
        </w:rPr>
        <w:t xml:space="preserve">Non-Functional Requirements</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The following quality attributes are product-level commitments. Engineering owns the mechanisms that satisfy them; the targets themselves are product requirements.</w:t>
      </w:r>
    </w:p>
    <w:tbl>
      <w:tblPr>
        <w:tblW w:type="dxa" w:w="9360"/>
        <w:tblBorders>
          <w:top w:val="single" w:color="C9CFDD" w:sz="2"/>
          <w:left w:val="none"/>
          <w:bottom w:val="single" w:color="C9CFDD" w:sz="2"/>
          <w:right w:val="none"/>
          <w:insideH w:val="single" w:color="C9CFDD" w:sz="2"/>
          <w:insideV w:val="none"/>
        </w:tblBorders>
      </w:tblPr>
      <w:tblGrid>
        <w:gridCol w:w="2160"/>
        <w:gridCol w:w="7200"/>
      </w:tblGrid>
      <w:tr>
        <w:trPr>
          <w:tblHeader/>
        </w:trPr>
        <w:tc>
          <w:tcPr>
            <w:tcW w:type="dxa" w:w="21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Attribute</w:t>
            </w:r>
          </w:p>
        </w:tc>
        <w:tc>
          <w:tcPr>
            <w:tcW w:type="dxa" w:w="72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Requirement</w:t>
            </w:r>
          </w:p>
        </w:tc>
      </w:tr>
      <w:tr>
        <w:tc>
          <w:tcPr>
            <w:tcW w:type="dxa" w:w="2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Performance</w:t>
            </w:r>
          </w:p>
        </w:tc>
        <w:tc>
          <w:tcPr>
            <w:tcW w:type="dxa" w:w="7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Hub and progress reads must be served from pre-computed projections, never live scans of raw activity events. Evaluation cost per event scales with the number of matched badges, not the size of the catalogue.</w:t>
            </w:r>
          </w:p>
        </w:tc>
      </w:tr>
      <w:tr>
        <w:tc>
          <w:tcPr>
            <w:tcW w:type="dxa" w:w="2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Scalability</w:t>
            </w:r>
          </w:p>
        </w:tc>
        <w:tc>
          <w:tcPr>
            <w:tcW w:type="dxa" w:w="7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The engine must absorb new modules and a growing catalogue without architectural change, and support multi-tenant CUG scoping across all client organisations.</w:t>
            </w:r>
          </w:p>
        </w:tc>
      </w:tr>
      <w:tr>
        <w:tc>
          <w:tcPr>
            <w:tcW w:type="dxa" w:w="2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Reliability</w:t>
            </w:r>
          </w:p>
        </w:tc>
        <w:tc>
          <w:tcPr>
            <w:tcW w:type="dxa" w:w="7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Reward or notification failure must never block earn creation; both are retried independently. Earn semantics are exactly-once under event replay and concurrency.</w:t>
            </w:r>
          </w:p>
        </w:tc>
      </w:tr>
      <w:tr>
        <w:tc>
          <w:tcPr>
            <w:tcW w:type="dxa" w:w="2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Security &amp; Privacy</w:t>
            </w:r>
          </w:p>
        </w:tc>
        <w:tc>
          <w:tcPr>
            <w:tcW w:type="dxa" w:w="7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CUG scoping is enforced at the query layer; group visibility respects the per-user toggle; and reward operations are auditable end-to-end. Workplace-privacy expectations govern default visibility.</w:t>
            </w:r>
          </w:p>
        </w:tc>
      </w:tr>
      <w:tr>
        <w:tc>
          <w:tcPr>
            <w:tcW w:type="dxa" w:w="2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Accessibility</w:t>
            </w:r>
          </w:p>
        </w:tc>
        <w:tc>
          <w:tcPr>
            <w:tcW w:type="dxa" w:w="7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The hub, locked-state progress, and celebration experiences must meet the platform accessibility standard, including sufficient contrast on badge artwork and non-colour-dependent tier indication.</w:t>
            </w:r>
          </w:p>
        </w:tc>
      </w:tr>
      <w:tr>
        <w:tc>
          <w:tcPr>
            <w:tcW w:type="dxa" w:w="2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Maintainability</w:t>
            </w:r>
          </w:p>
        </w:tc>
        <w:tc>
          <w:tcPr>
            <w:tcW w:type="dxa" w:w="7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Badge criteria are versioned; editing a live badge creates a new version and never re-evaluates historical earns, so the catalogue can evolve safely.</w:t>
            </w:r>
          </w:p>
        </w:tc>
      </w:tr>
      <w:tr>
        <w:tc>
          <w:tcPr>
            <w:tcW w:type="dxa" w:w="2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Availability</w:t>
            </w:r>
          </w:p>
        </w:tc>
        <w:tc>
          <w:tcPr>
            <w:tcW w:type="dxa" w:w="7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Badge evaluation and reward fulfilment are resilient to downstream outages through independent queues, degrading to a "reward on its way" state rather than failing the earn.</w:t>
            </w:r>
          </w:p>
        </w:tc>
      </w:tr>
      <w:tr>
        <w:tc>
          <w:tcPr>
            <w:tcW w:type="dxa" w:w="2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Data consistency</w:t>
            </w:r>
          </w:p>
        </w:tc>
        <w:tc>
          <w:tcPr>
            <w:tcW w:type="dxa" w:w="7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The earn ledger and reward ledger are the single sources of truth for what a user has earned and what has been paid, reconcilable by Finance at any time.</w:t>
            </w:r>
          </w:p>
        </w:tc>
      </w:tr>
    </w:tbl>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11  </w:t>
      </w:r>
      <w:r>
        <w:rPr>
          <w:rFonts w:ascii="Calibri" w:cs="Calibri" w:eastAsia="Calibri" w:hAnsi="Calibri"/>
          <w:b/>
          <w:bCs/>
          <w:i w:val="false"/>
          <w:iCs w:val="false"/>
          <w:caps w:val="false"/>
          <w:color w:val="1A1A2E"/>
          <w:sz w:val="26"/>
          <w:szCs w:val="26"/>
        </w:rPr>
        <w:t xml:space="preserve">User Stories</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Representative stories by audience, with priority. These illustrate intent; the complete backlog is maintained separately.</w:t>
      </w:r>
    </w:p>
    <w:p>
      <w:pPr>
        <w:pStyle w:val="Heading2"/>
        <w:keepNext/>
        <w:spacing w:after="90" w:before="220"/>
      </w:pPr>
      <w:r>
        <w:rPr>
          <w:rFonts w:ascii="Calibri" w:cs="Calibri" w:eastAsia="Calibri" w:hAnsi="Calibri"/>
          <w:b/>
          <w:bCs/>
          <w:i w:val="false"/>
          <w:iCs w:val="false"/>
          <w:caps w:val="false"/>
          <w:color w:val="3B4B7A"/>
          <w:sz w:val="22"/>
          <w:szCs w:val="22"/>
        </w:rPr>
        <w:t xml:space="preserve">End User</w:t>
      </w:r>
    </w:p>
    <w:tbl>
      <w:tblPr>
        <w:tblW w:type="dxa" w:w="9360"/>
        <w:tblBorders>
          <w:top w:val="single" w:color="C9CFDD" w:sz="2"/>
          <w:left w:val="none"/>
          <w:bottom w:val="single" w:color="C9CFDD" w:sz="2"/>
          <w:right w:val="none"/>
          <w:insideH w:val="single" w:color="C9CFDD" w:sz="2"/>
          <w:insideV w:val="none"/>
        </w:tblBorders>
      </w:tblPr>
      <w:tblGrid>
        <w:gridCol w:w="1180"/>
        <w:gridCol w:w="6980"/>
        <w:gridCol w:w="1200"/>
      </w:tblGrid>
      <w:tr>
        <w:trPr>
          <w:tblHeader/>
        </w:trPr>
        <w:tc>
          <w:tcPr>
            <w:tcW w:type="dxa" w:w="118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ID</w:t>
            </w:r>
          </w:p>
        </w:tc>
        <w:tc>
          <w:tcPr>
            <w:tcW w:type="dxa" w:w="698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Story</w:t>
            </w:r>
          </w:p>
        </w:tc>
        <w:tc>
          <w:tcPr>
            <w:tcW w:type="dxa" w:w="12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Priority</w:t>
            </w:r>
          </w:p>
        </w:tc>
      </w:tr>
      <w:tr>
        <w:tc>
          <w:tcPr>
            <w:tcW w:type="dxa" w:w="11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EU-01</w:t>
            </w:r>
          </w:p>
        </w:tc>
        <w:tc>
          <w:tcPr>
            <w:tcW w:type="dxa" w:w="69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user, I see all my badges — earned, in-progress, and locked — in one Achievements hub so I always know what to chase next.</w:t>
            </w:r>
          </w:p>
        </w:tc>
        <w:tc>
          <w:tcPr>
            <w:tcW w:type="dxa" w:w="1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r>
      <w:tr>
        <w:tc>
          <w:tcPr>
            <w:tcW w:type="dxa" w:w="11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EU-02</w:t>
            </w:r>
          </w:p>
        </w:tc>
        <w:tc>
          <w:tcPr>
            <w:tcW w:type="dxa" w:w="69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user, I see exact progress toward the next tier so the goal feels within reach.</w:t>
            </w:r>
          </w:p>
        </w:tc>
        <w:tc>
          <w:tcPr>
            <w:tcW w:type="dxa" w:w="1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r>
      <w:tr>
        <w:tc>
          <w:tcPr>
            <w:tcW w:type="dxa" w:w="11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EU-03</w:t>
            </w:r>
          </w:p>
        </w:tc>
        <w:tc>
          <w:tcPr>
            <w:tcW w:type="dxa" w:w="69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user, I get an immediate celebration and my reward is credited automatically when I unlock a badge.</w:t>
            </w:r>
          </w:p>
        </w:tc>
        <w:tc>
          <w:tcPr>
            <w:tcW w:type="dxa" w:w="1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r>
      <w:tr>
        <w:tc>
          <w:tcPr>
            <w:tcW w:type="dxa" w:w="11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EU-04</w:t>
            </w:r>
          </w:p>
        </w:tc>
        <w:tc>
          <w:tcPr>
            <w:tcW w:type="dxa" w:w="69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user, I can share an achievement card to WhatsApp or LinkedIn without exposing my health numbers.</w:t>
            </w:r>
          </w:p>
        </w:tc>
        <w:tc>
          <w:tcPr>
            <w:tcW w:type="dxa" w:w="1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r>
      <w:tr>
        <w:tc>
          <w:tcPr>
            <w:tcW w:type="dxa" w:w="11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EU-05</w:t>
            </w:r>
          </w:p>
        </w:tc>
        <w:tc>
          <w:tcPr>
            <w:tcW w:type="dxa" w:w="69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user, my late-syncing steps still count toward the correct day's streaks and milestones.</w:t>
            </w:r>
          </w:p>
        </w:tc>
        <w:tc>
          <w:tcPr>
            <w:tcW w:type="dxa" w:w="1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r>
      <w:tr>
        <w:tc>
          <w:tcPr>
            <w:tcW w:type="dxa" w:w="11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EU-06</w:t>
            </w:r>
          </w:p>
        </w:tc>
        <w:tc>
          <w:tcPr>
            <w:tcW w:type="dxa" w:w="69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user, I receive my historical badges when the feature launches, as a single recap.</w:t>
            </w:r>
          </w:p>
        </w:tc>
        <w:tc>
          <w:tcPr>
            <w:tcW w:type="dxa" w:w="1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r>
      <w:tr>
        <w:tc>
          <w:tcPr>
            <w:tcW w:type="dxa" w:w="11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EU-07</w:t>
            </w:r>
          </w:p>
        </w:tc>
        <w:tc>
          <w:tcPr>
            <w:tcW w:type="dxa" w:w="69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user, I can hide my badges from my group if I prefer to keep them private.</w:t>
            </w:r>
          </w:p>
        </w:tc>
        <w:tc>
          <w:tcPr>
            <w:tcW w:type="dxa" w:w="1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P2</w:t>
            </w:r>
          </w:p>
        </w:tc>
      </w:tr>
      <w:tr>
        <w:tc>
          <w:tcPr>
            <w:tcW w:type="dxa" w:w="11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EU-08</w:t>
            </w:r>
          </w:p>
        </w:tc>
        <w:tc>
          <w:tcPr>
            <w:tcW w:type="dxa" w:w="69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user, I get a gentle nudge when I am close to a streak or milestone so I don't lose it.</w:t>
            </w:r>
          </w:p>
        </w:tc>
        <w:tc>
          <w:tcPr>
            <w:tcW w:type="dxa" w:w="1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P2</w:t>
            </w:r>
          </w:p>
        </w:tc>
      </w:tr>
    </w:tbl>
    <w:p>
      <w:pPr>
        <w:spacing w:after="36"/>
      </w:pPr>
      <w:r>
        <w:rPr>
          <w:rFonts w:ascii="Calibri" w:cs="Calibri" w:eastAsia="Calibri" w:hAnsi="Calibri"/>
          <w:b w:val="false"/>
          <w:bCs w:val="false"/>
          <w:i w:val="false"/>
          <w:iCs w:val="false"/>
          <w:caps w:val="false"/>
          <w:color w:val="222222"/>
          <w:sz w:val="21"/>
          <w:szCs w:val="21"/>
        </w:rPr>
        <w:t xml:space="preserve"/>
      </w:r>
    </w:p>
    <w:p>
      <w:pPr>
        <w:pStyle w:val="Heading2"/>
        <w:keepNext/>
        <w:spacing w:after="90" w:before="220"/>
      </w:pPr>
      <w:r>
        <w:rPr>
          <w:rFonts w:ascii="Calibri" w:cs="Calibri" w:eastAsia="Calibri" w:hAnsi="Calibri"/>
          <w:b/>
          <w:bCs/>
          <w:i w:val="false"/>
          <w:iCs w:val="false"/>
          <w:caps w:val="false"/>
          <w:color w:val="3B4B7A"/>
          <w:sz w:val="22"/>
          <w:szCs w:val="22"/>
        </w:rPr>
        <w:t xml:space="preserve">Client Admin</w:t>
      </w:r>
    </w:p>
    <w:tbl>
      <w:tblPr>
        <w:tblW w:type="dxa" w:w="9360"/>
        <w:tblBorders>
          <w:top w:val="single" w:color="C9CFDD" w:sz="2"/>
          <w:left w:val="none"/>
          <w:bottom w:val="single" w:color="C9CFDD" w:sz="2"/>
          <w:right w:val="none"/>
          <w:insideH w:val="single" w:color="C9CFDD" w:sz="2"/>
          <w:insideV w:val="none"/>
        </w:tblBorders>
      </w:tblPr>
      <w:tblGrid>
        <w:gridCol w:w="1180"/>
        <w:gridCol w:w="6980"/>
        <w:gridCol w:w="1200"/>
      </w:tblGrid>
      <w:tr>
        <w:trPr>
          <w:tblHeader/>
        </w:trPr>
        <w:tc>
          <w:tcPr>
            <w:tcW w:type="dxa" w:w="118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ID</w:t>
            </w:r>
          </w:p>
        </w:tc>
        <w:tc>
          <w:tcPr>
            <w:tcW w:type="dxa" w:w="698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Story</w:t>
            </w:r>
          </w:p>
        </w:tc>
        <w:tc>
          <w:tcPr>
            <w:tcW w:type="dxa" w:w="12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Priority</w:t>
            </w:r>
          </w:p>
        </w:tc>
      </w:tr>
      <w:tr>
        <w:tc>
          <w:tcPr>
            <w:tcW w:type="dxa" w:w="11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CA-01</w:t>
            </w:r>
          </w:p>
        </w:tc>
        <w:tc>
          <w:tcPr>
            <w:tcW w:type="dxa" w:w="69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Client Admin, I create a group-scoped badge with custom art, criteria, and rewards in one guided flow.</w:t>
            </w:r>
          </w:p>
        </w:tc>
        <w:tc>
          <w:tcPr>
            <w:tcW w:type="dxa" w:w="1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r>
      <w:tr>
        <w:tc>
          <w:tcPr>
            <w:tcW w:type="dxa" w:w="11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CA-02</w:t>
            </w:r>
          </w:p>
        </w:tc>
        <w:tc>
          <w:tcPr>
            <w:tcW w:type="dxa" w:w="69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Client Admin, I schedule a time-boxed campaign badge for an event like Wellness Week.</w:t>
            </w:r>
          </w:p>
        </w:tc>
        <w:tc>
          <w:tcPr>
            <w:tcW w:type="dxa" w:w="1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r>
      <w:tr>
        <w:tc>
          <w:tcPr>
            <w:tcW w:type="dxa" w:w="11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CA-03</w:t>
            </w:r>
          </w:p>
        </w:tc>
        <w:tc>
          <w:tcPr>
            <w:tcW w:type="dxa" w:w="69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Client Admin, I see a projected unlock volume before I publish, so I can gauge reach and cost.</w:t>
            </w:r>
          </w:p>
        </w:tc>
        <w:tc>
          <w:tcPr>
            <w:tcW w:type="dxa" w:w="1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r>
      <w:tr>
        <w:tc>
          <w:tcPr>
            <w:tcW w:type="dxa" w:w="11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CA-04</w:t>
            </w:r>
          </w:p>
        </w:tc>
        <w:tc>
          <w:tcPr>
            <w:tcW w:type="dxa" w:w="69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Client Admin, I see unlock counts and reward spend per badge for my group.</w:t>
            </w:r>
          </w:p>
        </w:tc>
        <w:tc>
          <w:tcPr>
            <w:tcW w:type="dxa" w:w="1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r>
    </w:tbl>
    <w:p>
      <w:pPr>
        <w:spacing w:after="36"/>
      </w:pPr>
      <w:r>
        <w:rPr>
          <w:rFonts w:ascii="Calibri" w:cs="Calibri" w:eastAsia="Calibri" w:hAnsi="Calibri"/>
          <w:b w:val="false"/>
          <w:bCs w:val="false"/>
          <w:i w:val="false"/>
          <w:iCs w:val="false"/>
          <w:caps w:val="false"/>
          <w:color w:val="222222"/>
          <w:sz w:val="21"/>
          <w:szCs w:val="21"/>
        </w:rPr>
        <w:t xml:space="preserve"/>
      </w:r>
    </w:p>
    <w:p>
      <w:pPr>
        <w:pStyle w:val="Heading2"/>
        <w:keepNext/>
        <w:spacing w:after="90" w:before="220"/>
      </w:pPr>
      <w:r>
        <w:rPr>
          <w:rFonts w:ascii="Calibri" w:cs="Calibri" w:eastAsia="Calibri" w:hAnsi="Calibri"/>
          <w:b/>
          <w:bCs/>
          <w:i w:val="false"/>
          <w:iCs w:val="false"/>
          <w:caps w:val="false"/>
          <w:color w:val="3B4B7A"/>
          <w:sz w:val="22"/>
          <w:szCs w:val="22"/>
        </w:rPr>
        <w:t xml:space="preserve">Super Admin</w:t>
      </w:r>
    </w:p>
    <w:tbl>
      <w:tblPr>
        <w:tblW w:type="dxa" w:w="9360"/>
        <w:tblBorders>
          <w:top w:val="single" w:color="C9CFDD" w:sz="2"/>
          <w:left w:val="none"/>
          <w:bottom w:val="single" w:color="C9CFDD" w:sz="2"/>
          <w:right w:val="none"/>
          <w:insideH w:val="single" w:color="C9CFDD" w:sz="2"/>
          <w:insideV w:val="none"/>
        </w:tblBorders>
      </w:tblPr>
      <w:tblGrid>
        <w:gridCol w:w="1180"/>
        <w:gridCol w:w="6980"/>
        <w:gridCol w:w="1200"/>
      </w:tblGrid>
      <w:tr>
        <w:trPr>
          <w:tblHeader/>
        </w:trPr>
        <w:tc>
          <w:tcPr>
            <w:tcW w:type="dxa" w:w="118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ID</w:t>
            </w:r>
          </w:p>
        </w:tc>
        <w:tc>
          <w:tcPr>
            <w:tcW w:type="dxa" w:w="698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Story</w:t>
            </w:r>
          </w:p>
        </w:tc>
        <w:tc>
          <w:tcPr>
            <w:tcW w:type="dxa" w:w="12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Priority</w:t>
            </w:r>
          </w:p>
        </w:tc>
      </w:tr>
      <w:tr>
        <w:tc>
          <w:tcPr>
            <w:tcW w:type="dxa" w:w="11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SA-01</w:t>
            </w:r>
          </w:p>
        </w:tc>
        <w:tc>
          <w:tcPr>
            <w:tcW w:type="dxa" w:w="69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Super Admin, I manage the global catalogue that applies across all client groups.</w:t>
            </w:r>
          </w:p>
        </w:tc>
        <w:tc>
          <w:tcPr>
            <w:tcW w:type="dxa" w:w="1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r>
      <w:tr>
        <w:tc>
          <w:tcPr>
            <w:tcW w:type="dxa" w:w="11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SA-02</w:t>
            </w:r>
          </w:p>
        </w:tc>
        <w:tc>
          <w:tcPr>
            <w:tcW w:type="dxa" w:w="69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Super Admin, I approve Client Admin badges whose rewards exceed the configured threshold.</w:t>
            </w:r>
          </w:p>
        </w:tc>
        <w:tc>
          <w:tcPr>
            <w:tcW w:type="dxa" w:w="1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P1</w:t>
            </w:r>
          </w:p>
        </w:tc>
      </w:tr>
      <w:tr>
        <w:tc>
          <w:tcPr>
            <w:tcW w:type="dxa" w:w="11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SA-03</w:t>
            </w:r>
          </w:p>
        </w:tc>
        <w:tc>
          <w:tcPr>
            <w:tcW w:type="dxa" w:w="69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As a Super Admin, I can revoke a fraudulent earn with a reason code and automatic reward clawback.</w:t>
            </w:r>
          </w:p>
        </w:tc>
        <w:tc>
          <w:tcPr>
            <w:tcW w:type="dxa" w:w="1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P2</w:t>
            </w:r>
          </w:p>
        </w:tc>
      </w:tr>
    </w:tbl>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12  </w:t>
      </w:r>
      <w:r>
        <w:rPr>
          <w:rFonts w:ascii="Calibri" w:cs="Calibri" w:eastAsia="Calibri" w:hAnsi="Calibri"/>
          <w:b/>
          <w:bCs/>
          <w:i w:val="false"/>
          <w:iCs w:val="false"/>
          <w:caps w:val="false"/>
          <w:color w:val="1A1A2E"/>
          <w:sz w:val="26"/>
          <w:szCs w:val="26"/>
        </w:rPr>
        <w:t xml:space="preserve">Out of Scope</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The following are intentionally excluded from Phase 1. Several are explicitly designed for — the engine is built so they become catalogue and event additions rather than re-architecture — but none ship in this release. Excluding them protects launch focus and catalogue quality.</w:t>
      </w:r>
    </w:p>
    <w:tbl>
      <w:tblPr>
        <w:tblW w:type="dxa" w:w="9360"/>
        <w:tblBorders>
          <w:top w:val="single" w:color="C9CFDD" w:sz="2"/>
          <w:left w:val="none"/>
          <w:bottom w:val="single" w:color="C9CFDD" w:sz="2"/>
          <w:right w:val="none"/>
          <w:insideH w:val="single" w:color="C9CFDD" w:sz="2"/>
          <w:insideV w:val="none"/>
        </w:tblBorders>
      </w:tblPr>
      <w:tblGrid>
        <w:gridCol w:w="3000"/>
        <w:gridCol w:w="6360"/>
      </w:tblGrid>
      <w:tr>
        <w:trPr>
          <w:tblHeader/>
        </w:trPr>
        <w:tc>
          <w:tcPr>
            <w:tcW w:type="dxa" w:w="30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Excluded from Phase 1</w:t>
            </w:r>
          </w:p>
        </w:tc>
        <w:tc>
          <w:tcPr>
            <w:tcW w:type="dxa" w:w="63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Rationale</w:t>
            </w:r>
          </w:p>
        </w:tc>
      </w:tr>
      <w:tr>
        <w:tc>
          <w:tcPr>
            <w:tcW w:type="dxa" w:w="3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SPL badges</w:t>
            </w:r>
          </w:p>
        </w:tc>
        <w:tc>
          <w:tcPr>
            <w:tcW w:type="dxa" w:w="63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The SPL category ships later as catalogue rows on the same engine; excluded now to keep the launch catalogue focused.</w:t>
            </w:r>
          </w:p>
        </w:tc>
      </w:tr>
      <w:tr>
        <w:tc>
          <w:tcPr>
            <w:tcW w:type="dxa" w:w="30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Quest chains</w:t>
            </w:r>
          </w:p>
        </w:tc>
        <w:tc>
          <w:tcPr>
            <w:tcW w:type="dxa" w:w="63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Composite, multi-badge quests are a later-phase mechanic; the single-badge model must prove out first.</w:t>
            </w:r>
          </w:p>
        </w:tc>
      </w:tr>
      <w:tr>
        <w:tc>
          <w:tcPr>
            <w:tcW w:type="dxa" w:w="3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Meta-progression (profile levels)</w:t>
            </w:r>
          </w:p>
        </w:tc>
        <w:tc>
          <w:tcPr>
            <w:tcW w:type="dxa" w:w="63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 user-level system fed by badge points is deferred; badges must establish value on their own before laddering into levels.</w:t>
            </w:r>
          </w:p>
        </w:tc>
      </w:tr>
      <w:tr>
        <w:tc>
          <w:tcPr>
            <w:tcW w:type="dxa" w:w="30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Sponsored badges</w:t>
            </w:r>
          </w:p>
        </w:tc>
        <w:tc>
          <w:tcPr>
            <w:tcW w:type="dxa" w:w="63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Partner-funded campaign rails require commercial and compliance groundwork planned for a later phase.</w:t>
            </w:r>
          </w:p>
        </w:tc>
      </w:tr>
      <w:tr>
        <w:tc>
          <w:tcPr>
            <w:tcW w:type="dxa" w:w="3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Team badges</w:t>
            </w:r>
          </w:p>
        </w:tc>
        <w:tc>
          <w:tcPr>
            <w:tcW w:type="dxa" w:w="63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Collective achievements for teams or groups depend on team constructs (including SPL) not in this release.</w:t>
            </w:r>
          </w:p>
        </w:tc>
      </w:tr>
      <w:tr>
        <w:tc>
          <w:tcPr>
            <w:tcW w:type="dxa" w:w="30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Hidden / surprise badges</w:t>
            </w:r>
          </w:p>
        </w:tc>
        <w:tc>
          <w:tcPr>
            <w:tcW w:type="dxa" w:w="63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All Phase 1 badges show locked-state progress; a small surprise-and-delight set may be considered later.</w:t>
            </w:r>
          </w:p>
        </w:tc>
      </w:tr>
    </w:tbl>
    <w:p>
      <w:pPr>
        <w:spacing w:after="24"/>
      </w:pPr>
      <w:r>
        <w:rPr>
          <w:rFonts w:ascii="Calibri" w:cs="Calibri" w:eastAsia="Calibri" w:hAnsi="Calibri"/>
          <w:b w:val="false"/>
          <w:bCs w:val="false"/>
          <w:i w:val="false"/>
          <w:iCs w:val="false"/>
          <w:caps w:val="false"/>
          <w:color w:val="222222"/>
          <w:sz w:val="21"/>
          <w:szCs w:val="21"/>
        </w:rPr>
        <w:t xml:space="preserve"/>
      </w:r>
    </w:p>
    <w:p>
      <w:pPr>
        <w:spacing w:after="60" w:before="0" w:line="268"/>
        <w:jc w:val="left"/>
      </w:pPr>
      <w:r>
        <w:rPr>
          <w:rFonts w:ascii="Calibri" w:cs="Calibri" w:eastAsia="Calibri" w:hAnsi="Calibri"/>
          <w:b w:val="false"/>
          <w:bCs w:val="false"/>
          <w:i w:val="false"/>
          <w:iCs w:val="false"/>
          <w:caps w:val="false"/>
          <w:color w:val="222222"/>
          <w:sz w:val="21"/>
          <w:szCs w:val="21"/>
        </w:rPr>
        <w:t xml:space="preserve">A fuller backlog of candidate future badges — including the SPL pack, seasonal and meta-progression ideas — is maintained in the Workbook's Future Badge Ideas sheet.</w:t>
      </w:r>
    </w:p>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13  </w:t>
      </w:r>
      <w:r>
        <w:rPr>
          <w:rFonts w:ascii="Calibri" w:cs="Calibri" w:eastAsia="Calibri" w:hAnsi="Calibri"/>
          <w:b/>
          <w:bCs/>
          <w:i w:val="false"/>
          <w:iCs w:val="false"/>
          <w:caps w:val="false"/>
          <w:color w:val="1A1A2E"/>
          <w:sz w:val="26"/>
          <w:szCs w:val="26"/>
        </w:rPr>
        <w:t xml:space="preserve">Dependencies</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Delivery depends on the following cross-team capabilities. The phase gate indicates the earliest rollout stage each dependency blocks; the full owner view is in the Workbook's Technical Dependencies sheet.</w:t>
      </w:r>
    </w:p>
    <w:tbl>
      <w:tblPr>
        <w:tblW w:type="dxa" w:w="9360"/>
        <w:tblBorders>
          <w:top w:val="single" w:color="C9CFDD" w:sz="2"/>
          <w:left w:val="none"/>
          <w:bottom w:val="single" w:color="C9CFDD" w:sz="2"/>
          <w:right w:val="none"/>
          <w:insideH w:val="single" w:color="C9CFDD" w:sz="2"/>
          <w:insideV w:val="none"/>
        </w:tblBorders>
      </w:tblPr>
      <w:tblGrid>
        <w:gridCol w:w="3000"/>
        <w:gridCol w:w="4360"/>
        <w:gridCol w:w="2000"/>
      </w:tblGrid>
      <w:tr>
        <w:trPr>
          <w:tblHeader/>
        </w:trPr>
        <w:tc>
          <w:tcPr>
            <w:tcW w:type="dxa" w:w="30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Dependency</w:t>
            </w:r>
          </w:p>
        </w:tc>
        <w:tc>
          <w:tcPr>
            <w:tcW w:type="dxa" w:w="43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Why it matters</w:t>
            </w:r>
          </w:p>
        </w:tc>
        <w:tc>
          <w:tcPr>
            <w:tcW w:type="dxa" w:w="20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Phase gate</w:t>
            </w:r>
          </w:p>
        </w:tc>
      </w:tr>
      <w:tr>
        <w:tc>
          <w:tcPr>
            <w:tcW w:type="dxa" w:w="3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Event bus topics (activity taxonomy)</w:t>
            </w:r>
          </w:p>
        </w:tc>
        <w:tc>
          <w:tcPr>
            <w:tcW w:type="dxa" w:w="43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The engine cannot evaluate anything without step and challenge event streams.</w:t>
            </w:r>
          </w:p>
        </w:tc>
        <w:tc>
          <w:tcPr>
            <w:tcW w:type="dxa" w:w="2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Blocker — Alpha</w:t>
            </w:r>
          </w:p>
        </w:tc>
      </w:tr>
      <w:tr>
        <w:tc>
          <w:tcPr>
            <w:tcW w:type="dxa" w:w="30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Per-day step aggregates (activity-dated)</w:t>
            </w:r>
          </w:p>
        </w:tc>
        <w:tc>
          <w:tcPr>
            <w:tcW w:type="dxa" w:w="43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Required for late-sync correctness and streak accuracy.</w:t>
            </w:r>
          </w:p>
        </w:tc>
        <w:tc>
          <w:tcPr>
            <w:tcW w:type="dxa" w:w="20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Blocker — Alpha</w:t>
            </w:r>
          </w:p>
        </w:tc>
      </w:tr>
      <w:tr>
        <w:tc>
          <w:tcPr>
            <w:tcW w:type="dxa" w:w="3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CUG membership service</w:t>
            </w:r>
          </w:p>
        </w:tc>
        <w:tc>
          <w:tcPr>
            <w:tcW w:type="dxa" w:w="43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Enforces group scoping and powers rarity counts.</w:t>
            </w:r>
          </w:p>
        </w:tc>
        <w:tc>
          <w:tcPr>
            <w:tcW w:type="dxa" w:w="2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Alpha</w:t>
            </w:r>
          </w:p>
        </w:tc>
      </w:tr>
      <w:tr>
        <w:tc>
          <w:tcPr>
            <w:tcW w:type="dxa" w:w="30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Wallet credit API (idempotent)</w:t>
            </w:r>
          </w:p>
        </w:tc>
        <w:tc>
          <w:tcPr>
            <w:tcW w:type="dxa" w:w="43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Fulfils Care Coins and wallet-money rewards.</w:t>
            </w:r>
          </w:p>
        </w:tc>
        <w:tc>
          <w:tcPr>
            <w:tcW w:type="dxa" w:w="20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Blocker — Beta</w:t>
            </w:r>
          </w:p>
        </w:tc>
      </w:tr>
      <w:tr>
        <w:tc>
          <w:tcPr>
            <w:tcW w:type="dxa" w:w="3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Push provider with quiet-hours</w:t>
            </w:r>
          </w:p>
        </w:tc>
        <w:tc>
          <w:tcPr>
            <w:tcW w:type="dxa" w:w="43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Enables capped, quiet-hours-respecting notifications.</w:t>
            </w:r>
          </w:p>
        </w:tc>
        <w:tc>
          <w:tcPr>
            <w:tcW w:type="dxa" w:w="2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Beta</w:t>
            </w:r>
          </w:p>
        </w:tc>
      </w:tr>
      <w:tr>
        <w:tc>
          <w:tcPr>
            <w:tcW w:type="dxa" w:w="30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SVG asset pipeline &amp; tier templates</w:t>
            </w:r>
          </w:p>
        </w:tc>
        <w:tc>
          <w:tcPr>
            <w:tcW w:type="dxa" w:w="43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Produces badge artwork at scale and lints admin uploads.</w:t>
            </w:r>
          </w:p>
        </w:tc>
        <w:tc>
          <w:tcPr>
            <w:tcW w:type="dxa" w:w="20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Beta</w:t>
            </w:r>
          </w:p>
        </w:tc>
      </w:tr>
      <w:tr>
        <w:tc>
          <w:tcPr>
            <w:tcW w:type="dxa" w:w="3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Historical aggregates (≥12 months)</w:t>
            </w:r>
          </w:p>
        </w:tc>
        <w:tc>
          <w:tcPr>
            <w:tcW w:type="dxa" w:w="43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Powers the retroactive-grant job at launch.</w:t>
            </w:r>
          </w:p>
        </w:tc>
        <w:tc>
          <w:tcPr>
            <w:tcW w:type="dxa" w:w="2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Beta</w:t>
            </w:r>
          </w:p>
        </w:tc>
      </w:tr>
      <w:tr>
        <w:tc>
          <w:tcPr>
            <w:tcW w:type="dxa" w:w="30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Analytics event schema registration</w:t>
            </w:r>
          </w:p>
        </w:tc>
        <w:tc>
          <w:tcPr>
            <w:tcW w:type="dxa" w:w="43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Required for the measurement dashboards.</w:t>
            </w:r>
          </w:p>
        </w:tc>
        <w:tc>
          <w:tcPr>
            <w:tcW w:type="dxa" w:w="20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Beta</w:t>
            </w:r>
          </w:p>
        </w:tc>
      </w:tr>
      <w:tr>
        <w:tc>
          <w:tcPr>
            <w:tcW w:type="dxa" w:w="3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Voucher inventory API</w:t>
            </w:r>
          </w:p>
        </w:tc>
        <w:tc>
          <w:tcPr>
            <w:tcW w:type="dxa" w:w="43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Enables voucher-type rewards; absent this, Phase 1 uses Care Coins and wallet only.</w:t>
            </w:r>
          </w:p>
        </w:tc>
        <w:tc>
          <w:tcPr>
            <w:tcW w:type="dxa" w:w="20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Nice-to-have — GA</w:t>
            </w:r>
          </w:p>
        </w:tc>
      </w:tr>
    </w:tbl>
    <w:p>
      <w:pPr>
        <w:spacing w:after="24"/>
      </w:pPr>
      <w:r>
        <w:rPr>
          <w:rFonts w:ascii="Calibri" w:cs="Calibri" w:eastAsia="Calibri" w:hAnsi="Calibri"/>
          <w:b w:val="false"/>
          <w:bCs w:val="false"/>
          <w:i w:val="false"/>
          <w:iCs w:val="false"/>
          <w:caps w:val="false"/>
          <w:color w:val="222222"/>
          <w:sz w:val="21"/>
          <w:szCs w:val="21"/>
        </w:rPr>
        <w:t xml:space="preserve"/>
      </w:r>
    </w:p>
    <w:p>
      <w:pPr>
        <w:spacing w:after="60" w:before="0" w:line="268"/>
        <w:jc w:val="left"/>
      </w:pPr>
      <w:r>
        <w:rPr>
          <w:rFonts w:ascii="Calibri" w:cs="Calibri" w:eastAsia="Calibri" w:hAnsi="Calibri"/>
          <w:b w:val="false"/>
          <w:bCs w:val="false"/>
          <w:i w:val="false"/>
          <w:iCs w:val="false"/>
          <w:caps w:val="false"/>
          <w:color w:val="222222"/>
          <w:sz w:val="21"/>
          <w:szCs w:val="21"/>
        </w:rPr>
        <w:t xml:space="preserve">Beyond engineering, the feature depends on </w:t>
      </w:r>
      <w:r>
        <w:rPr>
          <w:rFonts w:ascii="Calibri" w:cs="Calibri" w:eastAsia="Calibri" w:hAnsi="Calibri"/>
          <w:b/>
          <w:bCs/>
          <w:i w:val="false"/>
          <w:iCs w:val="false"/>
          <w:caps w:val="false"/>
          <w:color w:val="222222"/>
          <w:sz w:val="21"/>
          <w:szCs w:val="21"/>
        </w:rPr>
        <w:t xml:space="preserve">Design</w:t>
      </w:r>
      <w:r>
        <w:rPr>
          <w:rFonts w:ascii="Calibri" w:cs="Calibri" w:eastAsia="Calibri" w:hAnsi="Calibri"/>
          <w:b w:val="false"/>
          <w:bCs w:val="false"/>
          <w:i w:val="false"/>
          <w:iCs w:val="false"/>
          <w:caps w:val="false"/>
          <w:color w:val="222222"/>
          <w:sz w:val="21"/>
          <w:szCs w:val="21"/>
        </w:rPr>
        <w:t xml:space="preserve"> for the badge artwork system, </w:t>
      </w:r>
      <w:r>
        <w:rPr>
          <w:rFonts w:ascii="Calibri" w:cs="Calibri" w:eastAsia="Calibri" w:hAnsi="Calibri"/>
          <w:b/>
          <w:bCs/>
          <w:i w:val="false"/>
          <w:iCs w:val="false"/>
          <w:caps w:val="false"/>
          <w:color w:val="222222"/>
          <w:sz w:val="21"/>
          <w:szCs w:val="21"/>
        </w:rPr>
        <w:t xml:space="preserve">Legal/Privacy</w:t>
      </w:r>
      <w:r>
        <w:rPr>
          <w:rFonts w:ascii="Calibri" w:cs="Calibri" w:eastAsia="Calibri" w:hAnsi="Calibri"/>
          <w:b w:val="false"/>
          <w:bCs w:val="false"/>
          <w:i w:val="false"/>
          <w:iCs w:val="false"/>
          <w:caps w:val="false"/>
          <w:color w:val="222222"/>
          <w:sz w:val="21"/>
          <w:szCs w:val="21"/>
        </w:rPr>
        <w:t xml:space="preserve"> for visibility defaults and consent, and </w:t>
      </w:r>
      <w:r>
        <w:rPr>
          <w:rFonts w:ascii="Calibri" w:cs="Calibri" w:eastAsia="Calibri" w:hAnsi="Calibri"/>
          <w:b/>
          <w:bCs/>
          <w:i w:val="false"/>
          <w:iCs w:val="false"/>
          <w:caps w:val="false"/>
          <w:color w:val="222222"/>
          <w:sz w:val="21"/>
          <w:szCs w:val="21"/>
        </w:rPr>
        <w:t xml:space="preserve">Finance</w:t>
      </w:r>
      <w:r>
        <w:rPr>
          <w:rFonts w:ascii="Calibri" w:cs="Calibri" w:eastAsia="Calibri" w:hAnsi="Calibri"/>
          <w:b w:val="false"/>
          <w:bCs w:val="false"/>
          <w:i w:val="false"/>
          <w:iCs w:val="false"/>
          <w:caps w:val="false"/>
          <w:color w:val="222222"/>
          <w:sz w:val="21"/>
          <w:szCs w:val="21"/>
        </w:rPr>
        <w:t xml:space="preserve"> for the reward-liability model and budget approval. These are reflected in the stakeholder table in Section 1.</w:t>
      </w:r>
    </w:p>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14  </w:t>
      </w:r>
      <w:r>
        <w:rPr>
          <w:rFonts w:ascii="Calibri" w:cs="Calibri" w:eastAsia="Calibri" w:hAnsi="Calibri"/>
          <w:b/>
          <w:bCs/>
          <w:i w:val="false"/>
          <w:iCs w:val="false"/>
          <w:caps w:val="false"/>
          <w:color w:val="1A1A2E"/>
          <w:sz w:val="26"/>
          <w:szCs w:val="26"/>
        </w:rPr>
        <w:t xml:space="preserve">Risks &amp; Mitigation</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The principal risks are to system integrity, adoption, and reward liability. Each is paired with the mitigation already designed into the feature.</w:t>
      </w:r>
    </w:p>
    <w:tbl>
      <w:tblPr>
        <w:tblW w:type="dxa" w:w="9360"/>
        <w:tblBorders>
          <w:top w:val="single" w:color="C9CFDD" w:sz="2"/>
          <w:left w:val="none"/>
          <w:bottom w:val="single" w:color="C9CFDD" w:sz="2"/>
          <w:right w:val="none"/>
          <w:insideH w:val="single" w:color="C9CFDD" w:sz="2"/>
          <w:insideV w:val="none"/>
        </w:tblBorders>
      </w:tblPr>
      <w:tblGrid>
        <w:gridCol w:w="2560"/>
        <w:gridCol w:w="3300"/>
        <w:gridCol w:w="3500"/>
      </w:tblGrid>
      <w:tr>
        <w:trPr>
          <w:tblHeader/>
        </w:trPr>
        <w:tc>
          <w:tcPr>
            <w:tcW w:type="dxa" w:w="25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Risk</w:t>
            </w:r>
          </w:p>
        </w:tc>
        <w:tc>
          <w:tcPr>
            <w:tcW w:type="dxa" w:w="33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Impact if unaddressed</w:t>
            </w:r>
          </w:p>
        </w:tc>
        <w:tc>
          <w:tcPr>
            <w:tcW w:type="dxa" w:w="35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Mitigation</w:t>
            </w:r>
          </w:p>
        </w:tc>
      </w:tr>
      <w:tr>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Badge inflation</w:t>
            </w:r>
          </w:p>
        </w:tc>
        <w:tc>
          <w:tcPr>
            <w:tcW w:type="dxa" w:w="33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Trivial badges dilute the value of the whole system — the common failure mode of badge programmes.</w:t>
            </w:r>
          </w:p>
        </w:tc>
        <w:tc>
          <w:tcPr>
            <w:tcW w:type="dxa" w:w="35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Earned-not-given design tenet; catalogue kept deliberately small (~31 families); catalogue-balance monitoring flags badges that are too easy or too hard.</w:t>
            </w:r>
          </w:p>
        </w:tc>
      </w:tr>
      <w:tr>
        <w:tc>
          <w:tcPr>
            <w:tcW w:type="dxa" w:w="2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Reward abuse</w:t>
            </w:r>
          </w:p>
        </w:tc>
        <w:tc>
          <w:tcPr>
            <w:tcW w:type="dxa" w:w="33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Gaming the system for coins creates financial exposure.</w:t>
            </w:r>
          </w:p>
        </w:tc>
        <w:tc>
          <w:tcPr>
            <w:tcW w:type="dxa" w:w="35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Per-badge caps, per-user monthly ceiling, manual-entry activity earns badges but not necessarily coins, and a full reward ledger for reconciliation.</w:t>
            </w:r>
          </w:p>
        </w:tc>
      </w:tr>
      <w:tr>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Low adoption</w:t>
            </w:r>
          </w:p>
        </w:tc>
        <w:tc>
          <w:tcPr>
            <w:tcW w:type="dxa" w:w="33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The feature fails to move engagement metrics.</w:t>
            </w:r>
          </w:p>
        </w:tc>
        <w:tc>
          <w:tcPr>
            <w:tcW w:type="dxa" w:w="35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Contextual in-feature surfacing, fast first-badge target (&lt;2 days), retroactive grants at launch so users start with a collection, and near-miss nudges.</w:t>
            </w:r>
          </w:p>
        </w:tc>
      </w:tr>
      <w:tr>
        <w:tc>
          <w:tcPr>
            <w:tcW w:type="dxa" w:w="2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Gaming the criteria</w:t>
            </w:r>
          </w:p>
        </w:tc>
        <w:tc>
          <w:tcPr>
            <w:tcW w:type="dxa" w:w="33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Users exploit edge cases (e.g., manual step entry) to unlock unfairly.</w:t>
            </w:r>
          </w:p>
        </w:tc>
        <w:tc>
          <w:tcPr>
            <w:tcW w:type="dxa" w:w="35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Activity-timestamp evaluation, idempotent exactly-once earns, per-badge manual-entry toggles, and Super Admin fraud revocation with clawback.</w:t>
            </w:r>
          </w:p>
        </w:tc>
      </w:tr>
      <w:tr>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Notification fatigue</w:t>
            </w:r>
          </w:p>
        </w:tc>
        <w:tc>
          <w:tcPr>
            <w:tcW w:type="dxa" w:w="33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Over-notification drives opt-outs and churn.</w:t>
            </w:r>
          </w:p>
        </w:tc>
        <w:tc>
          <w:tcPr>
            <w:tcW w:type="dxa" w:w="35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Hard caps (max 2 badge pushes/day), quiet hours, near-miss limited to once per week per family, and a single consolidated launch recap.</w:t>
            </w:r>
          </w:p>
        </w:tc>
      </w:tr>
      <w:tr>
        <w:tc>
          <w:tcPr>
            <w:tcW w:type="dxa" w:w="2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Delayed / late sync</w:t>
            </w:r>
          </w:p>
        </w:tc>
        <w:tc>
          <w:tcPr>
            <w:tcW w:type="dxa" w:w="33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Health data arriving late breaks streaks and milestones, eroding trust.</w:t>
            </w:r>
          </w:p>
        </w:tc>
        <w:tc>
          <w:tcPr>
            <w:tcW w:type="dxa" w:w="35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All logic evaluates on activity date, not sync time; late data retro-heals streaks; downward corrections never revoke earned badges.</w:t>
            </w:r>
          </w:p>
        </w:tc>
      </w:tr>
      <w:tr>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Reward liability overrun</w:t>
            </w:r>
          </w:p>
        </w:tc>
        <w:tc>
          <w:tcPr>
            <w:tcW w:type="dxa" w:w="33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Uncontrolled coin/voucher issuance exceeds budget.</w:t>
            </w:r>
          </w:p>
        </w:tc>
        <w:tc>
          <w:tcPr>
            <w:tcW w:type="dxa" w:w="35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Liability dashboard, cap-utilisation monitoring (&lt;80% target), approval workflow for high-value rewards, and Finance ownership of the model.</w:t>
            </w:r>
          </w:p>
        </w:tc>
      </w:tr>
    </w:tbl>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15  </w:t>
      </w:r>
      <w:r>
        <w:rPr>
          <w:rFonts w:ascii="Calibri" w:cs="Calibri" w:eastAsia="Calibri" w:hAnsi="Calibri"/>
          <w:b/>
          <w:bCs/>
          <w:i w:val="false"/>
          <w:iCs w:val="false"/>
          <w:caps w:val="false"/>
          <w:color w:val="1A1A2E"/>
          <w:sz w:val="26"/>
          <w:szCs w:val="26"/>
        </w:rPr>
        <w:t xml:space="preserve">Rollout Strategy</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Rollout is staged to validate correctness before rewards, and rewards before scale. Each phase has explicit exit criteria; detail is in the Workbook and Blueprint.</w:t>
      </w:r>
    </w:p>
    <w:tbl>
      <w:tblPr>
        <w:tblW w:type="dxa" w:w="9360"/>
        <w:tblBorders>
          <w:top w:val="single" w:color="C9CFDD" w:sz="2"/>
          <w:left w:val="none"/>
          <w:bottom w:val="single" w:color="C9CFDD" w:sz="2"/>
          <w:right w:val="none"/>
          <w:insideH w:val="single" w:color="C9CFDD" w:sz="2"/>
          <w:insideV w:val="none"/>
        </w:tblBorders>
      </w:tblPr>
      <w:tblGrid>
        <w:gridCol w:w="1700"/>
        <w:gridCol w:w="3730"/>
        <w:gridCol w:w="3930"/>
      </w:tblGrid>
      <w:tr>
        <w:trPr>
          <w:tblHeader/>
        </w:trPr>
        <w:tc>
          <w:tcPr>
            <w:tcW w:type="dxa" w:w="17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Phase</w:t>
            </w:r>
          </w:p>
        </w:tc>
        <w:tc>
          <w:tcPr>
            <w:tcW w:type="dxa" w:w="373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Scope</w:t>
            </w:r>
          </w:p>
        </w:tc>
        <w:tc>
          <w:tcPr>
            <w:tcW w:type="dxa" w:w="393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Exit criteria</w:t>
            </w:r>
          </w:p>
        </w:tc>
      </w:tr>
      <w:tr>
        <w:tc>
          <w:tcPr>
            <w:tcW w:type="dxa" w:w="17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Alpha (internal)</w:t>
            </w:r>
          </w:p>
        </w:tc>
        <w:tc>
          <w:tcPr>
            <w:tcW w:type="dxa" w:w="373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Engine plus ~10 core badges (onboarding, steps, streaks) and the hub; no rewards.</w:t>
            </w:r>
          </w:p>
        </w:tc>
        <w:tc>
          <w:tcPr>
            <w:tcW w:type="dxa" w:w="393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Correct earns on synthetic and delayed-sync test data; zero duplicate earns.</w:t>
            </w:r>
          </w:p>
        </w:tc>
      </w:tr>
      <w:tr>
        <w:tc>
          <w:tcPr>
            <w:tcW w:type="dxa" w:w="17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Beta (1–2 groups)</w:t>
            </w:r>
          </w:p>
        </w:tc>
        <w:tc>
          <w:tcPr>
            <w:tcW w:type="dxa" w:w="373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Full ~31-family catalogue, rewards on, retroactive grant, and sharing.</w:t>
            </w:r>
          </w:p>
        </w:tc>
        <w:tc>
          <w:tcPr>
            <w:tcW w:type="dxa" w:w="393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Clean reward reconciliation; celebration and share funnels instrumented; KPI baselines captured.</w:t>
            </w:r>
          </w:p>
        </w:tc>
      </w:tr>
      <w:tr>
        <w:tc>
          <w:tcPr>
            <w:tcW w:type="dxa" w:w="17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GA (all groups)</w:t>
            </w:r>
          </w:p>
        </w:tc>
        <w:tc>
          <w:tcPr>
            <w:tcW w:type="dxa" w:w="373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All client groups, plus the Client Admin badge builder and approval queue.</w:t>
            </w:r>
          </w:p>
        </w:tc>
        <w:tc>
          <w:tcPr>
            <w:tcW w:type="dxa" w:w="393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Admin simulation live; support runbook ready; liability dashboard adopted by Finance.</w:t>
            </w:r>
          </w:p>
        </w:tc>
      </w:tr>
      <w:tr>
        <w:tc>
          <w:tcPr>
            <w:tcW w:type="dxa" w:w="17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Post-GA</w:t>
            </w:r>
          </w:p>
        </w:tc>
        <w:tc>
          <w:tcPr>
            <w:tcW w:type="dxa" w:w="373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SPL badge category and subsequent roadmap items as catalogue additions.</w:t>
            </w:r>
          </w:p>
        </w:tc>
        <w:tc>
          <w:tcPr>
            <w:tcW w:type="dxa" w:w="393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Per the roadmap; no engine change required.</w:t>
            </w:r>
          </w:p>
        </w:tc>
      </w:tr>
    </w:tbl>
    <w:p>
      <w:pPr>
        <w:spacing w:after="24"/>
      </w:pPr>
      <w:r>
        <w:rPr>
          <w:rFonts w:ascii="Calibri" w:cs="Calibri" w:eastAsia="Calibri" w:hAnsi="Calibri"/>
          <w:b w:val="false"/>
          <w:bCs w:val="false"/>
          <w:i w:val="false"/>
          <w:iCs w:val="false"/>
          <w:caps w:val="false"/>
          <w:color w:val="222222"/>
          <w:sz w:val="21"/>
          <w:szCs w:val="21"/>
        </w:rPr>
        <w:t xml:space="preserve"/>
      </w:r>
    </w:p>
    <w:p>
      <w:pPr>
        <w:spacing w:after="60" w:before="0" w:line="268"/>
        <w:jc w:val="left"/>
      </w:pPr>
      <w:r>
        <w:rPr>
          <w:rFonts w:ascii="Calibri" w:cs="Calibri" w:eastAsia="Calibri" w:hAnsi="Calibri"/>
          <w:b w:val="false"/>
          <w:bCs w:val="false"/>
          <w:i w:val="false"/>
          <w:iCs w:val="false"/>
          <w:caps w:val="false"/>
          <w:color w:val="222222"/>
          <w:sz w:val="21"/>
          <w:szCs w:val="21"/>
        </w:rPr>
        <w:t xml:space="preserve">The sequencing reflects the two highest delivery risks. Rewards are withheld until Alpha proves earn correctness, because a wrongly-issued reward is far costlier to unwind than a delayed one; and the Client Admin builder is withheld until GA so that admin-created badges enter only after the platform and its guardrails are proven at scale.</w:t>
      </w:r>
    </w:p>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16  </w:t>
      </w:r>
      <w:r>
        <w:rPr>
          <w:rFonts w:ascii="Calibri" w:cs="Calibri" w:eastAsia="Calibri" w:hAnsi="Calibri"/>
          <w:b/>
          <w:bCs/>
          <w:i w:val="false"/>
          <w:iCs w:val="false"/>
          <w:caps w:val="false"/>
          <w:color w:val="1A1A2E"/>
          <w:sz w:val="26"/>
          <w:szCs w:val="26"/>
        </w:rPr>
        <w:t xml:space="preserve">Analytics &amp; Measurement</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Measurement answers two questions: is the feature moving the business, and is the system itself well-tuned. The dashboards below serve those questions. The detailed event taxonomy is defined in the Blueprint and is not reproduced here.</w:t>
      </w:r>
    </w:p>
    <w:tbl>
      <w:tblPr>
        <w:tblW w:type="dxa" w:w="9360"/>
        <w:tblBorders>
          <w:top w:val="single" w:color="C9CFDD" w:sz="2"/>
          <w:left w:val="none"/>
          <w:bottom w:val="single" w:color="C9CFDD" w:sz="2"/>
          <w:right w:val="none"/>
          <w:insideH w:val="single" w:color="C9CFDD" w:sz="2"/>
          <w:insideV w:val="none"/>
        </w:tblBorders>
      </w:tblPr>
      <w:tblGrid>
        <w:gridCol w:w="2560"/>
        <w:gridCol w:w="6800"/>
      </w:tblGrid>
      <w:tr>
        <w:trPr>
          <w:tblHeader/>
        </w:trPr>
        <w:tc>
          <w:tcPr>
            <w:tcW w:type="dxa" w:w="25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Dashboard</w:t>
            </w:r>
          </w:p>
        </w:tc>
        <w:tc>
          <w:tcPr>
            <w:tcW w:type="dxa" w:w="68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What it answers</w:t>
            </w:r>
          </w:p>
        </w:tc>
      </w:tr>
      <w:tr>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Badge health (per badge)</w:t>
            </w:r>
          </w:p>
        </w:tc>
        <w:tc>
          <w:tcPr>
            <w:tcW w:type="dxa" w:w="68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Eligible users, unlock rate, median time-to-unlock, progress distribution, and repeat frequency — surfacing badges that are mis-calibrated.</w:t>
            </w:r>
          </w:p>
        </w:tc>
      </w:tr>
      <w:tr>
        <w:tc>
          <w:tcPr>
            <w:tcW w:type="dxa" w:w="2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Engagement lift</w:t>
            </w:r>
          </w:p>
        </w:tc>
        <w:tc>
          <w:tcPr>
            <w:tcW w:type="dxa" w:w="68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Cohort comparison of users at n badges versus n−1 across DAU, sync frequency, challenge joins, and AHC bookings, plus pre/post-launch trend on the core KPIs.</w:t>
            </w:r>
          </w:p>
        </w:tc>
      </w:tr>
      <w:tr>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Reward liability</w:t>
            </w:r>
          </w:p>
        </w:tc>
        <w:tc>
          <w:tcPr>
            <w:tcW w:type="dxa" w:w="68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Coins, wallet money, and vouchers issued via badges by period, client, and category, against budget and cap utilisation — owned by Finance.</w:t>
            </w:r>
          </w:p>
        </w:tc>
      </w:tr>
      <w:tr>
        <w:tc>
          <w:tcPr>
            <w:tcW w:type="dxa" w:w="2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Catalogue balance</w:t>
            </w:r>
          </w:p>
        </w:tc>
        <w:tc>
          <w:tcPr>
            <w:tcW w:type="dxa" w:w="68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Distribution of earned badges to detect badges that are too easy or too hard, plus share-rate and celebration-view-rate per badge.</w:t>
            </w:r>
          </w:p>
        </w:tc>
      </w:tr>
      <w:tr>
        <w:tc>
          <w:tcPr>
            <w:tcW w:type="dxa" w:w="2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Admin adoption</w:t>
            </w:r>
          </w:p>
        </w:tc>
        <w:tc>
          <w:tcPr>
            <w:tcW w:type="dxa" w:w="68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Client badges created, approval SLA adherence, and campaign-badge performance.</w:t>
            </w:r>
          </w:p>
        </w:tc>
      </w:tr>
    </w:tbl>
    <w:p>
      <w:pPr>
        <w:spacing w:after="24"/>
      </w:pPr>
      <w:r>
        <w:rPr>
          <w:rFonts w:ascii="Calibri" w:cs="Calibri" w:eastAsia="Calibri" w:hAnsi="Calibri"/>
          <w:b w:val="false"/>
          <w:bCs w:val="false"/>
          <w:i w:val="false"/>
          <w:iCs w:val="false"/>
          <w:caps w:val="false"/>
          <w:color w:val="222222"/>
          <w:sz w:val="21"/>
          <w:szCs w:val="21"/>
        </w:rPr>
        <w:t xml:space="preserve"/>
      </w:r>
    </w:p>
    <w:p>
      <w:pPr>
        <w:spacing w:after="60" w:before="0" w:line="268"/>
        <w:jc w:val="left"/>
      </w:pPr>
      <w:r>
        <w:rPr>
          <w:rFonts w:ascii="Calibri" w:cs="Calibri" w:eastAsia="Calibri" w:hAnsi="Calibri"/>
          <w:b w:val="false"/>
          <w:bCs w:val="false"/>
          <w:i w:val="false"/>
          <w:iCs w:val="false"/>
          <w:caps w:val="false"/>
          <w:color w:val="222222"/>
          <w:sz w:val="21"/>
          <w:szCs w:val="21"/>
        </w:rPr>
        <w:t xml:space="preserve">Every celebration view, share, hub visit, and progress-bar impression is instrumented as an analytics event, and share cards carry attribution references so organic virality can be measured. The single measure of overall success is whether the engagement-lift dashboard shows a </w:t>
      </w:r>
      <w:r>
        <w:rPr>
          <w:rFonts w:ascii="Calibri" w:cs="Calibri" w:eastAsia="Calibri" w:hAnsi="Calibri"/>
          <w:b/>
          <w:bCs/>
          <w:i w:val="false"/>
          <w:iCs w:val="false"/>
          <w:caps w:val="false"/>
          <w:color w:val="222222"/>
          <w:sz w:val="21"/>
          <w:szCs w:val="21"/>
        </w:rPr>
        <w:t xml:space="preserve">positive, monotonic</w:t>
      </w:r>
      <w:r>
        <w:rPr>
          <w:rFonts w:ascii="Calibri" w:cs="Calibri" w:eastAsia="Calibri" w:hAnsi="Calibri"/>
          <w:b w:val="false"/>
          <w:bCs w:val="false"/>
          <w:i w:val="false"/>
          <w:iCs w:val="false"/>
          <w:caps w:val="false"/>
          <w:color w:val="222222"/>
          <w:sz w:val="21"/>
          <w:szCs w:val="21"/>
        </w:rPr>
        <w:t xml:space="preserve"> relationship between badges earned and core engagement — more badges should correlate with more of the behaviour the business wants.</w:t>
      </w:r>
    </w:p>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17  </w:t>
      </w:r>
      <w:r>
        <w:rPr>
          <w:rFonts w:ascii="Calibri" w:cs="Calibri" w:eastAsia="Calibri" w:hAnsi="Calibri"/>
          <w:b/>
          <w:bCs/>
          <w:i w:val="false"/>
          <w:iCs w:val="false"/>
          <w:caps w:val="false"/>
          <w:color w:val="1A1A2E"/>
          <w:sz w:val="26"/>
          <w:szCs w:val="26"/>
        </w:rPr>
        <w:t xml:space="preserve">Open Questions</w:t>
      </w:r>
    </w:p>
    <w:p>
      <w:pPr>
        <w:spacing w:after="140" w:before="0" w:line="268"/>
        <w:jc w:val="left"/>
      </w:pPr>
      <w:r>
        <w:rPr>
          <w:rFonts w:ascii="Calibri" w:cs="Calibri" w:eastAsia="Calibri" w:hAnsi="Calibri"/>
          <w:b w:val="false"/>
          <w:bCs w:val="false"/>
          <w:i w:val="false"/>
          <w:iCs w:val="false"/>
          <w:caps w:val="false"/>
          <w:color w:val="222222"/>
          <w:sz w:val="21"/>
          <w:szCs w:val="21"/>
        </w:rPr>
        <w:t xml:space="preserve">The following decisions remain open and should be resolved before or during the phase noted. They are product and commercial questions; implementation questions are tracked with Engineering separately.</w:t>
      </w:r>
    </w:p>
    <w:tbl>
      <w:tblPr>
        <w:tblW w:type="dxa" w:w="9360"/>
        <w:tblBorders>
          <w:top w:val="single" w:color="C9CFDD" w:sz="2"/>
          <w:left w:val="none"/>
          <w:bottom w:val="single" w:color="C9CFDD" w:sz="2"/>
          <w:right w:val="none"/>
          <w:insideH w:val="single" w:color="C9CFDD" w:sz="2"/>
          <w:insideV w:val="none"/>
        </w:tblBorders>
      </w:tblPr>
      <w:tblGrid>
        <w:gridCol w:w="640"/>
        <w:gridCol w:w="6560"/>
        <w:gridCol w:w="2160"/>
      </w:tblGrid>
      <w:tr>
        <w:trPr>
          <w:tblHeader/>
        </w:trPr>
        <w:tc>
          <w:tcPr>
            <w:tcW w:type="dxa" w:w="64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w:t>
            </w:r>
          </w:p>
        </w:tc>
        <w:tc>
          <w:tcPr>
            <w:tcW w:type="dxa" w:w="65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Open question</w:t>
            </w:r>
          </w:p>
        </w:tc>
        <w:tc>
          <w:tcPr>
            <w:tcW w:type="dxa" w:w="216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Resolve by</w:t>
            </w:r>
          </w:p>
        </w:tc>
      </w:tr>
      <w:tr>
        <w:tc>
          <w:tcPr>
            <w:tcW w:type="dxa" w:w="64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Q1</w:t>
            </w:r>
          </w:p>
        </w:tc>
        <w:tc>
          <w:tcPr>
            <w:tcW w:type="dxa" w:w="6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Are vouchers in scope for Phase 1 rewards, or is launch limited to Care Coins and wallet money pending the voucher inventory API?</w:t>
            </w:r>
          </w:p>
        </w:tc>
        <w:tc>
          <w:tcPr>
            <w:tcW w:type="dxa" w:w="2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Beta</w:t>
            </w:r>
          </w:p>
        </w:tc>
      </w:tr>
      <w:tr>
        <w:tc>
          <w:tcPr>
            <w:tcW w:type="dxa" w:w="64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Q2</w:t>
            </w:r>
          </w:p>
        </w:tc>
        <w:tc>
          <w:tcPr>
            <w:tcW w:type="dxa" w:w="6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What is the default per-user monthly reward ceiling, and is it uniform across clients or configurable per client budget?</w:t>
            </w:r>
          </w:p>
        </w:tc>
        <w:tc>
          <w:tcPr>
            <w:tcW w:type="dxa" w:w="2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Beta</w:t>
            </w:r>
          </w:p>
        </w:tc>
      </w:tr>
      <w:tr>
        <w:tc>
          <w:tcPr>
            <w:tcW w:type="dxa" w:w="64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Q3</w:t>
            </w:r>
          </w:p>
        </w:tc>
        <w:tc>
          <w:tcPr>
            <w:tcW w:type="dxa" w:w="6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Should the CUG badge-visibility default be ON or OFF given the range of client workplace-privacy expectations?</w:t>
            </w:r>
          </w:p>
        </w:tc>
        <w:tc>
          <w:tcPr>
            <w:tcW w:type="dxa" w:w="2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Beta</w:t>
            </w:r>
          </w:p>
        </w:tc>
      </w:tr>
      <w:tr>
        <w:tc>
          <w:tcPr>
            <w:tcW w:type="dxa" w:w="64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Q4</w:t>
            </w:r>
          </w:p>
        </w:tc>
        <w:tc>
          <w:tcPr>
            <w:tcW w:type="dxa" w:w="6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What is the Super Admin approval SLA for high-value Client Admin badges, and what is the fallback if it is missed?</w:t>
            </w:r>
          </w:p>
        </w:tc>
        <w:tc>
          <w:tcPr>
            <w:tcW w:type="dxa" w:w="2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GA</w:t>
            </w:r>
          </w:p>
        </w:tc>
      </w:tr>
      <w:tr>
        <w:tc>
          <w:tcPr>
            <w:tcW w:type="dxa" w:w="64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Q5</w:t>
            </w:r>
          </w:p>
        </w:tc>
        <w:tc>
          <w:tcPr>
            <w:tcW w:type="dxa" w:w="65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Which specific badges (if any) qualify for premium or voucher rewards beyond the standard tier defaults?</w:t>
            </w:r>
          </w:p>
        </w:tc>
        <w:tc>
          <w:tcPr>
            <w:tcW w:type="dxa" w:w="216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Beta</w:t>
            </w:r>
          </w:p>
        </w:tc>
      </w:tr>
      <w:tr>
        <w:tc>
          <w:tcPr>
            <w:tcW w:type="dxa" w:w="64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Q6</w:t>
            </w:r>
          </w:p>
        </w:tc>
        <w:tc>
          <w:tcPr>
            <w:tcW w:type="dxa" w:w="65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What is the minimum client-adoption target for admin-created campaign badges that would define GA success?</w:t>
            </w:r>
          </w:p>
        </w:tc>
        <w:tc>
          <w:tcPr>
            <w:tcW w:type="dxa" w:w="216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GA</w:t>
            </w:r>
          </w:p>
        </w:tc>
      </w:tr>
    </w:tbl>
    <w:p>
      <w:pPr>
        <w:pStyle w:val="Heading1"/>
        <w:keepNext/>
        <w:pBdr>
          <w:bottom w:val="single" w:color="C9CFDD" w:sz="6" w:space="6"/>
        </w:pBdr>
        <w:spacing w:after="130" w:before="340"/>
      </w:pPr>
      <w:r>
        <w:rPr>
          <w:rFonts w:ascii="Calibri" w:cs="Calibri" w:eastAsia="Calibri" w:hAnsi="Calibri"/>
          <w:b/>
          <w:bCs/>
          <w:i w:val="false"/>
          <w:iCs w:val="false"/>
          <w:caps w:val="false"/>
          <w:color w:val="3B4B7A"/>
          <w:sz w:val="26"/>
          <w:szCs w:val="26"/>
        </w:rPr>
        <w:t xml:space="preserve">18  </w:t>
      </w:r>
      <w:r>
        <w:rPr>
          <w:rFonts w:ascii="Calibri" w:cs="Calibri" w:eastAsia="Calibri" w:hAnsi="Calibri"/>
          <w:b/>
          <w:bCs/>
          <w:i w:val="false"/>
          <w:iCs w:val="false"/>
          <w:caps w:val="false"/>
          <w:color w:val="1A1A2E"/>
          <w:sz w:val="26"/>
          <w:szCs w:val="26"/>
        </w:rPr>
        <w:t xml:space="preserve">Appendix — Companion Artefacts</w:t>
      </w:r>
    </w:p>
    <w:p>
      <w:pPr>
        <w:spacing w:after="150" w:before="0" w:line="268"/>
        <w:jc w:val="left"/>
      </w:pPr>
      <w:r>
        <w:rPr>
          <w:rFonts w:ascii="Calibri" w:cs="Calibri" w:eastAsia="Calibri" w:hAnsi="Calibri"/>
          <w:b w:val="false"/>
          <w:bCs w:val="false"/>
          <w:i w:val="false"/>
          <w:iCs w:val="false"/>
          <w:caps w:val="false"/>
          <w:color w:val="222222"/>
          <w:sz w:val="21"/>
          <w:szCs w:val="21"/>
        </w:rPr>
        <w:t xml:space="preserve">This PRD is deliberately concise and does not embed implementation detail. The following companion artefacts are the single source of truth for that detail and should be read alongside this document. Where this PRD summarises, these artefacts specify.</w:t>
      </w:r>
    </w:p>
    <w:tbl>
      <w:tblPr>
        <w:tblW w:type="dxa" w:w="9360"/>
        <w:tblBorders>
          <w:top w:val="single" w:color="C9CFDD" w:sz="2"/>
          <w:left w:val="none"/>
          <w:bottom w:val="single" w:color="C9CFDD" w:sz="2"/>
          <w:right w:val="none"/>
          <w:insideH w:val="single" w:color="C9CFDD" w:sz="2"/>
          <w:insideV w:val="none"/>
        </w:tblBorders>
      </w:tblPr>
      <w:tblGrid>
        <w:gridCol w:w="3200"/>
        <w:gridCol w:w="3080"/>
        <w:gridCol w:w="3080"/>
      </w:tblGrid>
      <w:tr>
        <w:trPr>
          <w:tblHeader/>
        </w:trPr>
        <w:tc>
          <w:tcPr>
            <w:tcW w:type="dxa" w:w="320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Artefact</w:t>
            </w:r>
          </w:p>
        </w:tc>
        <w:tc>
          <w:tcPr>
            <w:tcW w:type="dxa" w:w="308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Contains</w:t>
            </w:r>
          </w:p>
        </w:tc>
        <w:tc>
          <w:tcPr>
            <w:tcW w:type="dxa" w:w="3080"/>
            <w:shd w:fill="2B3556" w:color="auto" w:val="clear"/>
            <w:tcMar>
              <w:top w:type="dxa" w:w="60"/>
              <w:left w:type="dxa" w:w="110"/>
              <w:bottom w:type="dxa" w:w="60"/>
              <w:right w:type="dxa" w:w="110"/>
            </w:tcMar>
          </w:tcPr>
          <w:p>
            <w:pPr>
              <w:spacing w:after="0" w:line="240"/>
            </w:pPr>
            <w:r>
              <w:rPr>
                <w:rFonts w:ascii="Calibri" w:cs="Calibri" w:eastAsia="Calibri" w:hAnsi="Calibri"/>
                <w:b/>
                <w:bCs/>
                <w:i w:val="false"/>
                <w:iCs w:val="false"/>
                <w:caps w:val="false"/>
                <w:color w:val="FFFFFF"/>
                <w:sz w:val="19"/>
                <w:szCs w:val="19"/>
              </w:rPr>
              <w:t xml:space="preserve">Referenced in</w:t>
            </w:r>
          </w:p>
        </w:tc>
      </w:tr>
      <w:tr>
        <w:tc>
          <w:tcPr>
            <w:tcW w:type="dxa" w:w="3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Feature Specification &amp; Business Blueprint v1.0</w:t>
            </w:r>
          </w:p>
        </w:tc>
        <w:tc>
          <w:tcPr>
            <w:tcW w:type="dxa" w:w="30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Vision, competitive research, behavioural principles, badge concepts, unlock and edge-case logic, functional requirements FR-01–14, event taxonomy, and system architecture.</w:t>
            </w:r>
          </w:p>
        </w:tc>
        <w:tc>
          <w:tcPr>
            <w:tcW w:type="dxa" w:w="30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§2, §3, §8, §9, §16</w:t>
            </w:r>
          </w:p>
        </w:tc>
      </w:tr>
      <w:tr>
        <w:tc>
          <w:tcPr>
            <w:tcW w:type="dxa" w:w="3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System Workbook — Badge Master</w:t>
            </w:r>
          </w:p>
        </w:tc>
        <w:tc>
          <w:tcPr>
            <w:tcW w:type="dxa" w:w="30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The full Phase 1 catalogue: ~31 families / ~52 instances with criteria, triggers, icons, objectives, and default rewards.</w:t>
            </w:r>
          </w:p>
        </w:tc>
        <w:tc>
          <w:tcPr>
            <w:tcW w:type="dxa" w:w="30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§8, §12</w:t>
            </w:r>
          </w:p>
        </w:tc>
      </w:tr>
      <w:tr>
        <w:tc>
          <w:tcPr>
            <w:tcW w:type="dxa" w:w="3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System Workbook — Unlock Conditions</w:t>
            </w:r>
          </w:p>
        </w:tc>
        <w:tc>
          <w:tcPr>
            <w:tcW w:type="dxa" w:w="30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Instance-level, machine-readable unlock criteria (metric, operator, threshold, window, qualifiers).</w:t>
            </w:r>
          </w:p>
        </w:tc>
        <w:tc>
          <w:tcPr>
            <w:tcW w:type="dxa" w:w="30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§8</w:t>
            </w:r>
          </w:p>
        </w:tc>
      </w:tr>
      <w:tr>
        <w:tc>
          <w:tcPr>
            <w:tcW w:type="dxa" w:w="3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System Workbook — Badge Rewards</w:t>
            </w:r>
          </w:p>
        </w:tc>
        <w:tc>
          <w:tcPr>
            <w:tcW w:type="dxa" w:w="30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Reward defaults by tier, caps, per-user ceiling, and governance rules.</w:t>
            </w:r>
          </w:p>
        </w:tc>
        <w:tc>
          <w:tcPr>
            <w:tcW w:type="dxa" w:w="30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§8, §14</w:t>
            </w:r>
          </w:p>
        </w:tc>
      </w:tr>
      <w:tr>
        <w:tc>
          <w:tcPr>
            <w:tcW w:type="dxa" w:w="3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System Workbook — Admin Configuration</w:t>
            </w:r>
          </w:p>
        </w:tc>
        <w:tc>
          <w:tcPr>
            <w:tcW w:type="dxa" w:w="30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The Super Admin vs Client Admin capability matrix and builder flow.</w:t>
            </w:r>
          </w:p>
        </w:tc>
        <w:tc>
          <w:tcPr>
            <w:tcW w:type="dxa" w:w="30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§6, §8</w:t>
            </w:r>
          </w:p>
        </w:tc>
      </w:tr>
      <w:tr>
        <w:tc>
          <w:tcPr>
            <w:tcW w:type="dxa" w:w="3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System Workbook — Notifications</w:t>
            </w:r>
          </w:p>
        </w:tc>
        <w:tc>
          <w:tcPr>
            <w:tcW w:type="dxa" w:w="30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Notification triggers, channels, timing, caps, and copy.</w:t>
            </w:r>
          </w:p>
        </w:tc>
        <w:tc>
          <w:tcPr>
            <w:tcW w:type="dxa" w:w="30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§9, §14</w:t>
            </w:r>
          </w:p>
        </w:tc>
      </w:tr>
      <w:tr>
        <w:tc>
          <w:tcPr>
            <w:tcW w:type="dxa" w:w="3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System Workbook — Tiers &amp; Progression</w:t>
            </w:r>
          </w:p>
        </w:tc>
        <w:tc>
          <w:tcPr>
            <w:tcW w:type="dxa" w:w="30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Tier model, visual identity, and attainability design.</w:t>
            </w:r>
          </w:p>
        </w:tc>
        <w:tc>
          <w:tcPr>
            <w:tcW w:type="dxa" w:w="30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§8</w:t>
            </w:r>
          </w:p>
        </w:tc>
      </w:tr>
      <w:tr>
        <w:tc>
          <w:tcPr>
            <w:tcW w:type="dxa" w:w="3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System Workbook — Analytics &amp; KPI</w:t>
            </w:r>
          </w:p>
        </w:tc>
        <w:tc>
          <w:tcPr>
            <w:tcW w:type="dxa" w:w="30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Metrics, sources, cadences, targets, and owners.</w:t>
            </w:r>
          </w:p>
        </w:tc>
        <w:tc>
          <w:tcPr>
            <w:tcW w:type="dxa" w:w="30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§5, §16</w:t>
            </w:r>
          </w:p>
        </w:tc>
      </w:tr>
      <w:tr>
        <w:tc>
          <w:tcPr>
            <w:tcW w:type="dxa" w:w="320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System Workbook — Future Badge Ideas</w:t>
            </w:r>
          </w:p>
        </w:tc>
        <w:tc>
          <w:tcPr>
            <w:tcW w:type="dxa" w:w="30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Backlog including the SPL pack and later-phase concepts.</w:t>
            </w:r>
          </w:p>
        </w:tc>
        <w:tc>
          <w:tcPr>
            <w:tcW w:type="dxa" w:w="3080"/>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§12</w:t>
            </w:r>
          </w:p>
        </w:tc>
      </w:tr>
      <w:tr>
        <w:tc>
          <w:tcPr>
            <w:tcW w:type="dxa" w:w="320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System Workbook — Technical Dependencies</w:t>
            </w:r>
          </w:p>
        </w:tc>
        <w:tc>
          <w:tcPr>
            <w:tcW w:type="dxa" w:w="30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Cross-team dependencies and phase gates.</w:t>
            </w:r>
          </w:p>
        </w:tc>
        <w:tc>
          <w:tcPr>
            <w:tcW w:type="dxa" w:w="3080"/>
            <w:shd w:fill="F2F4F9" w:color="auto" w:val="clear"/>
            <w:tcMar>
              <w:top w:type="dxa" w:w="54"/>
              <w:left w:type="dxa" w:w="110"/>
              <w:bottom w:type="dxa" w:w="54"/>
              <w:right w:type="dxa" w:w="110"/>
            </w:tcMar>
          </w:tcPr>
          <w:p>
            <w:pPr>
              <w:spacing w:after="0" w:line="244"/>
              <w:jc w:val="left"/>
            </w:pPr>
            <w:r>
              <w:rPr>
                <w:rFonts w:ascii="Calibri" w:cs="Calibri" w:eastAsia="Calibri" w:hAnsi="Calibri"/>
                <w:b w:val="false"/>
                <w:bCs w:val="false"/>
                <w:i w:val="false"/>
                <w:iCs w:val="false"/>
                <w:caps w:val="false"/>
                <w:color w:val="222222"/>
                <w:sz w:val="19"/>
                <w:szCs w:val="19"/>
              </w:rPr>
              <w:t xml:space="preserve">§13, §15</w:t>
            </w:r>
          </w:p>
        </w:tc>
      </w:tr>
    </w:tbl>
    <w:p>
      <w:pPr>
        <w:spacing w:after="30"/>
      </w:pPr>
      <w:r>
        <w:rPr>
          <w:rFonts w:ascii="Calibri" w:cs="Calibri" w:eastAsia="Calibri" w:hAnsi="Calibri"/>
          <w:b w:val="false"/>
          <w:bCs w:val="false"/>
          <w:i w:val="false"/>
          <w:iCs w:val="false"/>
          <w:caps w:val="false"/>
          <w:color w:val="222222"/>
          <w:sz w:val="21"/>
          <w:szCs w:val="21"/>
        </w:rPr>
        <w:t xml:space="preserve"/>
      </w:r>
    </w:p>
    <w:p>
      <w:pPr>
        <w:pBdr>
          <w:top w:val="single" w:color="C9CFDD" w:sz="6" w:space="8"/>
        </w:pBdr>
        <w:spacing w:after="0" w:before="120"/>
      </w:pPr>
      <w:r>
        <w:rPr>
          <w:rFonts w:ascii="Calibri" w:cs="Calibri" w:eastAsia="Calibri" w:hAnsi="Calibri"/>
          <w:b w:val="false"/>
          <w:bCs w:val="false"/>
          <w:i/>
          <w:iCs/>
          <w:caps w:val="false"/>
          <w:color w:val="5B6472"/>
          <w:sz w:val="18"/>
          <w:szCs w:val="18"/>
        </w:rPr>
        <w:t xml:space="preserve">End of document · Badges &amp; Achievements PRD v1.0 · Habit Health · Confidential — Internal</w:t>
      </w:r>
    </w:p>
    <w:sectPr>
      <w:headerReference w:type="default" r:id="rId7"/>
      <w:footerReference w:type="default" r:id="rId8"/>
      <w:pgSz w:w="12240" w:h="15840" w:orient="portrait"/>
      <w:pgMar w:top="1180" w:right="1300" w:bottom="11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FDD" w:sz="4" w:space="4"/>
      </w:pBdr>
      <w:tabs>
        <w:tab w:val="center" w:pos="4680"/>
        <w:tab w:val="right" w:pos="9360"/>
      </w:tabs>
      <w:spacing w:before="40"/>
    </w:pPr>
    <w:r>
      <w:rPr>
        <w:rFonts w:ascii="Calibri" w:cs="Calibri" w:eastAsia="Calibri" w:hAnsi="Calibri"/>
        <w:b w:val="false"/>
        <w:bCs w:val="false"/>
        <w:i w:val="false"/>
        <w:iCs w:val="false"/>
        <w:caps w:val="false"/>
        <w:color w:val="6B7B9E"/>
        <w:sz w:val="16"/>
        <w:szCs w:val="16"/>
      </w:rPr>
      <w:t xml:space="preserve">Version 1.0 · Draft for Review</w:t>
    </w:r>
    <w:r>
      <w:rPr>
        <w:rFonts w:ascii="Calibri" w:cs="Calibri" w:eastAsia="Calibri" w:hAnsi="Calibri"/>
        <w:color w:val="6B7B9E"/>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rFonts w:ascii="Calibri" w:cs="Calibri" w:eastAsia="Calibri" w:hAnsi="Calibri"/>
        <w:color w:val="6B7B9E"/>
        <w:sz w:val="16"/>
        <w:szCs w:val="16"/>
      </w:rPr>
      <w:t xml:space="preserve">	July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D" w:sz="4" w:space="4"/>
      </w:pBdr>
      <w:tabs>
        <w:tab w:val="right" w:pos="9360"/>
      </w:tabs>
      <w:spacing w:after="60"/>
    </w:pPr>
    <w:r>
      <w:rPr>
        <w:rFonts w:ascii="Calibri" w:cs="Calibri" w:eastAsia="Calibri" w:hAnsi="Calibri"/>
        <w:b w:val="false"/>
        <w:bCs w:val="false"/>
        <w:i w:val="false"/>
        <w:iCs w:val="false"/>
        <w:caps w:val="false"/>
        <w:color w:val="6B7B9E"/>
        <w:sz w:val="16"/>
        <w:szCs w:val="16"/>
      </w:rPr>
      <w:t xml:space="preserve">Badges &amp; Achievements — PRD</w:t>
    </w:r>
    <w:r>
      <w:rPr>
        <w:rFonts w:ascii="Calibri" w:cs="Calibri" w:eastAsia="Calibri" w:hAnsi="Calibri"/>
        <w:color w:val="6B7B9E"/>
        <w:sz w:val="16"/>
        <w:szCs w:val="16"/>
      </w:rPr>
      <w:t xml:space="preserve">	Habit Health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3B4B7A"/>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1A2E"/>
      <w:sz w:val="26"/>
      <w:szCs w:val="26"/>
    </w:rPr>
  </w:style>
  <w:style w:type="paragraph" w:styleId="Heading2">
    <w:name w:val="Heading 2"/>
    <w:basedOn w:val="Normal"/>
    <w:next w:val="Normal"/>
    <w:qFormat/>
    <w:rPr>
      <w:rFonts w:ascii="Calibri" w:cs="Calibri" w:eastAsia="Calibri" w:hAnsi="Calibri"/>
      <w:b/>
      <w:bCs/>
      <w:color w:val="3B4B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Badges &amp; Achievements — Product Requirements Document</dc:title>
  <dc:creator>Habit Health Product Management</dc:creator>
  <dc:description>PRD v1.0</dc:description>
  <cp:lastModifiedBy>Un-named</cp:lastModifiedBy>
  <cp:revision>1</cp:revision>
  <dcterms:created xsi:type="dcterms:W3CDTF">2026-07-06T07:55:17.193Z</dcterms:created>
  <dcterms:modified xsi:type="dcterms:W3CDTF">2026-07-06T07:55:17.207Z</dcterms:modified>
</cp:coreProperties>
</file>

<file path=docProps/custom.xml><?xml version="1.0" encoding="utf-8"?>
<Properties xmlns="http://schemas.openxmlformats.org/officeDocument/2006/custom-properties" xmlns:vt="http://schemas.openxmlformats.org/officeDocument/2006/docPropsVTypes"/>
</file>