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4C" w:rsidRPr="00E551C4" w:rsidRDefault="00311C4C" w:rsidP="003A17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="009F4A27"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xperiment N</w:t>
      </w:r>
      <w:r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o. </w:t>
      </w:r>
      <w:r w:rsidR="003A1710"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A3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</w:p>
    <w:p w:rsidR="00311C4C" w:rsidRPr="004520D3" w:rsidRDefault="00311C4C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8E5D6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Aim</w:t>
      </w:r>
      <w:r w:rsidR="00E34ACD" w:rsidRPr="004520D3">
        <w:rPr>
          <w:rFonts w:ascii="Times New Roman" w:hAnsi="Times New Roman" w:cs="Times New Roman"/>
          <w:b/>
          <w:bCs/>
          <w:color w:val="000000" w:themeColor="text1"/>
        </w:rPr>
        <w:t>: To</w:t>
      </w:r>
      <w:r w:rsidR="00B918B7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A30E0">
        <w:rPr>
          <w:rFonts w:ascii="Times New Roman" w:hAnsi="Times New Roman" w:cs="Times New Roman"/>
          <w:b/>
          <w:bCs/>
          <w:color w:val="000000" w:themeColor="text1"/>
        </w:rPr>
        <w:t>determine the charge distribution on a conducting thin wire by Moment Method</w:t>
      </w:r>
      <w:r w:rsidR="009F4A2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using </w:t>
      </w:r>
      <w:proofErr w:type="spellStart"/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>Matlab</w:t>
      </w:r>
      <w:proofErr w:type="spellEnd"/>
      <w:r w:rsidR="00AA30E0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0D25A7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Software required</w:t>
      </w:r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>Matlab</w:t>
      </w:r>
      <w:proofErr w:type="spellEnd"/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 7.0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520D3">
        <w:rPr>
          <w:rFonts w:ascii="Times New Roman" w:hAnsi="Times New Roman" w:cs="Times New Roman"/>
          <w:b/>
          <w:bCs/>
          <w:color w:val="000000" w:themeColor="text1"/>
        </w:rPr>
        <w:t>Theory:</w:t>
      </w:r>
    </w:p>
    <w:p w:rsidR="007D44E2" w:rsidRDefault="002225BE" w:rsidP="002E2520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determine the linear charge density on a finite straight segment of thin charged conducting wi</w:t>
      </w:r>
      <w:r w:rsidR="003E4A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 of length L=1 m and radius r,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assume that the charge density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piecewise constant over the len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gth and the electric potential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one volt. If the radius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very small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compared to the 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ngth r&lt;&lt;L, the equation of the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 potential is writ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integral form. To ease the pro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blem, we subdivide the wire in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 segments, each of length. We choose N points 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observation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3E4A8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surface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the charge density </w:t>
      </w:r>
      <w:r w:rsidR="003E4A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piecewise constant onto each segme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nt. The integral equation will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transformed to linear equation in N equation wit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 N unknown system. We use the </w:t>
      </w:r>
      <w:r w:rsidR="002E2520" w:rsidRPr="002E2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 of moments for solving this system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D6048" w:rsidRDefault="00FD6048" w:rsidP="00FD6048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D60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potenti</w:t>
      </w:r>
      <w:r w:rsidR="00631A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 at all points is written as </w:t>
      </w:r>
    </w:p>
    <w:p w:rsidR="00631AC1" w:rsidRDefault="00631AC1" w:rsidP="00631AC1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952500" cy="5429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D52" w:rsidRPr="007D44E2" w:rsidRDefault="00CB4D52" w:rsidP="00D921B1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4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practice, it does not stretch to the source, a more useful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 of Coulomb's law for the </w:t>
      </w:r>
      <w:r w:rsidRPr="00CB4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charges can be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offset at an arbitrary point r'</w:t>
      </w:r>
      <w:r w:rsidRPr="00CB4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In this case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distance between the source </w:t>
      </w:r>
      <w:r w:rsidRPr="00CB4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the observation point can be wr</w:t>
      </w:r>
      <w:r w:rsidR="00E256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itten as r=|r-</w:t>
      </w:r>
      <w:r w:rsidR="00E2561F" w:rsidRPr="00E256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56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r'|.</w:t>
      </w:r>
      <w:r w:rsidRPr="00CB4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Thus, a more generic form of Coulomb's law may be written as</w:t>
      </w:r>
    </w:p>
    <w:p w:rsidR="007D44E2" w:rsidRDefault="00EA4D4F" w:rsidP="00EA4D4F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1323975" cy="5810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BA" w:rsidRDefault="007E2399" w:rsidP="007E2399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Consider a thin conducting wire of radius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r, length 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oriented along the x axis, as </w:t>
      </w:r>
      <w:r w:rsidR="00DE4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shown in F</w:t>
      </w:r>
      <w:r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igure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4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Let the wire be maintained at a potential of V</w:t>
      </w:r>
      <w:r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.Our goal is to determine the charge density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ρ</w:t>
      </w:r>
      <w:r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along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wire using the moment of method.</w:t>
      </w:r>
    </w:p>
    <w:p w:rsidR="00343126" w:rsidRDefault="00DE4EBA" w:rsidP="00D017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5029200" cy="13239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399" w:rsidRPr="007E23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cr/>
      </w:r>
    </w:p>
    <w:p w:rsidR="00D6760C" w:rsidRDefault="00D6760C" w:rsidP="00D0176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1"/>
          <w:szCs w:val="21"/>
        </w:rPr>
      </w:pPr>
      <w:r w:rsidRPr="00A810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the radius of the wire is very small compared to the length (a</w:t>
      </w:r>
      <w:r w:rsidR="00D01760" w:rsidRPr="00A810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&lt;&lt;</w:t>
      </w:r>
      <w:r w:rsidRPr="00A810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L), the electric</w:t>
      </w:r>
      <w:r w:rsidR="00D01760" w:rsidRPr="00A810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10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potential on the wire can be expressed </w:t>
      </w:r>
      <w:r w:rsidR="002B23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the following equations</w:t>
      </w:r>
      <w:r>
        <w:rPr>
          <w:rFonts w:ascii="TimesNewRomanPSMT" w:hAnsi="TimesNewRomanPSMT" w:cs="TimesNewRomanPSMT"/>
          <w:sz w:val="21"/>
          <w:szCs w:val="21"/>
        </w:rPr>
        <w:t xml:space="preserve"> </w:t>
      </w:r>
    </w:p>
    <w:p w:rsidR="00A810D3" w:rsidRDefault="00A810D3" w:rsidP="00A810D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  <w:lang w:val="en-US" w:eastAsia="en-US"/>
        </w:rPr>
        <w:drawing>
          <wp:inline distT="0" distB="0" distL="0" distR="0">
            <wp:extent cx="1714500" cy="55245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5A" w:rsidRDefault="00921E5A" w:rsidP="00A810D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  <w:lang w:val="en-US" w:eastAsia="en-US"/>
        </w:rPr>
        <w:lastRenderedPageBreak/>
        <w:drawing>
          <wp:inline distT="0" distB="0" distL="0" distR="0">
            <wp:extent cx="1438275" cy="504825"/>
            <wp:effectExtent l="19050" t="0" r="9525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10" w:rsidRPr="00543DAF" w:rsidRDefault="006C5310" w:rsidP="00543D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the functions K(</w:t>
      </w:r>
      <w:proofErr w:type="spellStart"/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proofErr w:type="gramStart"/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,t</w:t>
      </w:r>
      <w:proofErr w:type="spellEnd"/>
      <w:proofErr w:type="gramEnd"/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g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(t), the limits a and b are known. The unknown function </w:t>
      </w:r>
      <w:r w:rsidR="006C0EAE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φ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6C0EAE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is to b</w:t>
      </w:r>
      <w:r w:rsidR="003B4421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determined; the function K(</w:t>
      </w:r>
      <w:proofErr w:type="spellStart"/>
      <w:r w:rsidR="003B4421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proofErr w:type="gramStart"/>
      <w:r w:rsidR="003B4421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,t</w:t>
      </w:r>
      <w:proofErr w:type="spellEnd"/>
      <w:proofErr w:type="gramEnd"/>
      <w:r w:rsidR="003B4421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called the kernel of the equation. The moment method is a common numerical technique used in solving </w:t>
      </w:r>
      <w:r w:rsidR="003B4421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such integral equations.</w:t>
      </w:r>
    </w:p>
    <w:p w:rsidR="002E683F" w:rsidRPr="00543DAF" w:rsidRDefault="002E683F" w:rsidP="00543D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 transform previous</w:t>
      </w:r>
      <w:r w:rsid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equation 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into a system of linear equation and applied the moment method, we subdivide the wire into N sub segments each of length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∆x=</m:t>
        </m:r>
        <m:f>
          <m:f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shown in </w:t>
      </w:r>
      <w:r w:rsidR="0032412E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figure 2. In each sub 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segment, we assume that the charge density has a constant value so </w:t>
      </w:r>
      <w:r w:rsidR="0032412E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q(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="0032412E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piecewise constant over the length of the wire</w:t>
      </w:r>
      <w:r w:rsidR="00E62324" w:rsidRPr="00543D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62324" w:rsidRDefault="00E62324" w:rsidP="00E6232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  <w:lang w:val="en-US" w:eastAsia="en-US"/>
        </w:rPr>
        <w:drawing>
          <wp:inline distT="0" distB="0" distL="0" distR="0">
            <wp:extent cx="4333875" cy="1123950"/>
            <wp:effectExtent l="19050" t="0" r="9525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24" w:rsidRDefault="00E62324" w:rsidP="00E6232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>Figure 2: Division of the wire into N segments</w:t>
      </w:r>
    </w:p>
    <w:p w:rsidR="001E221A" w:rsidRPr="006C5310" w:rsidRDefault="001E221A" w:rsidP="00E6232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1E221A" w:rsidRPr="001E221A" w:rsidRDefault="00635DF6" w:rsidP="001E22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then define an estimation function </w:t>
      </w:r>
      <w:proofErr w:type="spellStart"/>
      <w:r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λ</w:t>
      </w:r>
      <w:r w:rsidRPr="00D93C7C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e</w:t>
      </w:r>
      <w:proofErr w:type="spellEnd"/>
      <w:r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(x) that approximates of the unknown function λ(x) by expressing it as a linear combination of discrete basis functions. Letting </w:t>
      </w:r>
      <w:proofErr w:type="spellStart"/>
      <w:r w:rsidR="00821AC1"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α</w:t>
      </w:r>
      <w:r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proofErr w:type="spellEnd"/>
      <w:r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denote the basic functions and </w:t>
      </w:r>
      <w:proofErr w:type="gramStart"/>
      <w:r w:rsidR="00821AC1"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="00821AC1" w:rsidRPr="001C13F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="00821AC1"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821AC1"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x’)</w:t>
      </w:r>
      <w:r w:rsidRPr="001E22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denote the weighting coefficients, this is written as </w:t>
      </w:r>
    </w:p>
    <w:p w:rsidR="006C5310" w:rsidRDefault="001E221A" w:rsidP="001E221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  <w:lang w:val="en-US" w:eastAsia="en-US"/>
        </w:rPr>
        <w:drawing>
          <wp:inline distT="0" distB="0" distL="0" distR="0">
            <wp:extent cx="1276350" cy="438150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5DF6" w:rsidRPr="00635DF6">
        <w:rPr>
          <w:rFonts w:ascii="TimesNewRomanPSMT" w:hAnsi="TimesNewRomanPSMT" w:cs="TimesNewRomanPSMT"/>
          <w:sz w:val="21"/>
          <w:szCs w:val="21"/>
        </w:rPr>
        <w:cr/>
      </w:r>
    </w:p>
    <w:p w:rsidR="00144130" w:rsidRPr="006F268D" w:rsidRDefault="00144130" w:rsidP="006F26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α</w:t>
      </w:r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proofErr w:type="spellEnd"/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unknown weighting coefficients, and </w:t>
      </w:r>
      <w:proofErr w:type="gramStart"/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x’) is a set of pulse functions that are constant on one segment but zero on all other segments</w:t>
      </w:r>
    </w:p>
    <w:p w:rsidR="00C213B5" w:rsidRDefault="00C213B5" w:rsidP="00C213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  <w:lang w:val="en-US" w:eastAsia="en-US"/>
        </w:rPr>
        <w:drawing>
          <wp:inline distT="0" distB="0" distL="0" distR="0">
            <wp:extent cx="2219325" cy="800100"/>
            <wp:effectExtent l="19050" t="0" r="9525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D" w:rsidRDefault="006F268D" w:rsidP="00C213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noProof/>
          <w:sz w:val="21"/>
          <w:szCs w:val="21"/>
          <w:lang w:val="en-US" w:eastAsia="en-US"/>
        </w:rPr>
        <w:drawing>
          <wp:inline distT="0" distB="0" distL="0" distR="0">
            <wp:extent cx="2076450" cy="60007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8D" w:rsidRDefault="006F268D" w:rsidP="00451F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1F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 above definition of the pulse function, we can rewrite this as</w:t>
      </w:r>
    </w:p>
    <w:p w:rsidR="000E2173" w:rsidRDefault="000E2173" w:rsidP="000E21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1809750" cy="609600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CC" w:rsidRDefault="00A135CC" w:rsidP="00DA06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3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obtain a sum of integrals, each over the domain of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single pulse function. Fix the </w:t>
      </w:r>
      <w:r w:rsidRPr="00A13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 points into the wire axis and the observation poin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into the wire surface for no </w:t>
      </w:r>
      <w:r w:rsidRPr="00A13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singularity in the integrand. The denominator of the integrand</w:t>
      </w:r>
      <w:r w:rsidR="004F02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now becomes </w:t>
      </w:r>
    </w:p>
    <w:p w:rsidR="004F0218" w:rsidRDefault="004F0218" w:rsidP="004F02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1476375" cy="419100"/>
            <wp:effectExtent l="19050" t="0" r="9525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1D" w:rsidRDefault="00DA061D" w:rsidP="00DA06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Thus, the previous equation can be written as</w:t>
      </w:r>
    </w:p>
    <w:p w:rsidR="00DA061D" w:rsidRDefault="00DA061D" w:rsidP="00DA06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>
            <wp:extent cx="3143250" cy="1143000"/>
            <wp:effectExtent l="1905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A9" w:rsidRDefault="000A5EA9" w:rsidP="000A5E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above expression represents a system of N linear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equations with N unknowns. We </w:t>
      </w:r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solve this equation by common matrix algebra routines if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can obtain N equations in N </w:t>
      </w:r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unknowns. To solve it we choose N independent observation </w:t>
      </w:r>
      <w:proofErr w:type="gramStart"/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points</w:t>
      </w:r>
      <w:proofErr w:type="gramEnd"/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x</w:t>
      </w:r>
      <w:proofErr w:type="spellEnd"/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surface of the wire, each at the </w:t>
      </w:r>
      <w:proofErr w:type="spellStart"/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wire segment. This will result in one equation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above </w:t>
      </w:r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5E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corresponding to each observation points. For each N point we can reduce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above equation to</w:t>
      </w:r>
    </w:p>
    <w:p w:rsidR="000A5EA9" w:rsidRDefault="000A5EA9" w:rsidP="000A5E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3533775" cy="1162050"/>
            <wp:effectExtent l="19050" t="0" r="9525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4ED" w:rsidRDefault="00512BE1" w:rsidP="00512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write above equation</w:t>
      </w:r>
      <w:r w:rsidRPr="00512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 system of N x N linear </w:t>
      </w:r>
      <w:proofErr w:type="spellStart"/>
      <w:r w:rsidRPr="00512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equa</w:t>
      </w:r>
      <w:proofErr w:type="spellEnd"/>
    </w:p>
    <w:p w:rsidR="00512BE1" w:rsidRDefault="003064ED" w:rsidP="00512B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proofErr w:type="spellStart"/>
      <w:r w:rsidR="00512BE1" w:rsidRPr="00512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tions</w:t>
      </w:r>
      <w:proofErr w:type="spellEnd"/>
      <w:proofErr w:type="gramEnd"/>
      <w:r w:rsidR="00512BE1" w:rsidRPr="00512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more concisely using matrix notation as</w:t>
      </w:r>
    </w:p>
    <w:p w:rsidR="0097626D" w:rsidRDefault="0097626D" w:rsidP="00976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1162050" cy="342900"/>
            <wp:effectExtent l="19050" t="0" r="0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23" w:rsidRDefault="00294A23" w:rsidP="00294A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94A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each </w:t>
      </w:r>
      <w:proofErr w:type="spellStart"/>
      <w:r w:rsidRPr="00294A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</w:t>
      </w:r>
      <w:r w:rsidRPr="00294A2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mn</w:t>
      </w:r>
      <w:proofErr w:type="spellEnd"/>
      <w:r w:rsidRPr="00294A2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294A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 is equal to</w:t>
      </w:r>
    </w:p>
    <w:p w:rsidR="00BF56CD" w:rsidRDefault="00BF56CD" w:rsidP="00BF5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3381375" cy="1066800"/>
            <wp:effectExtent l="19050" t="0" r="9525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C5B" w:rsidRDefault="003064ED" w:rsidP="00EF4C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m</w:t>
      </w:r>
      <w:proofErr w:type="spellEnd"/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column matrix has all terms equal to 4π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ε</w:t>
      </w:r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EF4C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gramStart"/>
      <w:r w:rsidR="00EF4C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E5162D"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α</w:t>
      </w:r>
      <w:r w:rsidR="00E5162D"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proofErr w:type="spellEnd"/>
      <w:proofErr w:type="gramEnd"/>
      <w:r w:rsidR="00E5162D"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values are the unknown charge distribution coefficients. Solving for </w:t>
      </w:r>
      <w:proofErr w:type="spellStart"/>
      <w:r w:rsidR="00E5162D"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α</w:t>
      </w:r>
      <w:r w:rsidR="00E5162D" w:rsidRPr="006F268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proofErr w:type="spellEnd"/>
      <w:r w:rsidR="00E5162D"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gives</w:t>
      </w:r>
    </w:p>
    <w:p w:rsidR="003064ED" w:rsidRDefault="00EF4C5B" w:rsidP="00EF4C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1228725" cy="400050"/>
            <wp:effectExtent l="19050" t="0" r="9525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00" w:rsidRDefault="009C5300" w:rsidP="009C5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Thus, the equation</w:t>
      </w:r>
    </w:p>
    <w:p w:rsidR="009C5300" w:rsidRDefault="009C5300" w:rsidP="009C53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530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1162050" cy="342900"/>
            <wp:effectExtent l="19050" t="0" r="0" b="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61D" w:rsidRDefault="009C5300" w:rsidP="009C5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matrix form becomes </w:t>
      </w:r>
    </w:p>
    <w:p w:rsidR="009C5300" w:rsidRDefault="009C5300" w:rsidP="009C53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2400300" cy="1028700"/>
            <wp:effectExtent l="1905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E1" w:rsidRDefault="000716E1" w:rsidP="00071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071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the right side </w:t>
      </w:r>
      <w:proofErr w:type="spellStart"/>
      <w:proofErr w:type="gramStart"/>
      <w:r w:rsidRPr="00071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0716E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m</w:t>
      </w:r>
      <w:proofErr w:type="spellEnd"/>
      <w:proofErr w:type="gramEnd"/>
      <w:r w:rsidRPr="00071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vector elements are equal to </w:t>
      </w:r>
      <w:r w:rsidRPr="003064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εV</w:t>
      </w:r>
      <w:r w:rsidRPr="000716E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7C5F32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.</w:t>
      </w:r>
    </w:p>
    <w:p w:rsidR="007C5F32" w:rsidRDefault="007C5F32" w:rsidP="00071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 w:rsidRPr="007C5F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final form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this equation </w:t>
      </w:r>
      <w:r w:rsidRPr="007C5F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</w:p>
    <w:p w:rsidR="006A11C6" w:rsidRDefault="006A11C6" w:rsidP="006A1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0" distB="0" distL="0" distR="0">
            <wp:extent cx="4667250" cy="2152650"/>
            <wp:effectExtent l="19050" t="0" r="0" b="0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54" w:rsidRDefault="00DA0154" w:rsidP="00DA0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Only the first row of 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matrix needs to be computed. </w:t>
      </w:r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Since the wire is conducting, a surface charge density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σ</w:t>
      </w:r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</w:t>
      </w:r>
      <w:proofErr w:type="spellEnd"/>
      <w:proofErr w:type="gramEnd"/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expected over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</w:t>
      </w:r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ire surface. Hence at the </w:t>
      </w:r>
      <w:proofErr w:type="spellStart"/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each segment </w:t>
      </w:r>
      <w:r w:rsidRPr="00DA01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cr/>
      </w:r>
    </w:p>
    <w:p w:rsidR="00566B8C" w:rsidRDefault="006A4EFC" w:rsidP="00566B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3981450" cy="1495425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8C" w:rsidRDefault="00566B8C" w:rsidP="00566B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Assuming Δ&lt;&lt;a</w:t>
      </w:r>
    </w:p>
    <w:p w:rsidR="00566B8C" w:rsidRDefault="00566B8C" w:rsidP="00566B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2886075" cy="619125"/>
            <wp:effectExtent l="19050" t="0" r="9525" b="0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D2C" w:rsidRDefault="000D1BAF" w:rsidP="000D1B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1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σ</w:t>
      </w:r>
      <w:r w:rsidRPr="000D1BA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2Πaσ</w:t>
      </w:r>
      <w:r w:rsidRPr="000D1BA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0D1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hus, the self terms m=n are </w:t>
      </w:r>
    </w:p>
    <w:p w:rsidR="000D1BAF" w:rsidRDefault="005D3D2C" w:rsidP="005D3D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1076325" cy="438150"/>
            <wp:effectExtent l="19050" t="0" r="9525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BAF" w:rsidRPr="000D1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cr/>
      </w:r>
    </w:p>
    <w:p w:rsidR="00244610" w:rsidRDefault="00244610" w:rsidP="002446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Thus, the final form of the equation now becomes</w:t>
      </w:r>
    </w:p>
    <w:p w:rsidR="009437C3" w:rsidRPr="00451FEE" w:rsidRDefault="009437C3" w:rsidP="009437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3429000" cy="1704975"/>
            <wp:effectExtent l="19050" t="0" r="0" b="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B1" w:rsidRPr="007D44E2" w:rsidRDefault="00D921B1" w:rsidP="00D921B1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D44E2" w:rsidRPr="007D44E2" w:rsidRDefault="007D44E2" w:rsidP="007D44E2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6004" w:rsidRDefault="000E600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6004" w:rsidRDefault="000E600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6004" w:rsidRDefault="000E600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B580B" w:rsidRPr="004520D3" w:rsidRDefault="007B7E7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Result: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F4E16" w:rsidRDefault="000F4E16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55E38" w:rsidRDefault="00655E38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91341" w:rsidRDefault="0019134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91341" w:rsidRPr="004520D3" w:rsidRDefault="0019134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7B7E7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Conclusion:</w:t>
      </w:r>
    </w:p>
    <w:p w:rsidR="00E914E0" w:rsidRDefault="00E914E0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C442C" w:rsidRDefault="001C442C" w:rsidP="004520D3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1C442C" w:rsidSect="00BD0376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E11" w:rsidRDefault="00B12E11">
      <w:pPr>
        <w:spacing w:after="0" w:line="240" w:lineRule="auto"/>
      </w:pPr>
      <w:r>
        <w:separator/>
      </w:r>
    </w:p>
  </w:endnote>
  <w:endnote w:type="continuationSeparator" w:id="0">
    <w:p w:rsidR="00B12E11" w:rsidRDefault="00B1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E11" w:rsidRDefault="00B12E11">
      <w:pPr>
        <w:spacing w:after="0" w:line="240" w:lineRule="auto"/>
      </w:pPr>
      <w:r>
        <w:separator/>
      </w:r>
    </w:p>
  </w:footnote>
  <w:footnote w:type="continuationSeparator" w:id="0">
    <w:p w:rsidR="00B12E11" w:rsidRDefault="00B1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1BC" w:rsidRPr="00F161BC" w:rsidRDefault="000F4E16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161BC">
      <w:rPr>
        <w:rFonts w:ascii="Times New Roman" w:hAnsi="Times New Roman" w:cs="Times New Roman"/>
        <w:sz w:val="24"/>
        <w:szCs w:val="24"/>
      </w:rPr>
      <w:t xml:space="preserve">SVKM’s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Dwarkadas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J.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Sanghvi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College of Engineering</w:t>
    </w:r>
  </w:p>
  <w:p w:rsidR="00F161BC" w:rsidRPr="00F161BC" w:rsidRDefault="00B12E11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F161BC" w:rsidRPr="00F161BC" w:rsidRDefault="00210085" w:rsidP="00F161BC">
    <w:pPr>
      <w:pStyle w:val="Header"/>
      <w:jc w:val="center"/>
      <w:rPr>
        <w:b/>
        <w:bCs/>
      </w:rPr>
    </w:pPr>
    <w:r w:rsidRPr="00210085">
      <w:rPr>
        <w:rFonts w:ascii="Times New Roman" w:hAnsi="Times New Roman" w:cs="Times New Roman"/>
        <w:b/>
        <w:bCs/>
        <w:noProof/>
        <w:sz w:val="24"/>
        <w:szCs w:val="24"/>
      </w:rPr>
      <w:pict>
        <v:line id="Line 1" o:spid="_x0000_s4097" style="position:absolute;left:0;text-align:left;z-index:251658240;visibility:visible;mso-wrap-distance-top:-3e-5mm;mso-wrap-distance-bottom:-3e-5mm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</w:pict>
    </w:r>
    <w:r w:rsidR="000F4E16" w:rsidRPr="00F161BC">
      <w:rPr>
        <w:rFonts w:ascii="Times New Roman" w:hAnsi="Times New Roman" w:cs="Times New Roman"/>
        <w:b/>
        <w:bCs/>
        <w:sz w:val="24"/>
        <w:szCs w:val="24"/>
      </w:rPr>
      <w:t xml:space="preserve">Department of Electronics and Telecommunication Engineering </w:t>
    </w:r>
  </w:p>
  <w:p w:rsidR="00F161BC" w:rsidRDefault="00B12E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FA8"/>
    <w:multiLevelType w:val="hybridMultilevel"/>
    <w:tmpl w:val="7F02FEA4"/>
    <w:lvl w:ilvl="0" w:tplc="019CFE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97511"/>
    <w:multiLevelType w:val="hybridMultilevel"/>
    <w:tmpl w:val="BC604D62"/>
    <w:lvl w:ilvl="0" w:tplc="29E6C04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11D5E"/>
    <w:multiLevelType w:val="hybridMultilevel"/>
    <w:tmpl w:val="B4E2D8F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E7402B8"/>
    <w:multiLevelType w:val="hybridMultilevel"/>
    <w:tmpl w:val="EC92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85698"/>
    <w:multiLevelType w:val="hybridMultilevel"/>
    <w:tmpl w:val="DD78CD36"/>
    <w:lvl w:ilvl="0" w:tplc="0B2AB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AE1019"/>
    <w:multiLevelType w:val="hybridMultilevel"/>
    <w:tmpl w:val="B44C7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A5CFB"/>
    <w:multiLevelType w:val="hybridMultilevel"/>
    <w:tmpl w:val="565694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91095"/>
    <w:multiLevelType w:val="hybridMultilevel"/>
    <w:tmpl w:val="2B3E54E8"/>
    <w:lvl w:ilvl="0" w:tplc="00704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9C7397"/>
    <w:multiLevelType w:val="hybridMultilevel"/>
    <w:tmpl w:val="12C8E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86526"/>
    <w:multiLevelType w:val="hybridMultilevel"/>
    <w:tmpl w:val="A6E41018"/>
    <w:lvl w:ilvl="0" w:tplc="10722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3B3847"/>
    <w:multiLevelType w:val="hybridMultilevel"/>
    <w:tmpl w:val="A4BA16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30C9551C"/>
    <w:multiLevelType w:val="hybridMultilevel"/>
    <w:tmpl w:val="BBA2B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EF4964"/>
    <w:multiLevelType w:val="multilevel"/>
    <w:tmpl w:val="A14A1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7F56C8"/>
    <w:multiLevelType w:val="hybridMultilevel"/>
    <w:tmpl w:val="197E5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9060F1"/>
    <w:multiLevelType w:val="hybridMultilevel"/>
    <w:tmpl w:val="C52EFAF0"/>
    <w:lvl w:ilvl="0" w:tplc="22208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D73C0"/>
    <w:multiLevelType w:val="hybridMultilevel"/>
    <w:tmpl w:val="9D4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A4EAF"/>
    <w:multiLevelType w:val="hybridMultilevel"/>
    <w:tmpl w:val="4D6A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37039"/>
    <w:multiLevelType w:val="multilevel"/>
    <w:tmpl w:val="0C3EF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AA081C"/>
    <w:multiLevelType w:val="hybridMultilevel"/>
    <w:tmpl w:val="8F9A99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0C144C"/>
    <w:multiLevelType w:val="hybridMultilevel"/>
    <w:tmpl w:val="A31AB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A677D"/>
    <w:multiLevelType w:val="hybridMultilevel"/>
    <w:tmpl w:val="EC08A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F80B69"/>
    <w:multiLevelType w:val="multilevel"/>
    <w:tmpl w:val="DFAEA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9"/>
  </w:num>
  <w:num w:numId="12">
    <w:abstractNumId w:val="13"/>
  </w:num>
  <w:num w:numId="13">
    <w:abstractNumId w:val="11"/>
  </w:num>
  <w:num w:numId="14">
    <w:abstractNumId w:val="20"/>
  </w:num>
  <w:num w:numId="15">
    <w:abstractNumId w:val="18"/>
  </w:num>
  <w:num w:numId="16">
    <w:abstractNumId w:val="3"/>
  </w:num>
  <w:num w:numId="17">
    <w:abstractNumId w:val="12"/>
  </w:num>
  <w:num w:numId="18">
    <w:abstractNumId w:val="21"/>
  </w:num>
  <w:num w:numId="19">
    <w:abstractNumId w:val="17"/>
  </w:num>
  <w:num w:numId="20">
    <w:abstractNumId w:val="8"/>
  </w:num>
  <w:num w:numId="21">
    <w:abstractNumId w:val="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580B"/>
    <w:rsid w:val="00003B14"/>
    <w:rsid w:val="00030466"/>
    <w:rsid w:val="00050A2F"/>
    <w:rsid w:val="00054FFB"/>
    <w:rsid w:val="000716E1"/>
    <w:rsid w:val="000A5EA9"/>
    <w:rsid w:val="000D1BAF"/>
    <w:rsid w:val="000D25A7"/>
    <w:rsid w:val="000E2173"/>
    <w:rsid w:val="000E331F"/>
    <w:rsid w:val="000E6004"/>
    <w:rsid w:val="000E7CA6"/>
    <w:rsid w:val="000F4E16"/>
    <w:rsid w:val="001124D7"/>
    <w:rsid w:val="00112E8F"/>
    <w:rsid w:val="00140F35"/>
    <w:rsid w:val="00144130"/>
    <w:rsid w:val="00191341"/>
    <w:rsid w:val="001C13F5"/>
    <w:rsid w:val="001C442C"/>
    <w:rsid w:val="001C772A"/>
    <w:rsid w:val="001E221A"/>
    <w:rsid w:val="001F7C24"/>
    <w:rsid w:val="002007BD"/>
    <w:rsid w:val="00210085"/>
    <w:rsid w:val="002225BE"/>
    <w:rsid w:val="00244610"/>
    <w:rsid w:val="00272278"/>
    <w:rsid w:val="00273DC7"/>
    <w:rsid w:val="00294A23"/>
    <w:rsid w:val="002B23BB"/>
    <w:rsid w:val="002C3458"/>
    <w:rsid w:val="002D16FE"/>
    <w:rsid w:val="002E2520"/>
    <w:rsid w:val="002E683F"/>
    <w:rsid w:val="002F4443"/>
    <w:rsid w:val="003064ED"/>
    <w:rsid w:val="00311C4C"/>
    <w:rsid w:val="003131D4"/>
    <w:rsid w:val="003176C6"/>
    <w:rsid w:val="0032412E"/>
    <w:rsid w:val="003277B4"/>
    <w:rsid w:val="003377EB"/>
    <w:rsid w:val="00343126"/>
    <w:rsid w:val="00357575"/>
    <w:rsid w:val="00371C57"/>
    <w:rsid w:val="003920D2"/>
    <w:rsid w:val="003A1710"/>
    <w:rsid w:val="003B4421"/>
    <w:rsid w:val="003E4A8B"/>
    <w:rsid w:val="0041412F"/>
    <w:rsid w:val="00423EC9"/>
    <w:rsid w:val="004312EC"/>
    <w:rsid w:val="00435D61"/>
    <w:rsid w:val="00444A15"/>
    <w:rsid w:val="004504D1"/>
    <w:rsid w:val="00451FEE"/>
    <w:rsid w:val="004520D3"/>
    <w:rsid w:val="004659C4"/>
    <w:rsid w:val="00493389"/>
    <w:rsid w:val="004A6A3E"/>
    <w:rsid w:val="004B580B"/>
    <w:rsid w:val="004D044B"/>
    <w:rsid w:val="004D76BB"/>
    <w:rsid w:val="004F0218"/>
    <w:rsid w:val="004F2248"/>
    <w:rsid w:val="004F2573"/>
    <w:rsid w:val="00512BE1"/>
    <w:rsid w:val="00543DAF"/>
    <w:rsid w:val="00552F04"/>
    <w:rsid w:val="00566B8C"/>
    <w:rsid w:val="00592FDB"/>
    <w:rsid w:val="005A02BE"/>
    <w:rsid w:val="005A775E"/>
    <w:rsid w:val="005D3D2C"/>
    <w:rsid w:val="005E600E"/>
    <w:rsid w:val="005F15AF"/>
    <w:rsid w:val="00631AC1"/>
    <w:rsid w:val="00635DF6"/>
    <w:rsid w:val="00655E38"/>
    <w:rsid w:val="0066778F"/>
    <w:rsid w:val="0067173D"/>
    <w:rsid w:val="00685566"/>
    <w:rsid w:val="00691B82"/>
    <w:rsid w:val="006A11C6"/>
    <w:rsid w:val="006A4958"/>
    <w:rsid w:val="006A4EFC"/>
    <w:rsid w:val="006C0EAE"/>
    <w:rsid w:val="006C5310"/>
    <w:rsid w:val="006C72D6"/>
    <w:rsid w:val="006D36CB"/>
    <w:rsid w:val="006E5908"/>
    <w:rsid w:val="006F268D"/>
    <w:rsid w:val="007335DC"/>
    <w:rsid w:val="00736FD7"/>
    <w:rsid w:val="007A695A"/>
    <w:rsid w:val="007B38B2"/>
    <w:rsid w:val="007B7E7B"/>
    <w:rsid w:val="007C5F32"/>
    <w:rsid w:val="007D2A5F"/>
    <w:rsid w:val="007D44E2"/>
    <w:rsid w:val="007E2399"/>
    <w:rsid w:val="00800D47"/>
    <w:rsid w:val="00821AC1"/>
    <w:rsid w:val="0084690A"/>
    <w:rsid w:val="00856476"/>
    <w:rsid w:val="00861098"/>
    <w:rsid w:val="0087184B"/>
    <w:rsid w:val="00882C8A"/>
    <w:rsid w:val="008841DD"/>
    <w:rsid w:val="008B02E0"/>
    <w:rsid w:val="008E1444"/>
    <w:rsid w:val="008E4EC7"/>
    <w:rsid w:val="008E5D61"/>
    <w:rsid w:val="00904B3E"/>
    <w:rsid w:val="00921E5A"/>
    <w:rsid w:val="009437C3"/>
    <w:rsid w:val="0095572B"/>
    <w:rsid w:val="0097626D"/>
    <w:rsid w:val="009A3799"/>
    <w:rsid w:val="009C0E47"/>
    <w:rsid w:val="009C5300"/>
    <w:rsid w:val="009C6311"/>
    <w:rsid w:val="009D0FEC"/>
    <w:rsid w:val="009F4A27"/>
    <w:rsid w:val="00A135CC"/>
    <w:rsid w:val="00A2696C"/>
    <w:rsid w:val="00A44D4A"/>
    <w:rsid w:val="00A810D3"/>
    <w:rsid w:val="00A94A76"/>
    <w:rsid w:val="00AA30E0"/>
    <w:rsid w:val="00AB5FF9"/>
    <w:rsid w:val="00AC0740"/>
    <w:rsid w:val="00AC0CAD"/>
    <w:rsid w:val="00AC35ED"/>
    <w:rsid w:val="00AC6271"/>
    <w:rsid w:val="00AC633D"/>
    <w:rsid w:val="00B06DB9"/>
    <w:rsid w:val="00B12E11"/>
    <w:rsid w:val="00B47355"/>
    <w:rsid w:val="00B750C7"/>
    <w:rsid w:val="00B87F25"/>
    <w:rsid w:val="00B918B7"/>
    <w:rsid w:val="00BB6257"/>
    <w:rsid w:val="00BE74EB"/>
    <w:rsid w:val="00BF56CD"/>
    <w:rsid w:val="00C06936"/>
    <w:rsid w:val="00C213B5"/>
    <w:rsid w:val="00C8276D"/>
    <w:rsid w:val="00CB4D52"/>
    <w:rsid w:val="00CF4A2C"/>
    <w:rsid w:val="00CF7CB2"/>
    <w:rsid w:val="00D01760"/>
    <w:rsid w:val="00D16EE6"/>
    <w:rsid w:val="00D526CF"/>
    <w:rsid w:val="00D63E92"/>
    <w:rsid w:val="00D6760C"/>
    <w:rsid w:val="00D90550"/>
    <w:rsid w:val="00D921B1"/>
    <w:rsid w:val="00D93C7C"/>
    <w:rsid w:val="00DA0154"/>
    <w:rsid w:val="00DA061D"/>
    <w:rsid w:val="00DB5495"/>
    <w:rsid w:val="00DB7AC5"/>
    <w:rsid w:val="00DC3396"/>
    <w:rsid w:val="00DC623B"/>
    <w:rsid w:val="00DD5D9F"/>
    <w:rsid w:val="00DD77CC"/>
    <w:rsid w:val="00DE4EBA"/>
    <w:rsid w:val="00DE5C12"/>
    <w:rsid w:val="00DF223F"/>
    <w:rsid w:val="00DF3767"/>
    <w:rsid w:val="00E11A52"/>
    <w:rsid w:val="00E2561F"/>
    <w:rsid w:val="00E324D6"/>
    <w:rsid w:val="00E34ACD"/>
    <w:rsid w:val="00E400BC"/>
    <w:rsid w:val="00E5162D"/>
    <w:rsid w:val="00E551C4"/>
    <w:rsid w:val="00E6042F"/>
    <w:rsid w:val="00E62324"/>
    <w:rsid w:val="00E7761F"/>
    <w:rsid w:val="00E914E0"/>
    <w:rsid w:val="00EA4D4F"/>
    <w:rsid w:val="00EC489B"/>
    <w:rsid w:val="00EE29DC"/>
    <w:rsid w:val="00EF4C5B"/>
    <w:rsid w:val="00F21956"/>
    <w:rsid w:val="00F27733"/>
    <w:rsid w:val="00F573B8"/>
    <w:rsid w:val="00F61B75"/>
    <w:rsid w:val="00F649FB"/>
    <w:rsid w:val="00F85AD6"/>
    <w:rsid w:val="00F94C28"/>
    <w:rsid w:val="00FB384C"/>
    <w:rsid w:val="00FD6048"/>
    <w:rsid w:val="00FE2673"/>
    <w:rsid w:val="00FE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C7"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7F942-9C76-4F34-A84E-7A79484A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2014-04-02T03:05:00Z</dcterms:created>
  <dcterms:modified xsi:type="dcterms:W3CDTF">2014-04-02T03:05:00Z</dcterms:modified>
</cp:coreProperties>
</file>