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r>
        <w:rPr>
          <w:i/>
        </w:rPr>
        <w:t>[Authors / affiliations to be filled]</w:t>
      </w:r>
    </w:p>
    <w:p>
      <w:pPr>
        <w:pStyle w:val="Heading1"/>
      </w:pPr>
      <w:r>
        <w:t>Abstract</w:t>
      </w:r>
    </w:p>
    <w:p>
      <w:r>
        <w:rPr>
          <w:i w:val="0"/>
        </w:rPr>
        <w:t>Automated monitoring of group-housed pigs needs detectors that are accurate on rare, welfare-relevant behaviors and fast enough for low-cost edge hardware. We built a real-time multi-behavior detection framework on YOLOv11n and validated it on a Jetson Nano. Three things make the framework practical.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 combined with an identity-preserving integration strategy that transfers pre-trained weights by index-aligned remapping, cuts parameters by 4.4% while accuracy stays statistically comparable to the baseline across three repeated runs (test mean average precision at IoU 0.5 (mAP50) of 0.590 ± 0.009 vs. a three-seed baseline of 0.606 ± 0.008); interestingly, it is also the fastest of all models we benchmarked (117.6 frames per second (FPS) on an RTX 3090). Third, on-device validation on the Nano shows real-time operation (19.7 FPS at 640×640; 33.3 FPS at 480×480) at roughly 5 W total power. We also report a two-level generalization analysis—an unseen-sequence stress test and an independent farm dataset—that honestly delimits where the framework works and where it does not.</w:t>
      </w:r>
    </w:p>
    <w:p>
      <w:r>
        <w:rPr>
          <w:i/>
        </w:rPr>
        <w:t>Keywords: pig behavior detection; class imbalance; FasterNet; edge computing; Jetson Nano;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be economically viable, however,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as well: an alert about a fight that arrives minutes late is of little use. This is why the dominant engineering trend is to 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≈5 W)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w:t>
      </w:r>
      <w:r>
        <w:t xml:space="preserve"> Two very recent studies push the same deployment agenda with different emphases. PBR-YOLO [27] combines a GhostNet backbone, a FasterNet block with efficient multi-scale attention, and a lightweight multi-path head for eight piglet behaviors, reporting 15.8 ms per frame with TensorRT on a Jetson Orin NX—an attention-augmented design demonstrated on a board far more powerful than the Nano-class hardware we target. Rahman et al. [28] trim YOLO11n for the single posture–nursing task in farrowing crates (removing the small-object detection head) and accelerate it with TensorRT, evaluating on a random image-level split that they explicitly frame as within-facility performance. Class-imbalance mitigation, central to our setting, is not part of either formulation and, to our knowledge, neither reports per-class accuracy on rare behaviors or generalization to unseen sequences.</w:t>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r>
        <w:t xml:space="preserve"> Instance-aware repeat factor sampling [29] refines RFS by counting annotated instances; we instead count class-bearing images—the unit that duplication actually replicates—and add a square-root damper with a hard cap so that a handful of rare scenes cannot dominate an epoch. A systematic diagnosis of mitigation strategies for single-stage detectors [30] likewise finds no universally dominant family, which supports our choice of the least intrusive one.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Still, on-device measurements remain rare in livestock behavior work, and two hardware facts are seldom discussed: Maxwell-generation boards such as the Jetson Nano have no native INT8 support, and TensorRT operator fusion can mask the theoretical advantages of lightweight operators at small model scales. We document both explicitly in Section 5.</w:t>
      </w:r>
      <w:r>
        <w:t xml:space="preserve"> FasterNet-based substitution is itself established—Guo et al. [31] integrated FasterNet into YOLOv8 for real-time underwater detection and YOLO-FGD [32] applied the same idea to PCB inspection, both in this journal—so our contribution is not the substitution but the condition under which it preserves accuracy: identity-preserving weight transfer (Section 3.5), which these works do not discuss. A complementary route to lightness is post-training compression: Luo et al. [33] combine channel pruning with knowledge distillation for piglet behavior recognition, accepting a small accuracy margin in exchange for large parameter cuts without changing the training-time architecture.</w:t>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Annotation quality was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8"/>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auto" w:w="0"/>
        <w:tblLook w:firstColumn="1" w:firstRow="1" w:lastColumn="0" w:lastRow="0" w:noHBand="0" w:noVBand="1" w:val="04A0"/>
      </w:tblPr>
      <w:tblGrid>
        <w:gridCol w:w="2160"/>
        <w:gridCol w:w="2160"/>
        <w:gridCol w:w="2160"/>
        <w:gridCol w:w="2160"/>
      </w:tblGrid>
      <w:tr>
        <w:tc>
          <w:tcPr>
            <w:tcW w:type="dxa" w:w="1368"/>
          </w:tcPr>
          <w:p>
            <w:r>
              <w:rPr>
                <w:b/>
                <w:sz w:val="18"/>
              </w:rPr>
              <w:t>Class</w:t>
            </w:r>
          </w:p>
        </w:tc>
        <w:tc>
          <w:tcPr>
            <w:tcW w:type="dxa" w:w="4536"/>
          </w:tcPr>
          <w:p>
            <w:r>
              <w:rPr>
                <w:b/>
                <w:sz w:val="18"/>
              </w:rPr>
              <w:t>Ethological definition and management relevance</w:t>
            </w:r>
          </w:p>
        </w:tc>
        <w:tc>
          <w:tcPr>
            <w:tcW w:type="dxa" w:w="1440"/>
          </w:tcPr>
          <w:p>
            <w:r>
              <w:rPr>
                <w:b/>
                <w:sz w:val="18"/>
              </w:rPr>
              <w:t>Instances†</w:t>
            </w:r>
          </w:p>
        </w:tc>
        <w:tc>
          <w:tcPr>
            <w:tcW w:type="dxa" w:w="1584"/>
          </w:tcPr>
          <w:p>
            <w:r>
              <w:rPr>
                <w:b/>
                <w:sz w:val="18"/>
              </w:rPr>
              <w:t>Training images‡</w:t>
            </w:r>
          </w:p>
        </w:tc>
      </w:tr>
      <w:tr>
        <w:tc>
          <w:tcPr>
            <w:tcW w:type="dxa" w:w="1368"/>
          </w:tcPr>
          <w:p>
            <w:r>
              <w:rPr>
                <w:sz w:val="18"/>
              </w:rPr>
              <w:t>active</w:t>
            </w:r>
          </w:p>
        </w:tc>
        <w:tc>
          <w:tcPr>
            <w:tcW w:type="dxa" w:w="4536"/>
          </w:tcPr>
          <w:p>
            <w:r>
              <w:rPr>
                <w:sz w:val="18"/>
              </w:rPr>
              <w:t>High-activity motion: running, jumping (aggregated from low-frequency run/jump classes). Abnormal activity indicates stress or illness.</w:t>
            </w:r>
          </w:p>
        </w:tc>
        <w:tc>
          <w:tcPr>
            <w:tcW w:type="dxa" w:w="1440"/>
          </w:tcPr>
          <w:p>
            <w:r>
              <w:rPr>
                <w:sz w:val="18"/>
              </w:rPr>
              <w:t>259</w:t>
            </w:r>
          </w:p>
        </w:tc>
        <w:tc>
          <w:tcPr>
            <w:tcW w:type="dxa" w:w="1584"/>
          </w:tcPr>
          <w:p>
            <w:r>
              <w:rPr>
                <w:sz w:val="18"/>
              </w:rPr>
              <w:t>167</w:t>
            </w:r>
          </w:p>
        </w:tc>
      </w:tr>
      <w:tr>
        <w:tc>
          <w:tcPr>
            <w:tcW w:type="dxa" w:w="1368"/>
          </w:tcPr>
          <w:p>
            <w:r>
              <w:rPr>
                <w:sz w:val="18"/>
              </w:rPr>
              <w:t>drink</w:t>
            </w:r>
          </w:p>
        </w:tc>
        <w:tc>
          <w:tcPr>
            <w:tcW w:type="dxa" w:w="4536"/>
          </w:tcPr>
          <w:p>
            <w:r>
              <w:rPr>
                <w:sz w:val="18"/>
              </w:rPr>
              <w:t>Head at the nipple drinker with a drinking posture. Water intake anomalies signal digestive/urinary issues.</w:t>
            </w:r>
          </w:p>
        </w:tc>
        <w:tc>
          <w:tcPr>
            <w:tcW w:type="dxa" w:w="1440"/>
          </w:tcPr>
          <w:p>
            <w:r>
              <w:rPr>
                <w:sz w:val="18"/>
              </w:rPr>
              <w:t>211</w:t>
            </w:r>
          </w:p>
        </w:tc>
        <w:tc>
          <w:tcPr>
            <w:tcW w:type="dxa" w:w="1584"/>
          </w:tcPr>
          <w:p>
            <w:r>
              <w:rPr>
                <w:sz w:val="18"/>
              </w:rPr>
              <w:t>147</w:t>
            </w:r>
          </w:p>
        </w:tc>
      </w:tr>
      <w:tr>
        <w:tc>
          <w:tcPr>
            <w:tcW w:type="dxa" w:w="1368"/>
          </w:tcPr>
          <w:p>
            <w:r>
              <w:rPr>
                <w:sz w:val="18"/>
              </w:rPr>
              <w:t>eat</w:t>
            </w:r>
          </w:p>
        </w:tc>
        <w:tc>
          <w:tcPr>
            <w:tcW w:type="dxa" w:w="4536"/>
          </w:tcPr>
          <w:p>
            <w:r>
              <w:rPr>
                <w:sz w:val="18"/>
              </w:rPr>
              <w:t>Head in the feeder with continuous feeding action. Feed intake is a core health/growth indicator.</w:t>
            </w:r>
          </w:p>
        </w:tc>
        <w:tc>
          <w:tcPr>
            <w:tcW w:type="dxa" w:w="1440"/>
          </w:tcPr>
          <w:p>
            <w:r>
              <w:rPr>
                <w:sz w:val="18"/>
              </w:rPr>
              <w:t>980</w:t>
            </w:r>
          </w:p>
        </w:tc>
        <w:tc>
          <w:tcPr>
            <w:tcW w:type="dxa" w:w="1584"/>
          </w:tcPr>
          <w:p>
            <w:r>
              <w:rPr>
                <w:sz w:val="18"/>
              </w:rPr>
              <w:t>577</w:t>
            </w:r>
          </w:p>
        </w:tc>
      </w:tr>
      <w:tr>
        <w:tc>
          <w:tcPr>
            <w:tcW w:type="dxa" w:w="1368"/>
          </w:tcPr>
          <w:p>
            <w:r>
              <w:rPr>
                <w:sz w:val="18"/>
              </w:rPr>
              <w:t>fight</w:t>
            </w:r>
          </w:p>
        </w:tc>
        <w:tc>
          <w:tcPr>
            <w:tcW w:type="dxa" w:w="4536"/>
          </w:tcPr>
          <w:p>
            <w:r>
              <w:rPr>
                <w:sz w:val="18"/>
              </w:rPr>
              <w:t>Agonistic contact: biting, chasing, pushing between two or more pigs. Key welfare-alert behavior, frequent at mixing.</w:t>
            </w:r>
          </w:p>
        </w:tc>
        <w:tc>
          <w:tcPr>
            <w:tcW w:type="dxa" w:w="1440"/>
          </w:tcPr>
          <w:p>
            <w:r>
              <w:rPr>
                <w:sz w:val="18"/>
              </w:rPr>
              <w:t>807</w:t>
            </w:r>
          </w:p>
        </w:tc>
        <w:tc>
          <w:tcPr>
            <w:tcW w:type="dxa" w:w="1584"/>
          </w:tcPr>
          <w:p>
            <w:r>
              <w:rPr>
                <w:sz w:val="18"/>
              </w:rPr>
              <w:t>354</w:t>
            </w:r>
          </w:p>
        </w:tc>
      </w:tr>
      <w:tr>
        <w:tc>
          <w:tcPr>
            <w:tcW w:type="dxa" w:w="1368"/>
          </w:tcPr>
          <w:p>
            <w:r>
              <w:rPr>
                <w:sz w:val="18"/>
              </w:rPr>
              <w:t>investigating</w:t>
            </w:r>
          </w:p>
        </w:tc>
        <w:tc>
          <w:tcPr>
            <w:tcW w:type="dxa" w:w="4536"/>
          </w:tcPr>
          <w:p>
            <w:r>
              <w:rPr>
                <w:sz w:val="18"/>
              </w:rPr>
              <w:t>Exploratory rooting/sniffing of floor, pen, or penmates (non-feeding). Normal exploratory behavior; reflects environmental enrichment.</w:t>
            </w:r>
          </w:p>
        </w:tc>
        <w:tc>
          <w:tcPr>
            <w:tcW w:type="dxa" w:w="1440"/>
          </w:tcPr>
          <w:p>
            <w:r>
              <w:rPr>
                <w:sz w:val="18"/>
              </w:rPr>
              <w:t>4,203</w:t>
            </w:r>
          </w:p>
        </w:tc>
        <w:tc>
          <w:tcPr>
            <w:tcW w:type="dxa" w:w="1584"/>
          </w:tcPr>
          <w:p>
            <w:r>
              <w:rPr>
                <w:sz w:val="18"/>
              </w:rPr>
              <w:t>1,714</w:t>
            </w:r>
          </w:p>
        </w:tc>
      </w:tr>
      <w:tr>
        <w:tc>
          <w:tcPr>
            <w:tcW w:type="dxa" w:w="1368"/>
          </w:tcPr>
          <w:p>
            <w:r>
              <w:rPr>
                <w:sz w:val="18"/>
              </w:rPr>
              <w:t>lying</w:t>
            </w:r>
          </w:p>
        </w:tc>
        <w:tc>
          <w:tcPr>
            <w:tcW w:type="dxa" w:w="4536"/>
          </w:tcPr>
          <w:p>
            <w:r>
              <w:rPr>
                <w:sz w:val="18"/>
              </w:rPr>
              <w:t>Lateral or ventral recumbency, body fully on the ground, at rest. Direct comfort/health indicator.</w:t>
            </w:r>
          </w:p>
        </w:tc>
        <w:tc>
          <w:tcPr>
            <w:tcW w:type="dxa" w:w="1440"/>
          </w:tcPr>
          <w:p>
            <w:r>
              <w:rPr>
                <w:sz w:val="18"/>
              </w:rPr>
              <w:t>2,485</w:t>
            </w:r>
          </w:p>
        </w:tc>
        <w:tc>
          <w:tcPr>
            <w:tcW w:type="dxa" w:w="1584"/>
          </w:tcPr>
          <w:p>
            <w:r>
              <w:rPr>
                <w:sz w:val="18"/>
              </w:rPr>
              <w:t>1,299</w:t>
            </w:r>
          </w:p>
        </w:tc>
      </w:tr>
      <w:tr>
        <w:tc>
          <w:tcPr>
            <w:tcW w:type="dxa" w:w="1368"/>
          </w:tcPr>
          <w:p>
            <w:r>
              <w:rPr>
                <w:sz w:val="18"/>
              </w:rPr>
              <w:t>nose-to-nose</w:t>
            </w:r>
          </w:p>
        </w:tc>
        <w:tc>
          <w:tcPr>
            <w:tcW w:type="dxa" w:w="4536"/>
          </w:tcPr>
          <w:p>
            <w:r>
              <w:rPr>
                <w:sz w:val="18"/>
              </w:rPr>
              <w:t>Two pigs in direct nasal contact without aggression. Social interaction; group-relation indicator.</w:t>
            </w:r>
          </w:p>
        </w:tc>
        <w:tc>
          <w:tcPr>
            <w:tcW w:type="dxa" w:w="1440"/>
          </w:tcPr>
          <w:p>
            <w:r>
              <w:rPr>
                <w:sz w:val="18"/>
              </w:rPr>
              <w:t>358</w:t>
            </w:r>
          </w:p>
        </w:tc>
        <w:tc>
          <w:tcPr>
            <w:tcW w:type="dxa" w:w="1584"/>
          </w:tcPr>
          <w:p>
            <w:r>
              <w:rPr>
                <w:sz w:val="18"/>
              </w:rPr>
              <w:t>181</w:t>
            </w:r>
          </w:p>
        </w:tc>
      </w:tr>
      <w:tr>
        <w:tc>
          <w:tcPr>
            <w:tcW w:type="dxa" w:w="1368"/>
          </w:tcPr>
          <w:p>
            <w:r>
              <w:rPr>
                <w:sz w:val="18"/>
              </w:rPr>
              <w:t>sitting</w:t>
            </w:r>
          </w:p>
        </w:tc>
        <w:tc>
          <w:tcPr>
            <w:tcW w:type="dxa" w:w="4536"/>
          </w:tcPr>
          <w:p>
            <w:r>
              <w:rPr>
                <w:sz w:val="18"/>
              </w:rPr>
              <w:t>Dog-like sitting: forelegs upright, hindquarters on the ground. Occasional posture; may relate to lameness/discomfort.</w:t>
            </w:r>
          </w:p>
        </w:tc>
        <w:tc>
          <w:tcPr>
            <w:tcW w:type="dxa" w:w="1440"/>
          </w:tcPr>
          <w:p>
            <w:r>
              <w:rPr>
                <w:sz w:val="18"/>
              </w:rPr>
              <w:t>144</w:t>
            </w:r>
          </w:p>
        </w:tc>
        <w:tc>
          <w:tcPr>
            <w:tcW w:type="dxa" w:w="1584"/>
          </w:tcPr>
          <w:p>
            <w:r>
              <w:rPr>
                <w:sz w:val="18"/>
              </w:rPr>
              <w:t>104</w:t>
            </w:r>
          </w:p>
        </w:tc>
      </w:tr>
      <w:tr>
        <w:tc>
          <w:tcPr>
            <w:tcW w:type="dxa" w:w="1368"/>
          </w:tcPr>
          <w:p>
            <w:r>
              <w:rPr>
                <w:sz w:val="18"/>
              </w:rPr>
              <w:t>standing</w:t>
            </w:r>
          </w:p>
        </w:tc>
        <w:tc>
          <w:tcPr>
            <w:tcW w:type="dxa" w:w="4536"/>
          </w:tcPr>
          <w:p>
            <w:r>
              <w:rPr>
                <w:sz w:val="18"/>
              </w:rPr>
              <w:t>Upright on four legs with no locomotion. Basic postural behavior.</w:t>
            </w:r>
          </w:p>
        </w:tc>
        <w:tc>
          <w:tcPr>
            <w:tcW w:type="dxa" w:w="1440"/>
          </w:tcPr>
          <w:p>
            <w:r>
              <w:rPr>
                <w:sz w:val="18"/>
              </w:rPr>
              <w:t>1,812</w:t>
            </w:r>
          </w:p>
        </w:tc>
        <w:tc>
          <w:tcPr>
            <w:tcW w:type="dxa" w:w="1584"/>
          </w:tcPr>
          <w:p>
            <w:r>
              <w:rPr>
                <w:sz w:val="18"/>
              </w:rPr>
              <w:t>986</w:t>
            </w:r>
          </w:p>
        </w:tc>
      </w:tr>
      <w:tr>
        <w:tc>
          <w:tcPr>
            <w:tcW w:type="dxa" w:w="1368"/>
          </w:tcPr>
          <w:p>
            <w:r>
              <w:rPr>
                <w:sz w:val="18"/>
              </w:rPr>
              <w:t>walk</w:t>
            </w:r>
          </w:p>
        </w:tc>
        <w:tc>
          <w:tcPr>
            <w:tcW w:type="dxa" w:w="4536"/>
          </w:tcPr>
          <w:p>
            <w:r>
              <w:rPr>
                <w:sz w:val="18"/>
              </w:rPr>
              <w:t>Quadrupedal locomotion excluding running. Component of daily activity budget.</w:t>
            </w:r>
          </w:p>
        </w:tc>
        <w:tc>
          <w:tcPr>
            <w:tcW w:type="dxa" w:w="1440"/>
          </w:tcPr>
          <w:p>
            <w:r>
              <w:rPr>
                <w:sz w:val="18"/>
              </w:rPr>
              <w:t>2,736</w:t>
            </w:r>
          </w:p>
        </w:tc>
        <w:tc>
          <w:tcPr>
            <w:tcW w:type="dxa" w:w="1584"/>
          </w:tcPr>
          <w:p>
            <w:r>
              <w:rPr>
                <w:sz w:val="18"/>
              </w:rPr>
              <w:t>1,259</w:t>
            </w:r>
          </w:p>
        </w:tc>
      </w:tr>
    </w:tbl>
    <w:p>
      <w:r>
        <w:drawing>
          <wp:inline xmlns:a="http://schemas.openxmlformats.org/drawingml/2006/main" xmlns:pic="http://schemas.openxmlformats.org/drawingml/2006/picture">
            <wp:extent cx="5669280" cy="2720578"/>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0578"/>
                    </a:xfrm>
                    <a:prstGeom prst="rect"/>
                  </pic:spPr>
                </pic:pic>
              </a:graphicData>
            </a:graphic>
          </wp:inline>
        </w:drawing>
      </w:r>
    </w:p>
    <w:p>
      <w:pPr>
        <w:jc w:val="center"/>
      </w:pPr>
      <w:r>
        <w:rPr>
          <w:sz w:val="18"/>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t>Table 2. Sensitivity to the duplication cap. The largest factor actually used in this dataset is 4 (sitting), so caps 4 and 5 coincide; cap 3 underexposes sitting and costs 2.6 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Cap</w:t>
            </w:r>
          </w:p>
        </w:tc>
        <w:tc>
          <w:tcPr>
            <w:tcW w:type="dxa" w:w="2160"/>
          </w:tcPr>
          <w:p>
            <w:r>
              <w:t>val mAP50</w:t>
            </w:r>
          </w:p>
        </w:tc>
        <w:tc>
          <w:tcPr>
            <w:tcW w:type="dxa" w:w="2160"/>
          </w:tcPr>
          <w:p>
            <w:r>
              <w:t>test mAP50</w:t>
            </w:r>
          </w:p>
        </w:tc>
        <w:tc>
          <w:tcPr>
            <w:tcW w:type="dxa" w:w="2160"/>
          </w:tcPr>
          <w:p>
            <w:r>
              <w:t>Train size</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Fig. 2 Architecture of the proposed model and the FasterNet block. Only P3–P5 backbone stages are substituted; the head is kept intact so that pre-trained weights transfer</w:t>
      </w: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retrospectively justifies our empirical choice of YOLOv11n as the base model for this dataset-and-method combination.</w:t>
      </w:r>
    </w:p>
    <w:p>
      <w:r>
        <w:t>Table 3. Ablation on the held-out test set. *M1/M2 were rejected early, so their entries are validation mAP50; all other rows are test values from single runs. For statistical context, three-seed means on the test set are 0.5987 ± 0.0062 (M4) and 0.5904 ± 0.0086 (M5), versus a three-seed baseline of 0.6060 ± 0.0084—i.e., the single-run values shown here sit inside the run-to-run noise band and are not cherry-picked seeds (Section 4.5). The +2.1-point recall gain of M4 is measured on the validation set.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Modification</w:t>
            </w:r>
          </w:p>
        </w:tc>
        <w:tc>
          <w:tcPr>
            <w:tcW w:type="dxa" w:w="1440"/>
          </w:tcPr>
          <w:p>
            <w:r>
              <w:t>mAP50</w:t>
            </w:r>
          </w:p>
        </w:tc>
        <w:tc>
          <w:tcPr>
            <w:tcW w:type="dxa" w:w="1440"/>
          </w:tcPr>
          <w:p>
            <w:r>
              <w:t>mAP50-95</w:t>
            </w:r>
          </w:p>
        </w:tc>
        <w:tc>
          <w:tcPr>
            <w:tcW w:type="dxa" w:w="1440"/>
          </w:tcPr>
          <w:p>
            <w:r>
              <w:t>Params</w:t>
            </w:r>
          </w:p>
        </w:tc>
        <w:tc>
          <w:tcPr>
            <w:tcW w:type="dxa" w:w="1440"/>
          </w:tcPr>
          <w:p>
            <w:r>
              <w:t>Status</w:t>
            </w:r>
          </w:p>
        </w:tc>
      </w:tr>
      <w:tr>
        <w:tc>
          <w:tcPr>
            <w:tcW w:type="dxa" w:w="1440"/>
          </w:tcPr>
          <w:p>
            <w:r>
              <w:t>Baseline</w:t>
            </w:r>
          </w:p>
        </w:tc>
        <w:tc>
          <w:tcPr>
            <w:tcW w:type="dxa" w:w="1440"/>
          </w:tcPr>
          <w:p>
            <w:r>
              <w:t>YOLOv11n, unmodified</w:t>
            </w:r>
          </w:p>
        </w:tc>
        <w:tc>
          <w:tcPr>
            <w:tcW w:type="dxa" w:w="1440"/>
          </w:tcPr>
          <w:p>
            <w:r>
              <w:t>0.5964</w:t>
            </w:r>
          </w:p>
        </w:tc>
        <w:tc>
          <w:tcPr>
            <w:tcW w:type="dxa" w:w="1440"/>
          </w:tcPr>
          <w:p>
            <w:r>
              <w:t>0.4328</w:t>
            </w:r>
          </w:p>
        </w:tc>
        <w:tc>
          <w:tcPr>
            <w:tcW w:type="dxa" w:w="1440"/>
          </w:tcPr>
          <w:p>
            <w:r>
              <w:t>2.58M</w:t>
            </w:r>
          </w:p>
        </w:tc>
        <w:tc>
          <w:tcPr>
            <w:tcW w:type="dxa" w:w="1440"/>
          </w:tcPr>
          <w:p>
            <w:r>
              <w:t>anchor</w:t>
            </w:r>
          </w:p>
        </w:tc>
      </w:tr>
      <w:tr>
        <w:tc>
          <w:tcPr>
            <w:tcW w:type="dxa" w:w="1440"/>
          </w:tcPr>
          <w:p>
            <w:r>
              <w:t>M4</w:t>
            </w:r>
          </w:p>
        </w:tc>
        <w:tc>
          <w:tcPr>
            <w:tcW w:type="dxa" w:w="1440"/>
          </w:tcPr>
          <w:p>
            <w:r>
              <w:t>+ imbalance-aware sampling (cap 4)</w:t>
            </w:r>
          </w:p>
        </w:tc>
        <w:tc>
          <w:tcPr>
            <w:tcW w:type="dxa" w:w="1440"/>
          </w:tcPr>
          <w:p>
            <w:r>
              <w:t>0.6035</w:t>
            </w:r>
          </w:p>
        </w:tc>
        <w:tc>
          <w:tcPr>
            <w:tcW w:type="dxa" w:w="1440"/>
          </w:tcPr>
          <w:p>
            <w:r>
              <w:t>0.4379</w:t>
            </w:r>
          </w:p>
        </w:tc>
        <w:tc>
          <w:tcPr>
            <w:tcW w:type="dxa" w:w="1440"/>
          </w:tcPr>
          <w:p>
            <w:r>
              <w:t>2.58M</w:t>
            </w:r>
          </w:p>
        </w:tc>
        <w:tc>
          <w:tcPr>
            <w:tcW w:type="dxa" w:w="1440"/>
          </w:tcPr>
          <w:p>
            <w:r>
              <w:t>adopted</w:t>
            </w:r>
          </w:p>
        </w:tc>
      </w:tr>
      <w:tr>
        <w:tc>
          <w:tcPr>
            <w:tcW w:type="dxa" w:w="1440"/>
          </w:tcPr>
          <w:p>
            <w:r>
              <w:t>M3</w:t>
            </w:r>
          </w:p>
        </w:tc>
        <w:tc>
          <w:tcPr>
            <w:tcW w:type="dxa" w:w="1440"/>
          </w:tcPr>
          <w:p>
            <w:r>
              <w:t>FasterNet backbone only</w:t>
            </w:r>
          </w:p>
        </w:tc>
        <w:tc>
          <w:tcPr>
            <w:tcW w:type="dxa" w:w="1440"/>
          </w:tcPr>
          <w:p>
            <w:r>
              <w:t>0.5691</w:t>
            </w:r>
          </w:p>
        </w:tc>
        <w:tc>
          <w:tcPr>
            <w:tcW w:type="dxa" w:w="1440"/>
          </w:tcPr>
          <w:p>
            <w:r>
              <w:t>0.4009</w:t>
            </w:r>
          </w:p>
        </w:tc>
        <w:tc>
          <w:tcPr>
            <w:tcW w:type="dxa" w:w="1440"/>
          </w:tcPr>
          <w:p>
            <w:r>
              <w:t>2.47M</w:t>
            </w:r>
          </w:p>
        </w:tc>
        <w:tc>
          <w:tcPr>
            <w:tcW w:type="dxa" w:w="1440"/>
          </w:tcPr>
          <w:p>
            <w:r>
              <w:t>context</w:t>
            </w:r>
          </w:p>
        </w:tc>
      </w:tr>
      <w:tr>
        <w:tc>
          <w:tcPr>
            <w:tcW w:type="dxa" w:w="1440"/>
          </w:tcPr>
          <w:p>
            <w:r>
              <w:t>M5</w:t>
            </w:r>
          </w:p>
        </w:tc>
        <w:tc>
          <w:tcPr>
            <w:tcW w:type="dxa" w:w="1440"/>
          </w:tcPr>
          <w:p>
            <w:r>
              <w:t>M3 + M4 (final lightweight model)</w:t>
            </w:r>
          </w:p>
        </w:tc>
        <w:tc>
          <w:tcPr>
            <w:tcW w:type="dxa" w:w="1440"/>
          </w:tcPr>
          <w:p>
            <w:r>
              <w:t>0.5932</w:t>
            </w:r>
          </w:p>
        </w:tc>
        <w:tc>
          <w:tcPr>
            <w:tcW w:type="dxa" w:w="1440"/>
          </w:tcPr>
          <w:p>
            <w:r>
              <w:t>0.4300</w:t>
            </w:r>
          </w:p>
        </w:tc>
        <w:tc>
          <w:tcPr>
            <w:tcW w:type="dxa" w:w="1440"/>
          </w:tcPr>
          <w:p>
            <w:r>
              <w:t>2.47M</w:t>
            </w:r>
          </w:p>
        </w:tc>
        <w:tc>
          <w:tcPr>
            <w:tcW w:type="dxa" w:w="1440"/>
          </w:tcPr>
          <w:p>
            <w:r>
              <w:t>adopted</w:t>
            </w:r>
          </w:p>
        </w:tc>
      </w:tr>
      <w:tr>
        <w:tc>
          <w:tcPr>
            <w:tcW w:type="dxa" w:w="1440"/>
          </w:tcPr>
          <w:p>
            <w:r>
              <w:t>M1</w:t>
            </w:r>
          </w:p>
        </w:tc>
        <w:tc>
          <w:tcPr>
            <w:tcW w:type="dxa" w:w="1440"/>
          </w:tcPr>
          <w:p>
            <w:r>
              <w:t>+ EMA attention @ backbone end</w:t>
            </w:r>
          </w:p>
        </w:tc>
        <w:tc>
          <w:tcPr>
            <w:tcW w:type="dxa" w:w="1440"/>
          </w:tcPr>
          <w:p>
            <w:r>
              <w:t>0.5411*</w:t>
            </w:r>
          </w:p>
        </w:tc>
        <w:tc>
          <w:tcPr>
            <w:tcW w:type="dxa" w:w="1440"/>
          </w:tcPr>
          <w:p>
            <w:r>
              <w:t>0.3915*</w:t>
            </w:r>
          </w:p>
        </w:tc>
        <w:tc>
          <w:tcPr>
            <w:tcW w:type="dxa" w:w="1440"/>
          </w:tcPr>
          <w:p>
            <w:r>
              <w:t>—</w:t>
            </w:r>
          </w:p>
        </w:tc>
        <w:tc>
          <w:tcPr>
            <w:tcW w:type="dxa" w:w="1440"/>
          </w:tcPr>
          <w:p>
            <w:r>
              <w:t>rejected (−2.95)</w:t>
            </w:r>
          </w:p>
        </w:tc>
      </w:tr>
      <w:tr>
        <w:tc>
          <w:tcPr>
            <w:tcW w:type="dxa" w:w="1440"/>
          </w:tcPr>
          <w:p>
            <w:r>
              <w:t>M2</w:t>
            </w:r>
          </w:p>
        </w:tc>
        <w:tc>
          <w:tcPr>
            <w:tcW w:type="dxa" w:w="1440"/>
          </w:tcPr>
          <w:p>
            <w:r>
              <w:t>+ EMAR residual attention @ neck</w:t>
            </w:r>
          </w:p>
        </w:tc>
        <w:tc>
          <w:tcPr>
            <w:tcW w:type="dxa" w:w="1440"/>
          </w:tcPr>
          <w:p>
            <w:r>
              <w:t>0.4988*</w:t>
            </w:r>
          </w:p>
        </w:tc>
        <w:tc>
          <w:tcPr>
            <w:tcW w:type="dxa" w:w="1440"/>
          </w:tcPr>
          <w:p>
            <w:r>
              <w:t>0.3534*</w:t>
            </w:r>
          </w:p>
        </w:tc>
        <w:tc>
          <w:tcPr>
            <w:tcW w:type="dxa" w:w="1440"/>
          </w:tcPr>
          <w:p>
            <w:r>
              <w:t>—</w:t>
            </w:r>
          </w:p>
        </w:tc>
        <w:tc>
          <w:tcPr>
            <w:tcW w:type="dxa" w:w="1440"/>
          </w:tcPr>
          <w:p>
            <w:r>
              <w:t>rejected (−7.2)</w:t>
            </w:r>
          </w:p>
        </w:tc>
      </w:tr>
      <w:tr>
        <w:tc>
          <w:tcPr>
            <w:tcW w:type="dxa" w:w="1440"/>
          </w:tcPr>
          <w:p>
            <w:r>
              <w:t>M6</w:t>
            </w:r>
          </w:p>
        </w:tc>
        <w:tc>
          <w:tcPr>
            <w:tcW w:type="dxa" w:w="1440"/>
          </w:tcPr>
          <w:p>
            <w:r>
              <w:t>M4 sampling on YOLOv12n base</w:t>
            </w:r>
          </w:p>
        </w:tc>
        <w:tc>
          <w:tcPr>
            <w:tcW w:type="dxa" w:w="1440"/>
          </w:tcPr>
          <w:p>
            <w:r>
              <w:t>0.5994</w:t>
            </w:r>
          </w:p>
        </w:tc>
        <w:tc>
          <w:tcPr>
            <w:tcW w:type="dxa" w:w="1440"/>
          </w:tcPr>
          <w:p>
            <w:r>
              <w:t>0.4321</w:t>
            </w:r>
          </w:p>
        </w:tc>
        <w:tc>
          <w:tcPr>
            <w:tcW w:type="dxa" w:w="1440"/>
          </w:tcPr>
          <w:p>
            <w:r>
              <w:t>2.56M</w:t>
            </w:r>
          </w:p>
        </w:tc>
        <w:tc>
          <w:tcPr>
            <w:tcW w:type="dxa" w:w="1440"/>
          </w:tcPr>
          <w:p>
            <w:r>
              <w:t>negative control</w:t>
            </w:r>
          </w:p>
        </w:tc>
      </w:tr>
    </w:tbl>
    <w:p>
      <w:r>
        <w:drawing>
          <wp:inline xmlns:a="http://schemas.openxmlformats.org/drawingml/2006/main" xmlns:pic="http://schemas.openxmlformats.org/drawingml/2006/picture">
            <wp:extent cx="5669280" cy="3518616"/>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518616"/>
                    </a:xfrm>
                    <a:prstGeom prst="rect"/>
                  </pic:spPr>
                </pic:pic>
              </a:graphicData>
            </a:graphic>
          </wp:inline>
        </w:drawing>
      </w:r>
    </w:p>
    <w:p>
      <w:pPr>
        <w:jc w:val="center"/>
      </w:pPr>
      <w:r>
        <w:rPr>
          <w:sz w:val="18"/>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are worth noting.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t>Table 4. Comparison with mainstream detectors under the identical protocol, sorted by test mAP50. All models trained from their official pre-trained weights.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test mAP50</w:t>
            </w:r>
          </w:p>
        </w:tc>
        <w:tc>
          <w:tcPr>
            <w:tcW w:type="dxa" w:w="1728"/>
          </w:tcPr>
          <w:p>
            <w:r>
              <w:t>test mAP50-95</w:t>
            </w:r>
          </w:p>
        </w:tc>
        <w:tc>
          <w:tcPr>
            <w:tcW w:type="dxa" w:w="1728"/>
          </w:tcPr>
          <w:p>
            <w:r>
              <w:t>Params</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 (ours)</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Baseline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 (ours)</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Per-Class Analysis</w:t>
      </w:r>
    </w:p>
    <w:p>
      <w:r>
        <w:rPr>
          <w:i w:val="0"/>
        </w:rPr>
        <w:t>Aggregate mAP hides the reason this framework exists, so Table S1 in Online Resource 1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r>
        <w:t xml:space="preserve"> Per-class AP50 on the held-out test set for the baseline, M4 and M5 is reported in Table S2 in Online Resource 1; the rare-class pattern mirrors the validation set.</w:t>
      </w:r>
    </w:p>
    <w:p>
      <w:pPr>
        <w:pStyle w:val="Heading2"/>
      </w:pPr>
      <w:r>
        <w:t>4.5 Statistical Reliability</w:t>
      </w:r>
    </w:p>
    <w:p>
      <w:r>
        <w:rPr>
          <w:i w:val="0"/>
        </w:rPr>
        <w:t>Single training runs of small detectors can easily fluctuate by half a point, so we repeated the baseline and the two adopted models with three different seeds. The baseline scores 0.5822 ± 0.0087 on validation and 0.6060 ± 0.0084 on test (seed 0 exactly reproduces the 0.5964 single run reported in Table 3). M4 scores 0.5790 ± 0.0054 on validation and 0.5987 ± 0.0062 on test; M5 scores 0.5620 ± 0.0079 and 0.5904 ± 0.0086, respectively. Against the three-seed baseline test mean, the M5 difference (−0.016) amounts to about two standard errors of the seed-to-seed variation and is not significant at the 0.05 level (two-sample t-test, p ≈ 0.09), so we report M5 as statistically comparable to the baseline rather than superior to it. The M4 test mean sits within one baseline standard deviation (−0.007)—its real value, shown in Section 4.4, is the redistribution of accuracy toward rare, welfare-relevant behaviors and the +2.1-point recall gain on validation, not a headline mAP increase. We deliberately present it this way: an overall-gain framing would not survive a careful reviewer, and the rare-class framing is both honest and, for welfare alerting, the practically relevant one.</w:t>
      </w:r>
    </w:p>
    <w:p>
      <w:pPr>
        <w:pStyle w:val="Heading2"/>
      </w:pPr>
      <w:r>
        <w:t>4.6 Efficiency Evaluation</w:t>
      </w:r>
    </w:p>
    <w:p>
      <w:r>
        <w:t>Table 5 reports efficiency on the RTX 3090 (FP32, batch 1, 640×640). M5 is the fastest model in the entire comparison at 117.6 FPS (Fig. 4)—ahead of the baseline (112.8) and M4 (112.1), and 50% ahead of YOLOv12n (78.4). One boundary should be stated plainly: the efficiency gain shows up in parameter count (−4.4%) and measured speed, not in FLOPs, which stay essentially flat (6.3G → 6.5G). This is expected rather than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Params</w:t>
            </w:r>
          </w:p>
        </w:tc>
        <w:tc>
          <w:tcPr>
            <w:tcW w:type="dxa" w:w="2160"/>
          </w:tcPr>
          <w:p>
            <w:r>
              <w:t>GFLOPs</w:t>
            </w:r>
          </w:p>
        </w:tc>
        <w:tc>
          <w:tcPr>
            <w:tcW w:type="dxa" w:w="2160"/>
          </w:tcPr>
          <w:p>
            <w:r>
              <w:t>FPS (RTX 3090)</w:t>
            </w:r>
          </w:p>
        </w:tc>
      </w:tr>
      <w:tr>
        <w:tc>
          <w:tcPr>
            <w:tcW w:type="dxa" w:w="2160"/>
          </w:tcPr>
          <w:p>
            <w:r>
              <w:t>M5 (ours)</w:t>
            </w:r>
          </w:p>
        </w:tc>
        <w:tc>
          <w:tcPr>
            <w:tcW w:type="dxa" w:w="2160"/>
          </w:tcPr>
          <w:p>
            <w:r>
              <w:t>2.47M</w:t>
            </w:r>
          </w:p>
        </w:tc>
        <w:tc>
          <w:tcPr>
            <w:tcW w:type="dxa" w:w="2160"/>
          </w:tcPr>
          <w:p>
            <w:r>
              <w:t>6.5G</w:t>
            </w:r>
          </w:p>
        </w:tc>
        <w:tc>
          <w:tcPr>
            <w:tcW w:type="dxa" w:w="2160"/>
          </w:tcPr>
          <w:p>
            <w:r>
              <w:t>117.6</w:t>
            </w:r>
          </w:p>
        </w:tc>
      </w:tr>
      <w:tr>
        <w:tc>
          <w:tcPr>
            <w:tcW w:type="dxa" w:w="2160"/>
          </w:tcPr>
          <w:p>
            <w:r>
              <w:t>Baseline (YOLOv11n)</w:t>
            </w:r>
          </w:p>
        </w:tc>
        <w:tc>
          <w:tcPr>
            <w:tcW w:type="dxa" w:w="2160"/>
          </w:tcPr>
          <w:p>
            <w:r>
              <w:t>2.58M</w:t>
            </w:r>
          </w:p>
        </w:tc>
        <w:tc>
          <w:tcPr>
            <w:tcW w:type="dxa" w:w="2160"/>
          </w:tcPr>
          <w:p>
            <w:r>
              <w:t>6.3G</w:t>
            </w:r>
          </w:p>
        </w:tc>
        <w:tc>
          <w:tcPr>
            <w:tcW w:type="dxa" w:w="2160"/>
          </w:tcPr>
          <w:p>
            <w:r>
              <w:t>112.8</w:t>
            </w:r>
          </w:p>
        </w:tc>
      </w:tr>
      <w:tr>
        <w:tc>
          <w:tcPr>
            <w:tcW w:type="dxa" w:w="2160"/>
          </w:tcPr>
          <w:p>
            <w:r>
              <w:t>M4 (ours)</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870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5669280" cy="3398700"/>
                    </a:xfrm>
                    <a:prstGeom prst="rect"/>
                  </pic:spPr>
                </pic:pic>
              </a:graphicData>
            </a:graphic>
          </wp:inline>
        </w:drawing>
      </w:r>
    </w:p>
    <w:p>
      <w:pPr>
        <w:jc w:val="center"/>
      </w:pPr>
      <w: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r>
        <w:drawing>
          <wp:inline xmlns:a="http://schemas.openxmlformats.org/drawingml/2006/main" xmlns:pic="http://schemas.openxmlformats.org/drawingml/2006/picture">
            <wp:extent cx="5669280" cy="1406769"/>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5669280" cy="1889760"/>
                    </a:xfrm>
                    <a:prstGeom prst="rect"/>
                  </pic:spPr>
                </pic:pic>
              </a:graphicData>
            </a:graphic>
          </wp:inline>
        </w:drawing>
      </w:r>
    </w:p>
    <w:p>
      <w:pPr>
        <w:jc w:val="center"/>
      </w:pPr>
      <w:r>
        <w:rPr>
          <w:sz w:val="18"/>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r>
        <w:drawing>
          <wp:inline xmlns:a="http://schemas.openxmlformats.org/drawingml/2006/main" xmlns:pic="http://schemas.openxmlformats.org/drawingml/2006/picture">
            <wp:extent cx="4937760" cy="370332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4937760" cy="3703320"/>
                    </a:xfrm>
                    <a:prstGeom prst="rect"/>
                  </pic:spPr>
                </pic:pic>
              </a:graphicData>
            </a:graphic>
          </wp:inline>
        </w:drawing>
      </w:r>
    </w:p>
    <w:p>
      <w:pPr>
        <w:jc w:val="center"/>
      </w:pPr>
      <w: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approximately 5 W under load.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5669280" cy="2321205"/>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5669280" cy="2321205"/>
                    </a:xfrm>
                    <a:prstGeom prst="rect"/>
                  </pic:spPr>
                </pic:pic>
              </a:graphicData>
            </a:graphic>
          </wp:inline>
        </w:drawing>
      </w:r>
    </w:p>
    <w:p>
      <w:pPr>
        <w:jc w:val="center"/>
      </w:pPr>
      <w:r>
        <w:t>Fig. 7 Deployment pipeline from the PyTorch checkpoint to on-device TensorRT inference, with measured on-device performance and the practical constraints encountered</w:t>
      </w:r>
    </w:p>
    <w:p>
      <w:r>
        <w:t>Three practical findings from the deployment work are reported because they are rarely documented in this literature and each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t>Table 6. Sequence-disjoint stress test. All models degrade sharply relative to the random split; M4 doubles baseline validation accuracy but no model closes the unseen-sequence gap.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val mAP50 (mixed, harder)</w:t>
            </w:r>
          </w:p>
        </w:tc>
        <w:tc>
          <w:tcPr>
            <w:tcW w:type="dxa" w:w="2880"/>
          </w:tcPr>
          <w:p>
            <w:r>
              <w:t>test mAP50 (unseen sequences)</w:t>
            </w:r>
          </w:p>
        </w:tc>
      </w:tr>
      <w:tr>
        <w:tc>
          <w:tcPr>
            <w:tcW w:type="dxa" w:w="2880"/>
          </w:tcPr>
          <w:p>
            <w:r>
              <w:t>Baseline</w:t>
            </w:r>
          </w:p>
        </w:tc>
        <w:tc>
          <w:tcPr>
            <w:tcW w:type="dxa" w:w="2880"/>
          </w:tcPr>
          <w:p>
            <w:r>
              <w:t>0.075</w:t>
            </w:r>
          </w:p>
        </w:tc>
        <w:tc>
          <w:tcPr>
            <w:tcW w:type="dxa" w:w="2880"/>
          </w:tcPr>
          <w:p>
            <w:r>
              <w:t>0.155</w:t>
            </w:r>
          </w:p>
        </w:tc>
      </w:tr>
      <w:tr>
        <w:tc>
          <w:tcPr>
            <w:tcW w:type="dxa" w:w="2880"/>
          </w:tcPr>
          <w:p>
            <w:r>
              <w:t>M4 (sampling)</w:t>
            </w:r>
          </w:p>
        </w:tc>
        <w:tc>
          <w:tcPr>
            <w:tcW w:type="dxa" w:w="2880"/>
          </w:tcPr>
          <w:p>
            <w:r>
              <w:t>0.139</w:t>
            </w:r>
          </w:p>
        </w:tc>
        <w:tc>
          <w:tcPr>
            <w:tcW w:type="dxa" w:w="2880"/>
          </w:tcPr>
          <w:p>
            <w:r>
              <w:t>0.145</w:t>
            </w:r>
          </w:p>
        </w:tc>
      </w:tr>
      <w:tr>
        <w:tc>
          <w:tcPr>
            <w:tcW w:type="dxa" w:w="2880"/>
          </w:tcPr>
          <w:p>
            <w:r>
              <w:t>M5 (combined)</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566160" cy="6583680"/>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5669280" cy="3052325"/>
                    </a:xfrm>
                    <a:prstGeom prst="rect"/>
                  </pic:spPr>
                </pic:pic>
              </a:graphicData>
            </a:graphic>
          </wp:inline>
        </w:drawing>
      </w:r>
    </w:p>
    <w:p>
      <w:pPr>
        <w:jc w:val="center"/>
      </w:pPr>
      <w: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mAP50</w:t>
            </w:r>
          </w:p>
        </w:tc>
        <w:tc>
          <w:tcPr>
            <w:tcW w:type="dxa" w:w="1728"/>
          </w:tcPr>
          <w:p>
            <w:r>
              <w:t>mAP50-95</w:t>
            </w:r>
          </w:p>
        </w:tc>
        <w:tc>
          <w:tcPr>
            <w:tcW w:type="dxa" w:w="1728"/>
          </w:tcPr>
          <w:p>
            <w:r>
              <w:t>Precision</w:t>
            </w:r>
          </w:p>
        </w:tc>
        <w:tc>
          <w:tcPr>
            <w:tcW w:type="dxa" w:w="1728"/>
          </w:tcPr>
          <w:p>
            <w:r>
              <w:t>Recall</w:t>
            </w:r>
          </w:p>
        </w:tc>
      </w:tr>
      <w:tr>
        <w:tc>
          <w:tcPr>
            <w:tcW w:type="dxa" w:w="1728"/>
          </w:tcPr>
          <w:p>
            <w:r>
              <w:t>Baseline</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 (FasterNet)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 (sampling)</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 (combined)</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r>
        <w:t xml:space="preserve"> The comparison with neighboring approaches is instructive. Attention-augmented lightweight detectors such as PBR-YOLO [27] report strong results, but our two failed integrations (M1, M2) suggest that these gains may not transfer when the modules are inserted into an already pre-trained pathway—the identity-preserving route is what makes backbone substitution practical in transfer-heavy pipelines. Post-training compression [33] is orthogonal to both our data-level and backbone-level changes, and the two routes could in principle be stacked; we leave that combination to future work.</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5 W. A two-level generalization analysis—an unseen-sequence stress test and zero-shot evaluation on an independent farm dataset—delineates the operating envelope honestly: the framework is ready for same-farm deployment today, and it identifies domain adaptation and multi-farm data collection as the key directions for cross-farm operation tomorrow.</w:t>
      </w:r>
    </w:p>
    <w:p>
      <w:pPr>
        <w:pStyle w:val="Heading1"/>
      </w:pPr>
      <w:r>
        <w:t>Statements and Declarations</w:t>
      </w:r>
    </w:p>
    <w:p>
      <w:r>
        <w:rPr>
          <w:i w:val="0"/>
        </w:rPr>
        <w:t>Author Contributions: [to be completed by the authors].</w:t>
      </w:r>
    </w:p>
    <w:p>
      <w:r>
        <w:rPr>
          <w:i w:val="0"/>
        </w:rPr>
        <w:t>Funding: [to be completed by the authors].</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https://github.com/kksmks/pig-behavior-yolo.</w:t>
      </w:r>
    </w:p>
    <w:p>
      <w:r>
        <w:rPr>
          <w:i w:val="0"/>
        </w:rPr>
        <w:t>Competing Interests: The authors declare no competing interests.</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 https://doi.org/10.1016/j.applanim.2018.03.003</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r>
        <w:t>[27] Luo, Y., Lin, K., Xiao, Z., et al.: PBR-YOLO: a lightweight piglet multi-behavior recognition algorithm based on improved YOLOv8. Smart Agric. Technol. 10, 100785 (2025). https://doi.org/10.1016/j.atech.2025.100785</w:t>
      </w:r>
    </w:p>
    <w:p>
      <w:r>
        <w:t>[28] Rahman, M., Souza, V.H.S., Brown-Brandl, T.M., et al.: Accelerating sow nursing behavior monitoring with modified YOLO11n architecture and TensorRT integration. Porcine Health Manag. (2026). https://doi.org/10.1186/s40813-026-00507-3</w:t>
      </w:r>
    </w:p>
    <w:p>
      <w:r>
        <w:t>[29] Yaman, B., Mahmud, T., Liu, C.H.: Instance-aware repeat factor sampling for long-tailed object detection. arXiv preprint arXiv:2305.08069 (2023)</w:t>
      </w:r>
    </w:p>
    <w:p>
      <w:r>
        <w:t>[30] Crasto, N.: Class imbalance in object detection: an experimental diagnosis and study of mitigation strategies. arXiv preprint arXiv:2403.07113 (2024)</w:t>
      </w:r>
    </w:p>
    <w:p>
      <w:r>
        <w:t>[31] Guo, A., Sun, K., Zhang, Z.: A lightweight YOLOv8 integrating FasterNet for real-time underwater object detection. J. Real-Time Image Process. 21(2), 49 (2024). https://doi.org/10.1007/s11554-024-01431-x</w:t>
      </w:r>
    </w:p>
    <w:p>
      <w:r>
        <w:t>[32] Qin, C., Zhou, Z.: YOLO-FGD: a fast lightweight PCB defect method based on FasterNet and the Gather-and-Distribute mechanism. J. Real-Time Image Process. 21(4), 122 (2024). https://doi.org/10.1007/s11554-024-01504-x</w:t>
      </w:r>
    </w:p>
    <w:p>
      <w: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