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rPr>
        <w:t>[作者/单位 待填]</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上完成部署验证。三项工作让这套框架真正可用：其一，类别不均衡感知采样策略（频率封顶的离线过采样），不改网络即提升稀有类检测——低频行为active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0.606±0.008），且推理速度为所有参评模型最快（RTX 3090 上 117.6 FPS）；其三，Jetson Nano 实测验证实时性（640×640 输入 19.7 FPS、480×480 输入 33.3 FPS、整机功耗约 5W），并通过两级泛化分析（未见序列压力测试与独立农场数据集）如实划定框架的适用边界。</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这就是为什么工程上的主流趋势是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5W）与两级泛化分析（未见序列、独立农场数据集），完整划定框架的适用边界。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张）。标注质量经训练集随机抽样目检核验。本研究仅使用公开获取的非侵入式数据，不涉及动物实验，无需伦理审批。表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原生抗不均衡更强、重采样反而致其过拟合的证据；它也回溯性地印证了我们在这一"数据集+方法"组合下选择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时，这是一个有实际意义的工作点。两个现象值得记录：其一，YOLOv8n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上涨。我们刻意这样呈现："整体提升"的框架经不起审稿人推敲，而稀有类框架既诚实，对福利预警又恰是实际相关的那个。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8700"/>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FPS）基本持平——满载整机功耗约 5W。两个工作点对行为监测都属实时（行为事件以秒级展开）；480×480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1205"/>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1205"/>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FPS），整机功耗约 5W。两级泛化分析——未见序列压力测试与独立农场数据集零样本评估——诚实地划定了适用边界：框架今天即可用于同农场部署；域适应与多农场数据采集则是明天跨农场运行的关键方向。</w:t>
      </w:r>
    </w:p>
    <w:p>
      <w:pPr>
        <w:pStyle w:val="Heading1"/>
      </w:pPr>
      <w:r>
        <w:t>声明</w:t>
      </w:r>
    </w:p>
    <w:p>
      <w:r>
        <w:rPr>
          <w:i w:val="0"/>
        </w:rPr>
        <w:t>作者贡献：[待填]</w:t>
      </w:r>
    </w:p>
    <w:p>
      <w:r>
        <w:rPr>
          <w:i w:val="0"/>
        </w:rPr>
        <w:t>基金资助：[待填]</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109524 (2024)</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