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rPr>
        <w:t>[作者/单位 待填]</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上完成部署验证，三项设计选择支撑起最终结果：其一，类别不均衡感知采样策略（频率封顶的离线过采样），不改网络即提升稀有类检测——低频行为 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0.606±0.008），且出人意料地是全部参评模型中最快的（RTX 3090 上 117.6 FPS）；其三，Jetson Nano 实测验证实时性（640×640 输入 19.7 FPS、480×480 输入 33.3 FPS、整机总功耗约 7 W（计算轨约 5 W））。两级泛化分析（未见序列压力测试与独立农场数据集）则为整套研究收束闭环：划清框架在何处有效、何处失效。</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工程趋势因此只有一个方向——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7 W 整机功耗）与两级泛化分析（未见序列、独立农场数据集），完整划定框架的适用边界。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张）。行为定义与标注协议遵循原始采集研究 [20]；标注质量另经训练集随机抽样目检核验。本研究仅使用公开获取的非侵入式数据，不涉及动物实验，无需伦理审批。表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原生抗不均衡更强、重采样反而致其过拟合的证据；它也回溯性地支持了我们在这一"数据集+方法"组合下选择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时，这是一个有实际意义的工作点。两个现象尤为突出：其一，YOLOv8n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S2；稀有类格局与验证集一致。部署配对的 PR 曲线见补充材料图 S1。</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上涨。我们刻意这样呈现："整体提升"的框架会夸大证据，而稀有类框架既诚实，对福利预警又恰是实际相关的那个。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FPS）基本持平——持续满载下整机总输入约 7 W（空闲 3.4 W，GPU 与 CPU 计算轨合计约 5 W，实测见下）。两个工作点对行为监测都属实时（行为事件以秒级展开）；480×480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r>
        <w:rPr>
          <w:i w:val="0"/>
        </w:rPr>
        <w:t>另外三组测量为"实时"二字划出精确边界。其一，延迟预算在 640×640 下分解得很干净：主机到设备传输 0.48 ms、GPU 计算 49.6 ms、设备回传 0.06 ms——引擎本身并不是需要盯防的瓶颈，CPU 侧才是：纯 Python 前/后处理管线的开销会超过 GPU 时间（640×640 图源的 JPEG 解码与缩放 17.1 ms、1080p 源 107.9 ms；优化 C 实现的归一化与排布转换 6.8 ms；约 370 候选的 NMS 仅 0.5 ms），TensorRT 的 enqueue 开销另有 9.5–10.4 ms，因此生产管线的前/后处理应当以 C 或 CUDA 实现。其二，持续运行稳定：连续 12,000 次推理（10.7 分钟）吞吐保持 20.0 FPS，第 99 百分位延迟 51.3 ms，GPU 温度峰值 55.5 °C，全程无热节流事件、无降频。其三，轨级功耗实测（INA3221）：空闲 3.4 W，持续满载总输入 ≈7.0 W，其中约 5.0 W 落在 GPU 与 CPU 轨——即上文引用的口径。延迟分解与持续运行时序见补充材料图 S2、图 S3。</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告警侧，帧级标签可自然聚合为栏级统计——打斗频次、静卧时长占比、饮水到访次数——其上以简单阈值规则即可触发福利告警；阈值整定因场而异，属于部署期工作。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FPS），整机总功耗约 7 W。两级泛化分析——未见序列压力测试与独立农场数据集零样本评估——不加粉饰地划出了适用边界：框架今天即可用于同农场部署；域适应与多农场数据采集则是明天跨农场运行的关键方向。</w:t>
      </w:r>
    </w:p>
    <w:p>
      <w:pPr>
        <w:pStyle w:val="Heading1"/>
      </w:pPr>
      <w:r>
        <w:t>声明</w:t>
      </w:r>
    </w:p>
    <w:p>
      <w:r>
        <w:rPr>
          <w:i w:val="0"/>
        </w:rPr>
        <w:t>作者贡献：[待填]</w:t>
      </w:r>
    </w:p>
    <w:p>
      <w:r>
        <w:rPr>
          <w:i w:val="0"/>
        </w:rPr>
        <w:t>基金资助：[待填]</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