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补充材料（在线资源 1 / Online Resource 1）</w:t>
      </w:r>
    </w:p>
    <w:p>
      <w:r>
        <w:t>面向边缘设备的群养猪多行为实时检测：类别不均衡感知采样与轻量化 FasterNet 主干 —— 补充材料</w:t>
      </w:r>
    </w:p>
    <w:p>
      <w:r>
        <w:t>Journal of Real-Time Image Processing · 张展 · 勾林林 · 通讯作者邮箱：851709772@qq.com</w:t>
      </w:r>
    </w:p>
    <w:p>
      <w:r>
        <w:rPr>
          <w:sz w:val="18"/>
        </w:rPr>
        <w:t>表 S1 验证集分类别 AP50。独立测试集上的关键稀有类结果：active 0.526→0.639（基线→M4，+11.3 点）；sitting 0.534→0.571；fight 0.840→0.871。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M3（FasterNet）</w:t>
            </w:r>
          </w:p>
        </w:tc>
        <w:tc>
          <w:tcPr>
            <w:tcW w:type="dxa" w:w="1440"/>
          </w:tcPr>
          <w:p>
            <w:r>
              <w:t>M4（采样）</w:t>
            </w:r>
          </w:p>
        </w:tc>
        <w:tc>
          <w:tcPr>
            <w:tcW w:type="dxa" w:w="1440"/>
          </w:tcPr>
          <w:p>
            <w:r>
              <w:t>M5（组合）</w:t>
            </w:r>
          </w:p>
        </w:tc>
        <w:tc>
          <w:tcPr>
            <w:tcW w:type="dxa" w:w="1440"/>
          </w:tcPr>
          <w:p>
            <w:r>
              <w:t>M4−基线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0.452</w:t>
            </w:r>
          </w:p>
        </w:tc>
        <w:tc>
          <w:tcPr>
            <w:tcW w:type="dxa" w:w="1440"/>
          </w:tcPr>
          <w:p>
            <w:r>
              <w:t>+9.3</w:t>
            </w:r>
          </w:p>
        </w:tc>
      </w:tr>
      <w:tr>
        <w:tc>
          <w:tcPr>
            <w:tcW w:type="dxa" w:w="1440"/>
          </w:tcPr>
          <w:p>
            <w:r>
              <w:t>drink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+5.1</w:t>
            </w:r>
          </w:p>
        </w:tc>
      </w:tr>
      <w:tr>
        <w:tc>
          <w:tcPr>
            <w:tcW w:type="dxa" w:w="1440"/>
          </w:tcPr>
          <w:p>
            <w:r>
              <w:t>eat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fight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-1.6</w:t>
            </w:r>
          </w:p>
        </w:tc>
      </w:tr>
      <w:tr>
        <w:tc>
          <w:tcPr>
            <w:tcW w:type="dxa" w:w="1440"/>
          </w:tcPr>
          <w:p>
            <w:r>
              <w:t>investigating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-1.1</w:t>
            </w:r>
          </w:p>
        </w:tc>
      </w:tr>
      <w:tr>
        <w:tc>
          <w:tcPr>
            <w:tcW w:type="dxa" w:w="1440"/>
          </w:tcPr>
          <w:p>
            <w:r>
              <w:t>lying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-1.7</w:t>
            </w:r>
          </w:p>
        </w:tc>
      </w:tr>
      <w:tr>
        <w:tc>
          <w:tcPr>
            <w:tcW w:type="dxa" w:w="1440"/>
          </w:tcPr>
          <w:p>
            <w:r>
              <w:t>nose-to-nose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-6.4</w:t>
            </w:r>
          </w:p>
        </w:tc>
      </w:tr>
      <w:tr>
        <w:tc>
          <w:tcPr>
            <w:tcW w:type="dxa" w:w="1440"/>
          </w:tcPr>
          <w:p>
            <w:r>
              <w:t>sitting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0.233</w:t>
            </w:r>
          </w:p>
        </w:tc>
        <w:tc>
          <w:tcPr>
            <w:tcW w:type="dxa" w:w="1440"/>
          </w:tcPr>
          <w:p>
            <w:r>
              <w:t>0.423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+2.0</w:t>
            </w:r>
          </w:p>
        </w:tc>
      </w:tr>
      <w:tr>
        <w:tc>
          <w:tcPr>
            <w:tcW w:type="dxa" w:w="1440"/>
          </w:tcPr>
          <w:p>
            <w:r>
              <w:t>standing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0.429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0.445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walk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-0.1</w:t>
            </w:r>
          </w:p>
        </w:tc>
      </w:tr>
      <w:tr>
        <w:tc>
          <w:tcPr>
            <w:tcW w:type="dxa" w:w="1440"/>
          </w:tcPr>
          <w:p>
            <w:r>
              <w:t>mAP50（全部）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+0.9</w:t>
            </w:r>
          </w:p>
        </w:tc>
      </w:tr>
    </w:tbl>
    <w:p>
      <w:r>
        <w:rPr>
          <w:sz w:val="18"/>
        </w:rPr>
        <w:t>表 S2 独立测试集上的分类别 AP50（基线与两个采用变体）。稀有类格局与验证集（表 S1）一致：M4 的增益集中于 active、sitting 与 fight；M5 保留部分稀有类增益，同时参数量少 4.4%。所有数值为单次实验（种子 0）；整体指标的三种子均值见正文 4.5 节。M5 数值在官方验证协议下复测（整体 mAP50 0.5933，与云端所报 0.5932 一致）。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  <w:tc>
          <w:tcPr>
            <w:tcW w:type="dxa" w:w="2160"/>
          </w:tcPr>
          <w:p>
            <w:r>
              <w:t>M4（采样）</w:t>
            </w:r>
          </w:p>
        </w:tc>
        <w:tc>
          <w:tcPr>
            <w:tcW w:type="dxa" w:w="2160"/>
          </w:tcPr>
          <w:p>
            <w:r>
              <w:t>M5（组合）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0.526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0.533</w:t>
            </w:r>
          </w:p>
        </w:tc>
      </w:tr>
      <w:tr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0.373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</w:tr>
      <w:tr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  <w:tc>
          <w:tcPr>
            <w:tcW w:type="dxa" w:w="2160"/>
          </w:tcPr>
          <w:p>
            <w:r>
              <w:t>0.418</w:t>
            </w:r>
          </w:p>
        </w:tc>
        <w:tc>
          <w:tcPr>
            <w:tcW w:type="dxa" w:w="2160"/>
          </w:tcPr>
          <w:p>
            <w:r>
              <w:t>0.429</w:t>
            </w:r>
          </w:p>
        </w:tc>
      </w:tr>
      <w:tr>
        <w:tc>
          <w:tcPr>
            <w:tcW w:type="dxa" w:w="2160"/>
          </w:tcPr>
          <w:p>
            <w:r>
              <w:t>fight</w:t>
            </w:r>
          </w:p>
        </w:tc>
        <w:tc>
          <w:tcPr>
            <w:tcW w:type="dxa" w:w="2160"/>
          </w:tcPr>
          <w:p>
            <w:r>
              <w:t>0.840</w:t>
            </w:r>
          </w:p>
        </w:tc>
        <w:tc>
          <w:tcPr>
            <w:tcW w:type="dxa" w:w="2160"/>
          </w:tcPr>
          <w:p>
            <w:r>
              <w:t>0.871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</w:tr>
      <w:tr>
        <w:tc>
          <w:tcPr>
            <w:tcW w:type="dxa" w:w="2160"/>
          </w:tcPr>
          <w:p>
            <w:r>
              <w:t>investigating</w:t>
            </w:r>
          </w:p>
        </w:tc>
        <w:tc>
          <w:tcPr>
            <w:tcW w:type="dxa" w:w="2160"/>
          </w:tcPr>
          <w:p>
            <w:r>
              <w:t>0.552</w:t>
            </w:r>
          </w:p>
        </w:tc>
        <w:tc>
          <w:tcPr>
            <w:tcW w:type="dxa" w:w="2160"/>
          </w:tcPr>
          <w:p>
            <w:r>
              <w:t>0.562</w:t>
            </w:r>
          </w:p>
        </w:tc>
        <w:tc>
          <w:tcPr>
            <w:tcW w:type="dxa" w:w="2160"/>
          </w:tcPr>
          <w:p>
            <w:r>
              <w:t>0.588</w:t>
            </w:r>
          </w:p>
        </w:tc>
      </w:tr>
      <w:tr>
        <w:tc>
          <w:tcPr>
            <w:tcW w:type="dxa" w:w="2160"/>
          </w:tcPr>
          <w:p>
            <w:r>
              <w:t>lying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  <w:tc>
          <w:tcPr>
            <w:tcW w:type="dxa" w:w="2160"/>
          </w:tcPr>
          <w:p>
            <w:r>
              <w:t>0.737</w:t>
            </w:r>
          </w:p>
        </w:tc>
        <w:tc>
          <w:tcPr>
            <w:tcW w:type="dxa" w:w="2160"/>
          </w:tcPr>
          <w:p>
            <w:r>
              <w:t>0.722</w:t>
            </w:r>
          </w:p>
        </w:tc>
      </w:tr>
      <w:tr>
        <w:tc>
          <w:tcPr>
            <w:tcW w:type="dxa" w:w="2160"/>
          </w:tcPr>
          <w:p>
            <w:r>
              <w:t>nose-to-nose</w:t>
            </w:r>
          </w:p>
        </w:tc>
        <w:tc>
          <w:tcPr>
            <w:tcW w:type="dxa" w:w="2160"/>
          </w:tcPr>
          <w:p>
            <w:r>
              <w:t>0.783</w:t>
            </w:r>
          </w:p>
        </w:tc>
        <w:tc>
          <w:tcPr>
            <w:tcW w:type="dxa" w:w="2160"/>
          </w:tcPr>
          <w:p>
            <w:r>
              <w:t>0.740</w:t>
            </w:r>
          </w:p>
        </w:tc>
        <w:tc>
          <w:tcPr>
            <w:tcW w:type="dxa" w:w="2160"/>
          </w:tcPr>
          <w:p>
            <w:r>
              <w:t>0.749</w:t>
            </w:r>
          </w:p>
        </w:tc>
      </w:tr>
      <w:tr>
        <w:tc>
          <w:tcPr>
            <w:tcW w:type="dxa" w:w="2160"/>
          </w:tcPr>
          <w:p>
            <w:r>
              <w:t>sitting</w:t>
            </w:r>
          </w:p>
        </w:tc>
        <w:tc>
          <w:tcPr>
            <w:tcW w:type="dxa" w:w="2160"/>
          </w:tcPr>
          <w:p>
            <w:r>
              <w:t>0.534</w:t>
            </w:r>
          </w:p>
        </w:tc>
        <w:tc>
          <w:tcPr>
            <w:tcW w:type="dxa" w:w="2160"/>
          </w:tcPr>
          <w:p>
            <w:r>
              <w:t>0.571</w:t>
            </w:r>
          </w:p>
        </w:tc>
        <w:tc>
          <w:tcPr>
            <w:tcW w:type="dxa" w:w="2160"/>
          </w:tcPr>
          <w:p>
            <w:r>
              <w:t>0.568</w:t>
            </w:r>
          </w:p>
        </w:tc>
      </w:tr>
      <w:tr>
        <w:tc>
          <w:tcPr>
            <w:tcW w:type="dxa" w:w="2160"/>
          </w:tcPr>
          <w:p>
            <w:r>
              <w:t>standing</w:t>
            </w:r>
          </w:p>
        </w:tc>
        <w:tc>
          <w:tcPr>
            <w:tcW w:type="dxa" w:w="2160"/>
          </w:tcPr>
          <w:p>
            <w:r>
              <w:t>0.487</w:t>
            </w:r>
          </w:p>
        </w:tc>
        <w:tc>
          <w:tcPr>
            <w:tcW w:type="dxa" w:w="2160"/>
          </w:tcPr>
          <w:p>
            <w:r>
              <w:t>0.468</w:t>
            </w:r>
          </w:p>
        </w:tc>
        <w:tc>
          <w:tcPr>
            <w:tcW w:type="dxa" w:w="2160"/>
          </w:tcPr>
          <w:p>
            <w:r>
              <w:t>0.475</w:t>
            </w:r>
          </w:p>
        </w:tc>
      </w:tr>
      <w:tr>
        <w:tc>
          <w:tcPr>
            <w:tcW w:type="dxa" w:w="2160"/>
          </w:tcPr>
          <w:p>
            <w:r>
              <w:t>walk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0.655</w:t>
            </w:r>
          </w:p>
        </w:tc>
        <w:tc>
          <w:tcPr>
            <w:tcW w:type="dxa" w:w="2160"/>
          </w:tcPr>
          <w:p>
            <w:r>
              <w:t>0.612</w:t>
            </w:r>
          </w:p>
        </w:tc>
      </w:tr>
      <w:tr>
        <w:tc>
          <w:tcPr>
            <w:tcW w:type="dxa" w:w="2160"/>
          </w:tcPr>
          <w:p>
            <w:r>
              <w:t>mAP50（全部）</w:t>
            </w:r>
          </w:p>
        </w:tc>
        <w:tc>
          <w:tcPr>
            <w:tcW w:type="dxa" w:w="2160"/>
          </w:tcPr>
          <w:p>
            <w:r>
              <w:t>0.596</w:t>
            </w:r>
          </w:p>
        </w:tc>
        <w:tc>
          <w:tcPr>
            <w:tcW w:type="dxa" w:w="2160"/>
          </w:tcPr>
          <w:p>
            <w:r>
              <w:t>0.604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198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-pr-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S1 独立测试集上的精确率-召回率（PR）曲线（四个消融模型）：(a) 基线 YOLOv11n（mAP50 0.596）、(b) M3 仅 FasterNet（0.569）、(c) M4 仅采样（0.604）、(d) 最终 M5（0.593）。细线为各行为类别曲线，粗蓝线为全类平均</w:t>
      </w:r>
    </w:p>
    <w:p>
      <w:r>
        <w:drawing>
          <wp:inline xmlns:a="http://schemas.openxmlformats.org/drawingml/2006/main" xmlns:pic="http://schemas.openxmlformats.org/drawingml/2006/picture">
            <wp:extent cx="5669280" cy="2571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-latency-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S2 Jetson Nano 延迟预算。(a) 引擎侧分解（TensorRT 实测）：两种输入尺寸下 GPU 计算均占绝对主导，H2D/D2H 传输可忽略。(b) 纯 Python 管线的 CPU 侧前/后处理开销（对数轴）：朴素的解码与缩放可能超过 GPU 计算，生产管线应以 C 或 CUDA 实现前/后处理</w:t>
      </w:r>
    </w:p>
    <w:p>
      <w:r>
        <w:drawing>
          <wp:inline xmlns:a="http://schemas.openxmlformats.org/drawingml/2006/main" xmlns:pic="http://schemas.openxmlformats.org/drawingml/2006/picture">
            <wp:extent cx="5669280" cy="2317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-thermal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S3 Jetson Nano 持续运行时序（M5 @640 FP16，连续 12,000 次推理、10.7 分钟）。吞吐保持 20.0 FPS（第 99 百分位延迟 51.3 ms）；GPU 温度峰值 55.5 °C，全程零热节流、无降频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