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(Online Resource 1)</w:t>
      </w:r>
    </w:p>
    <w:p>
      <w:r>
        <w:t>Real-Time Multi-Behavior Detection of Group-Housed Pigs on Edge Devices: Class-Imbalance-Aware Sampling and a Lightweight FasterNet Backbone — Supplementary Material</w:t>
      </w:r>
    </w:p>
    <w:p>
      <w:r>
        <w:t>Journal of Real-Time Image Processing · Zhan Zhang · Linlin Gou · Corresponding author: Zhan Zhang, 851709772@qq.com</w:t>
      </w:r>
    </w:p>
    <w:p>
      <w:r>
        <w:t>Table S1. Per-class AP50 on the validation set. On the held-out test set, the key rare-class result is active 0.526 → 0.639 (baseline → M4, +11.3 points); sitting 0.534 → 0.571; fight 0.840 → 0.871.</w:t>
      </w:r>
    </w:p>
    <w:p>
      <w:r>
        <w:drawing>
          <wp:inline xmlns:a="http://schemas.openxmlformats.org/drawingml/2006/main" xmlns:pic="http://schemas.openxmlformats.org/drawingml/2006/picture">
            <wp:extent cx="5669280" cy="4198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-pr-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Fig. S1 Precision–recall curves on the held-out test set for the four ablation models: (a) baseline YOLOv11n (mAP50 0.596), (b) M3 FasterNet-only (0.569), (c) M4 sampling-only (0.604), (d) final M5 (0.593). Behaviour-class curves are shown thin; the thick blue curve is the all-class average</w:t>
      </w:r>
    </w:p>
    <w:p>
      <w:r>
        <w:drawing>
          <wp:inline xmlns:a="http://schemas.openxmlformats.org/drawingml/2006/main" xmlns:pic="http://schemas.openxmlformats.org/drawingml/2006/picture">
            <wp:extent cx="5669280" cy="2571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-latency-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Fig. S2 Latency budget on the Jetson Nano. (a) Engine-side decomposition (TensorRT measurement): GPU compute dominates at both input sizes; H2D/D2H transfers are negligible. (b) CPU-side pre/post-processing costs in a pure-Python pipeline (log scale): naive decode and resize can exceed GPU compute, so production pipelines should implement pre/post-processing in C or CUDA</w:t>
      </w:r>
    </w:p>
    <w:p>
      <w:r>
        <w:drawing>
          <wp:inline xmlns:a="http://schemas.openxmlformats.org/drawingml/2006/main" xmlns:pic="http://schemas.openxmlformats.org/drawingml/2006/picture">
            <wp:extent cx="5669280" cy="2317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-thermal-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Fig. S3 Sustained-operation timeline on the Jetson Nano over 12,000 consecutive inferences (10.7 min, M5 at 640×640 FP16). Throughput holds at 20.0 FPS (99th-percentile latency 51.3 ms); GPU temperature peaks at 55.5 °C with zero thermal-throttling events and no clock drop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Class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M3 (FasterNet)</w:t>
            </w:r>
          </w:p>
        </w:tc>
        <w:tc>
          <w:tcPr>
            <w:tcW w:type="dxa" w:w="1440"/>
          </w:tcPr>
          <w:p>
            <w:r>
              <w:t>M4 (sampling)</w:t>
            </w:r>
          </w:p>
        </w:tc>
        <w:tc>
          <w:tcPr>
            <w:tcW w:type="dxa" w:w="1440"/>
          </w:tcPr>
          <w:p>
            <w:r>
              <w:t>M5 (combined)</w:t>
            </w:r>
          </w:p>
        </w:tc>
        <w:tc>
          <w:tcPr>
            <w:tcW w:type="dxa" w:w="1440"/>
          </w:tcPr>
          <w:p>
            <w:r>
              <w:t>M4 − baseline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0.452</w:t>
            </w:r>
          </w:p>
        </w:tc>
        <w:tc>
          <w:tcPr>
            <w:tcW w:type="dxa" w:w="1440"/>
          </w:tcPr>
          <w:p>
            <w:r>
              <w:t>+9.3</w:t>
            </w:r>
          </w:p>
        </w:tc>
      </w:tr>
      <w:tr>
        <w:tc>
          <w:tcPr>
            <w:tcW w:type="dxa" w:w="1440"/>
          </w:tcPr>
          <w:p>
            <w:r>
              <w:t>drink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+5.1</w:t>
            </w:r>
          </w:p>
        </w:tc>
      </w:tr>
      <w:tr>
        <w:tc>
          <w:tcPr>
            <w:tcW w:type="dxa" w:w="1440"/>
          </w:tcPr>
          <w:p>
            <w:r>
              <w:t>eat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fight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−1.6</w:t>
            </w:r>
          </w:p>
        </w:tc>
      </w:tr>
      <w:tr>
        <w:tc>
          <w:tcPr>
            <w:tcW w:type="dxa" w:w="1440"/>
          </w:tcPr>
          <w:p>
            <w:r>
              <w:t>investigating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−1.1</w:t>
            </w:r>
          </w:p>
        </w:tc>
      </w:tr>
      <w:tr>
        <w:tc>
          <w:tcPr>
            <w:tcW w:type="dxa" w:w="1440"/>
          </w:tcPr>
          <w:p>
            <w:r>
              <w:t>lying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−1.7</w:t>
            </w:r>
          </w:p>
        </w:tc>
      </w:tr>
      <w:tr>
        <w:tc>
          <w:tcPr>
            <w:tcW w:type="dxa" w:w="1440"/>
          </w:tcPr>
          <w:p>
            <w:r>
              <w:t>nose-to-nose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−6.4</w:t>
            </w:r>
          </w:p>
        </w:tc>
      </w:tr>
      <w:tr>
        <w:tc>
          <w:tcPr>
            <w:tcW w:type="dxa" w:w="1440"/>
          </w:tcPr>
          <w:p>
            <w:r>
              <w:t>sitting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0.233</w:t>
            </w:r>
          </w:p>
        </w:tc>
        <w:tc>
          <w:tcPr>
            <w:tcW w:type="dxa" w:w="1440"/>
          </w:tcPr>
          <w:p>
            <w:r>
              <w:t>0.423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+2.0</w:t>
            </w:r>
          </w:p>
        </w:tc>
      </w:tr>
      <w:tr>
        <w:tc>
          <w:tcPr>
            <w:tcW w:type="dxa" w:w="1440"/>
          </w:tcPr>
          <w:p>
            <w:r>
              <w:t>standing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0.429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0.445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walk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−0.1</w:t>
            </w:r>
          </w:p>
        </w:tc>
      </w:tr>
      <w:tr>
        <w:tc>
          <w:tcPr>
            <w:tcW w:type="dxa" w:w="1440"/>
          </w:tcPr>
          <w:p>
            <w:r>
              <w:t>mAP50 (all)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+0.9</w:t>
            </w:r>
          </w:p>
        </w:tc>
      </w:tr>
    </w:tbl>
    <w:p>
      <w:r>
        <w:t>Table S2. Per-class AP50 on the held-out test set for the baseline and the two adopted variants. The rare-class pattern mirrors the validation set (Table S1): the gains of M4 concentrate on active, sitting and fight; M5 keeps part of the rare-class gain while carrying 4.4% fewer parameters. All entries are single-run values (seed 0); the three-seed means for the overall metric are reported in Section 4.5 of the main text. M5 values were re-measured under the official validation protocol (overall mAP50 0.5933, matching the cloud-reported 0.5932).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M4 (sampling)</w:t>
            </w:r>
          </w:p>
        </w:tc>
        <w:tc>
          <w:tcPr>
            <w:tcW w:type="dxa" w:w="2160"/>
          </w:tcPr>
          <w:p>
            <w:r>
              <w:t>M5 (combined)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0.526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0.533</w:t>
            </w:r>
          </w:p>
        </w:tc>
      </w:tr>
      <w:tr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0.373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</w:tr>
      <w:tr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  <w:tc>
          <w:tcPr>
            <w:tcW w:type="dxa" w:w="2160"/>
          </w:tcPr>
          <w:p>
            <w:r>
              <w:t>0.418</w:t>
            </w:r>
          </w:p>
        </w:tc>
        <w:tc>
          <w:tcPr>
            <w:tcW w:type="dxa" w:w="2160"/>
          </w:tcPr>
          <w:p>
            <w:r>
              <w:t>0.429</w:t>
            </w:r>
          </w:p>
        </w:tc>
      </w:tr>
      <w:tr>
        <w:tc>
          <w:tcPr>
            <w:tcW w:type="dxa" w:w="2160"/>
          </w:tcPr>
          <w:p>
            <w:r>
              <w:t>fight</w:t>
            </w:r>
          </w:p>
        </w:tc>
        <w:tc>
          <w:tcPr>
            <w:tcW w:type="dxa" w:w="2160"/>
          </w:tcPr>
          <w:p>
            <w:r>
              <w:t>0.840</w:t>
            </w:r>
          </w:p>
        </w:tc>
        <w:tc>
          <w:tcPr>
            <w:tcW w:type="dxa" w:w="2160"/>
          </w:tcPr>
          <w:p>
            <w:r>
              <w:t>0.871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</w:tr>
      <w:tr>
        <w:tc>
          <w:tcPr>
            <w:tcW w:type="dxa" w:w="2160"/>
          </w:tcPr>
          <w:p>
            <w:r>
              <w:t>investigating</w:t>
            </w:r>
          </w:p>
        </w:tc>
        <w:tc>
          <w:tcPr>
            <w:tcW w:type="dxa" w:w="2160"/>
          </w:tcPr>
          <w:p>
            <w:r>
              <w:t>0.552</w:t>
            </w:r>
          </w:p>
        </w:tc>
        <w:tc>
          <w:tcPr>
            <w:tcW w:type="dxa" w:w="2160"/>
          </w:tcPr>
          <w:p>
            <w:r>
              <w:t>0.562</w:t>
            </w:r>
          </w:p>
        </w:tc>
        <w:tc>
          <w:tcPr>
            <w:tcW w:type="dxa" w:w="2160"/>
          </w:tcPr>
          <w:p>
            <w:r>
              <w:t>0.588</w:t>
            </w:r>
          </w:p>
        </w:tc>
      </w:tr>
      <w:tr>
        <w:tc>
          <w:tcPr>
            <w:tcW w:type="dxa" w:w="2160"/>
          </w:tcPr>
          <w:p>
            <w:r>
              <w:t>lying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  <w:tc>
          <w:tcPr>
            <w:tcW w:type="dxa" w:w="2160"/>
          </w:tcPr>
          <w:p>
            <w:r>
              <w:t>0.737</w:t>
            </w:r>
          </w:p>
        </w:tc>
        <w:tc>
          <w:tcPr>
            <w:tcW w:type="dxa" w:w="2160"/>
          </w:tcPr>
          <w:p>
            <w:r>
              <w:t>0.722</w:t>
            </w:r>
          </w:p>
        </w:tc>
      </w:tr>
      <w:tr>
        <w:tc>
          <w:tcPr>
            <w:tcW w:type="dxa" w:w="2160"/>
          </w:tcPr>
          <w:p>
            <w:r>
              <w:t>nose-to-nose</w:t>
            </w:r>
          </w:p>
        </w:tc>
        <w:tc>
          <w:tcPr>
            <w:tcW w:type="dxa" w:w="2160"/>
          </w:tcPr>
          <w:p>
            <w:r>
              <w:t>0.783</w:t>
            </w:r>
          </w:p>
        </w:tc>
        <w:tc>
          <w:tcPr>
            <w:tcW w:type="dxa" w:w="2160"/>
          </w:tcPr>
          <w:p>
            <w:r>
              <w:t>0.740</w:t>
            </w:r>
          </w:p>
        </w:tc>
        <w:tc>
          <w:tcPr>
            <w:tcW w:type="dxa" w:w="2160"/>
          </w:tcPr>
          <w:p>
            <w:r>
              <w:t>0.749</w:t>
            </w:r>
          </w:p>
        </w:tc>
      </w:tr>
      <w:tr>
        <w:tc>
          <w:tcPr>
            <w:tcW w:type="dxa" w:w="2160"/>
          </w:tcPr>
          <w:p>
            <w:r>
              <w:t>sitting</w:t>
            </w:r>
          </w:p>
        </w:tc>
        <w:tc>
          <w:tcPr>
            <w:tcW w:type="dxa" w:w="2160"/>
          </w:tcPr>
          <w:p>
            <w:r>
              <w:t>0.534</w:t>
            </w:r>
          </w:p>
        </w:tc>
        <w:tc>
          <w:tcPr>
            <w:tcW w:type="dxa" w:w="2160"/>
          </w:tcPr>
          <w:p>
            <w:r>
              <w:t>0.571</w:t>
            </w:r>
          </w:p>
        </w:tc>
        <w:tc>
          <w:tcPr>
            <w:tcW w:type="dxa" w:w="2160"/>
          </w:tcPr>
          <w:p>
            <w:r>
              <w:t>0.568</w:t>
            </w:r>
          </w:p>
        </w:tc>
      </w:tr>
      <w:tr>
        <w:tc>
          <w:tcPr>
            <w:tcW w:type="dxa" w:w="2160"/>
          </w:tcPr>
          <w:p>
            <w:r>
              <w:t>standing</w:t>
            </w:r>
          </w:p>
        </w:tc>
        <w:tc>
          <w:tcPr>
            <w:tcW w:type="dxa" w:w="2160"/>
          </w:tcPr>
          <w:p>
            <w:r>
              <w:t>0.487</w:t>
            </w:r>
          </w:p>
        </w:tc>
        <w:tc>
          <w:tcPr>
            <w:tcW w:type="dxa" w:w="2160"/>
          </w:tcPr>
          <w:p>
            <w:r>
              <w:t>0.468</w:t>
            </w:r>
          </w:p>
        </w:tc>
        <w:tc>
          <w:tcPr>
            <w:tcW w:type="dxa" w:w="2160"/>
          </w:tcPr>
          <w:p>
            <w:r>
              <w:t>0.475</w:t>
            </w:r>
          </w:p>
        </w:tc>
      </w:tr>
      <w:tr>
        <w:tc>
          <w:tcPr>
            <w:tcW w:type="dxa" w:w="2160"/>
          </w:tcPr>
          <w:p>
            <w:r>
              <w:t>walk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0.655</w:t>
            </w:r>
          </w:p>
        </w:tc>
        <w:tc>
          <w:tcPr>
            <w:tcW w:type="dxa" w:w="2160"/>
          </w:tcPr>
          <w:p>
            <w:r>
              <w:t>0.612</w:t>
            </w:r>
          </w:p>
        </w:tc>
      </w:tr>
      <w:tr>
        <w:tc>
          <w:tcPr>
            <w:tcW w:type="dxa" w:w="2160"/>
          </w:tcPr>
          <w:p>
            <w:r>
              <w:t>mAP50 (all)</w:t>
            </w:r>
          </w:p>
        </w:tc>
        <w:tc>
          <w:tcPr>
            <w:tcW w:type="dxa" w:w="2160"/>
          </w:tcPr>
          <w:p>
            <w:r>
              <w:t>0.596</w:t>
            </w:r>
          </w:p>
        </w:tc>
        <w:tc>
          <w:tcPr>
            <w:tcW w:type="dxa" w:w="2160"/>
          </w:tcPr>
          <w:p>
            <w:r>
              <w:t>0.604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