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pPr>
        <w:jc w:val="center"/>
      </w:pPr>
      <w:r>
        <w:rPr>
          <w:i/>
        </w:rPr>
      </w:r>
      <w:r>
        <w:rPr>
          <w:i w:val="0"/>
          <w:sz w:val="24"/>
        </w:rPr>
        <w:t>Zhan Zhang†* and Linlin Gou†</w:t>
      </w:r>
      <w:r>
        <w:rPr>
          <w:i w:val="0"/>
          <w:sz w:val="20"/>
        </w:rPr>
        <w:br/>
        <w:t>School of Biological Science and Technology, Liupanshui Normal University, Liupanshui 553000, China</w:t>
      </w:r>
      <w:r>
        <w:rPr>
          <w:i w:val="0"/>
          <w:sz w:val="20"/>
        </w:rPr>
        <w:br/>
        <w:t>† These authors contributed equally to this work.</w:t>
      </w:r>
      <w:r>
        <w:rPr>
          <w:i w:val="0"/>
          <w:sz w:val="20"/>
        </w:rPr>
        <w:br/>
        <w:t>*Corresponding author: Zhan Zhang, e-mail: 851709772@qq.com</w:t>
      </w:r>
    </w:p>
    <w:p>
      <w:pPr>
        <w:pStyle w:val="Heading1"/>
      </w:pPr>
      <w:r>
        <w:t>Abstract</w:t>
      </w:r>
    </w:p>
    <w:p>
      <w:r>
        <w:rPr>
          <w:i w:val="0"/>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7 W total board power (≈5 W across the compute rails). A two-level generalization analysis—an unseen-sequence stress test and an independent farm dataset—closes the loop by marking out where the framework works and where it does not.</w:t>
      </w:r>
    </w:p>
    <w:p>
      <w:r>
        <w:rPr>
          <w:i/>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≈7 W board power)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Behavior definitions and the annotation protocol follow the original acquisition study [20]; annotation quality was additionally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8"/>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auto" w:w="0"/>
        <w:tblLook w:firstColumn="1" w:firstRow="1" w:lastColumn="0" w:lastRow="0" w:noHBand="0" w:noVBand="1" w:val="04A0"/>
      </w:tblPr>
      <w:tblGrid>
        <w:gridCol w:w="2160"/>
        <w:gridCol w:w="2160"/>
        <w:gridCol w:w="2160"/>
        <w:gridCol w:w="2160"/>
      </w:tblGrid>
      <w:tr>
        <w:tc>
          <w:tcPr>
            <w:tcW w:type="dxa" w:w="1368"/>
          </w:tcPr>
          <w:p>
            <w:r>
              <w:rPr>
                <w:b/>
                <w:sz w:val="18"/>
              </w:rPr>
              <w:t>Class</w:t>
            </w:r>
          </w:p>
        </w:tc>
        <w:tc>
          <w:tcPr>
            <w:tcW w:type="dxa" w:w="4536"/>
          </w:tcPr>
          <w:p>
            <w:r>
              <w:rPr>
                <w:b/>
                <w:sz w:val="18"/>
              </w:rPr>
              <w:t>Ethological definition and management relevance</w:t>
            </w:r>
          </w:p>
        </w:tc>
        <w:tc>
          <w:tcPr>
            <w:tcW w:type="dxa" w:w="1440"/>
          </w:tcPr>
          <w:p>
            <w:r>
              <w:rPr>
                <w:b/>
                <w:sz w:val="18"/>
              </w:rPr>
              <w:t>Instances†</w:t>
            </w:r>
          </w:p>
        </w:tc>
        <w:tc>
          <w:tcPr>
            <w:tcW w:type="dxa" w:w="1584"/>
          </w:tcPr>
          <w:p>
            <w:r>
              <w:rPr>
                <w:b/>
                <w:sz w:val="18"/>
              </w:rPr>
              <w:t>Training images‡</w:t>
            </w:r>
          </w:p>
        </w:tc>
      </w:tr>
      <w:tr>
        <w:tc>
          <w:tcPr>
            <w:tcW w:type="dxa" w:w="1368"/>
          </w:tcPr>
          <w:p>
            <w:r>
              <w:rPr>
                <w:sz w:val="18"/>
              </w:rPr>
              <w:t>active</w:t>
            </w:r>
          </w:p>
        </w:tc>
        <w:tc>
          <w:tcPr>
            <w:tcW w:type="dxa" w:w="4536"/>
          </w:tcPr>
          <w:p>
            <w:r>
              <w:rPr>
                <w:sz w:val="18"/>
              </w:rPr>
              <w:t>High-activity motion: running, jumping (aggregated from low-frequency run/jump classes). Abnormal activity indicates stress or illness.</w:t>
            </w:r>
          </w:p>
        </w:tc>
        <w:tc>
          <w:tcPr>
            <w:tcW w:type="dxa" w:w="1440"/>
          </w:tcPr>
          <w:p>
            <w:r>
              <w:rPr>
                <w:sz w:val="18"/>
              </w:rPr>
              <w:t>259</w:t>
            </w:r>
          </w:p>
        </w:tc>
        <w:tc>
          <w:tcPr>
            <w:tcW w:type="dxa" w:w="1584"/>
          </w:tcPr>
          <w:p>
            <w:r>
              <w:rPr>
                <w:sz w:val="18"/>
              </w:rPr>
              <w:t>167</w:t>
            </w:r>
          </w:p>
        </w:tc>
      </w:tr>
      <w:tr>
        <w:tc>
          <w:tcPr>
            <w:tcW w:type="dxa" w:w="1368"/>
          </w:tcPr>
          <w:p>
            <w:r>
              <w:rPr>
                <w:sz w:val="18"/>
              </w:rPr>
              <w:t>drink</w:t>
            </w:r>
          </w:p>
        </w:tc>
        <w:tc>
          <w:tcPr>
            <w:tcW w:type="dxa" w:w="4536"/>
          </w:tcPr>
          <w:p>
            <w:r>
              <w:rPr>
                <w:sz w:val="18"/>
              </w:rPr>
              <w:t>Head at the nipple drinker with a drinking posture. Water intake anomalies signal digestive/urinary issues.</w:t>
            </w:r>
          </w:p>
        </w:tc>
        <w:tc>
          <w:tcPr>
            <w:tcW w:type="dxa" w:w="1440"/>
          </w:tcPr>
          <w:p>
            <w:r>
              <w:rPr>
                <w:sz w:val="18"/>
              </w:rPr>
              <w:t>211</w:t>
            </w:r>
          </w:p>
        </w:tc>
        <w:tc>
          <w:tcPr>
            <w:tcW w:type="dxa" w:w="1584"/>
          </w:tcPr>
          <w:p>
            <w:r>
              <w:rPr>
                <w:sz w:val="18"/>
              </w:rPr>
              <w:t>147</w:t>
            </w:r>
          </w:p>
        </w:tc>
      </w:tr>
      <w:tr>
        <w:tc>
          <w:tcPr>
            <w:tcW w:type="dxa" w:w="1368"/>
          </w:tcPr>
          <w:p>
            <w:r>
              <w:rPr>
                <w:sz w:val="18"/>
              </w:rPr>
              <w:t>eat</w:t>
            </w:r>
          </w:p>
        </w:tc>
        <w:tc>
          <w:tcPr>
            <w:tcW w:type="dxa" w:w="4536"/>
          </w:tcPr>
          <w:p>
            <w:r>
              <w:rPr>
                <w:sz w:val="18"/>
              </w:rPr>
              <w:t>Head in the feeder with continuous feeding action. Feed intake is a core health/growth indicator.</w:t>
            </w:r>
          </w:p>
        </w:tc>
        <w:tc>
          <w:tcPr>
            <w:tcW w:type="dxa" w:w="1440"/>
          </w:tcPr>
          <w:p>
            <w:r>
              <w:rPr>
                <w:sz w:val="18"/>
              </w:rPr>
              <w:t>980</w:t>
            </w:r>
          </w:p>
        </w:tc>
        <w:tc>
          <w:tcPr>
            <w:tcW w:type="dxa" w:w="1584"/>
          </w:tcPr>
          <w:p>
            <w:r>
              <w:rPr>
                <w:sz w:val="18"/>
              </w:rPr>
              <w:t>577</w:t>
            </w:r>
          </w:p>
        </w:tc>
      </w:tr>
      <w:tr>
        <w:tc>
          <w:tcPr>
            <w:tcW w:type="dxa" w:w="1368"/>
          </w:tcPr>
          <w:p>
            <w:r>
              <w:rPr>
                <w:sz w:val="18"/>
              </w:rPr>
              <w:t>fight</w:t>
            </w:r>
          </w:p>
        </w:tc>
        <w:tc>
          <w:tcPr>
            <w:tcW w:type="dxa" w:w="4536"/>
          </w:tcPr>
          <w:p>
            <w:r>
              <w:rPr>
                <w:sz w:val="18"/>
              </w:rPr>
              <w:t>Agonistic contact: biting, chasing, pushing between two or more pigs. Key welfare-alert behavior, frequent at mixing.</w:t>
            </w:r>
          </w:p>
        </w:tc>
        <w:tc>
          <w:tcPr>
            <w:tcW w:type="dxa" w:w="1440"/>
          </w:tcPr>
          <w:p>
            <w:r>
              <w:rPr>
                <w:sz w:val="18"/>
              </w:rPr>
              <w:t>807</w:t>
            </w:r>
          </w:p>
        </w:tc>
        <w:tc>
          <w:tcPr>
            <w:tcW w:type="dxa" w:w="1584"/>
          </w:tcPr>
          <w:p>
            <w:r>
              <w:rPr>
                <w:sz w:val="18"/>
              </w:rPr>
              <w:t>354</w:t>
            </w:r>
          </w:p>
        </w:tc>
      </w:tr>
      <w:tr>
        <w:tc>
          <w:tcPr>
            <w:tcW w:type="dxa" w:w="1368"/>
          </w:tcPr>
          <w:p>
            <w:r>
              <w:rPr>
                <w:sz w:val="18"/>
              </w:rPr>
              <w:t>investigating</w:t>
            </w:r>
          </w:p>
        </w:tc>
        <w:tc>
          <w:tcPr>
            <w:tcW w:type="dxa" w:w="4536"/>
          </w:tcPr>
          <w:p>
            <w:r>
              <w:rPr>
                <w:sz w:val="18"/>
              </w:rPr>
              <w:t>Exploratory rooting/sniffing of floor, pen, or penmates (non-feeding). Normal exploratory behavior; reflects environmental enrichment.</w:t>
            </w:r>
          </w:p>
        </w:tc>
        <w:tc>
          <w:tcPr>
            <w:tcW w:type="dxa" w:w="1440"/>
          </w:tcPr>
          <w:p>
            <w:r>
              <w:rPr>
                <w:sz w:val="18"/>
              </w:rPr>
              <w:t>4,203</w:t>
            </w:r>
          </w:p>
        </w:tc>
        <w:tc>
          <w:tcPr>
            <w:tcW w:type="dxa" w:w="1584"/>
          </w:tcPr>
          <w:p>
            <w:r>
              <w:rPr>
                <w:sz w:val="18"/>
              </w:rPr>
              <w:t>1,714</w:t>
            </w:r>
          </w:p>
        </w:tc>
      </w:tr>
      <w:tr>
        <w:tc>
          <w:tcPr>
            <w:tcW w:type="dxa" w:w="1368"/>
          </w:tcPr>
          <w:p>
            <w:r>
              <w:rPr>
                <w:sz w:val="18"/>
              </w:rPr>
              <w:t>lying</w:t>
            </w:r>
          </w:p>
        </w:tc>
        <w:tc>
          <w:tcPr>
            <w:tcW w:type="dxa" w:w="4536"/>
          </w:tcPr>
          <w:p>
            <w:r>
              <w:rPr>
                <w:sz w:val="18"/>
              </w:rPr>
              <w:t>Lateral or ventral recumbency, body fully on the ground, at rest. Direct comfort/health indicator.</w:t>
            </w:r>
          </w:p>
        </w:tc>
        <w:tc>
          <w:tcPr>
            <w:tcW w:type="dxa" w:w="1440"/>
          </w:tcPr>
          <w:p>
            <w:r>
              <w:rPr>
                <w:sz w:val="18"/>
              </w:rPr>
              <w:t>2,485</w:t>
            </w:r>
          </w:p>
        </w:tc>
        <w:tc>
          <w:tcPr>
            <w:tcW w:type="dxa" w:w="1584"/>
          </w:tcPr>
          <w:p>
            <w:r>
              <w:rPr>
                <w:sz w:val="18"/>
              </w:rPr>
              <w:t>1,299</w:t>
            </w:r>
          </w:p>
        </w:tc>
      </w:tr>
      <w:tr>
        <w:tc>
          <w:tcPr>
            <w:tcW w:type="dxa" w:w="1368"/>
          </w:tcPr>
          <w:p>
            <w:r>
              <w:rPr>
                <w:sz w:val="18"/>
              </w:rPr>
              <w:t>nose-to-nose</w:t>
            </w:r>
          </w:p>
        </w:tc>
        <w:tc>
          <w:tcPr>
            <w:tcW w:type="dxa" w:w="4536"/>
          </w:tcPr>
          <w:p>
            <w:r>
              <w:rPr>
                <w:sz w:val="18"/>
              </w:rPr>
              <w:t>Two pigs in direct nasal contact without aggression. Social interaction; group-relation indicator.</w:t>
            </w:r>
          </w:p>
        </w:tc>
        <w:tc>
          <w:tcPr>
            <w:tcW w:type="dxa" w:w="1440"/>
          </w:tcPr>
          <w:p>
            <w:r>
              <w:rPr>
                <w:sz w:val="18"/>
              </w:rPr>
              <w:t>358</w:t>
            </w:r>
          </w:p>
        </w:tc>
        <w:tc>
          <w:tcPr>
            <w:tcW w:type="dxa" w:w="1584"/>
          </w:tcPr>
          <w:p>
            <w:r>
              <w:rPr>
                <w:sz w:val="18"/>
              </w:rPr>
              <w:t>181</w:t>
            </w:r>
          </w:p>
        </w:tc>
      </w:tr>
      <w:tr>
        <w:tc>
          <w:tcPr>
            <w:tcW w:type="dxa" w:w="1368"/>
          </w:tcPr>
          <w:p>
            <w:r>
              <w:rPr>
                <w:sz w:val="18"/>
              </w:rPr>
              <w:t>sitting</w:t>
            </w:r>
          </w:p>
        </w:tc>
        <w:tc>
          <w:tcPr>
            <w:tcW w:type="dxa" w:w="4536"/>
          </w:tcPr>
          <w:p>
            <w:r>
              <w:rPr>
                <w:sz w:val="18"/>
              </w:rPr>
              <w:t>Dog-like sitting: forelegs upright, hindquarters on the ground. Occasional posture; may relate to lameness/discomfort.</w:t>
            </w:r>
          </w:p>
        </w:tc>
        <w:tc>
          <w:tcPr>
            <w:tcW w:type="dxa" w:w="1440"/>
          </w:tcPr>
          <w:p>
            <w:r>
              <w:rPr>
                <w:sz w:val="18"/>
              </w:rPr>
              <w:t>144</w:t>
            </w:r>
          </w:p>
        </w:tc>
        <w:tc>
          <w:tcPr>
            <w:tcW w:type="dxa" w:w="1584"/>
          </w:tcPr>
          <w:p>
            <w:r>
              <w:rPr>
                <w:sz w:val="18"/>
              </w:rPr>
              <w:t>104</w:t>
            </w:r>
          </w:p>
        </w:tc>
      </w:tr>
      <w:tr>
        <w:tc>
          <w:tcPr>
            <w:tcW w:type="dxa" w:w="1368"/>
          </w:tcPr>
          <w:p>
            <w:r>
              <w:rPr>
                <w:sz w:val="18"/>
              </w:rPr>
              <w:t>standing</w:t>
            </w:r>
          </w:p>
        </w:tc>
        <w:tc>
          <w:tcPr>
            <w:tcW w:type="dxa" w:w="4536"/>
          </w:tcPr>
          <w:p>
            <w:r>
              <w:rPr>
                <w:sz w:val="18"/>
              </w:rPr>
              <w:t>Upright on four legs with no locomotion. Basic postural behavior.</w:t>
            </w:r>
          </w:p>
        </w:tc>
        <w:tc>
          <w:tcPr>
            <w:tcW w:type="dxa" w:w="1440"/>
          </w:tcPr>
          <w:p>
            <w:r>
              <w:rPr>
                <w:sz w:val="18"/>
              </w:rPr>
              <w:t>1,812</w:t>
            </w:r>
          </w:p>
        </w:tc>
        <w:tc>
          <w:tcPr>
            <w:tcW w:type="dxa" w:w="1584"/>
          </w:tcPr>
          <w:p>
            <w:r>
              <w:rPr>
                <w:sz w:val="18"/>
              </w:rPr>
              <w:t>986</w:t>
            </w:r>
          </w:p>
        </w:tc>
      </w:tr>
      <w:tr>
        <w:tc>
          <w:tcPr>
            <w:tcW w:type="dxa" w:w="1368"/>
          </w:tcPr>
          <w:p>
            <w:r>
              <w:rPr>
                <w:sz w:val="18"/>
              </w:rPr>
              <w:t>walk</w:t>
            </w:r>
          </w:p>
        </w:tc>
        <w:tc>
          <w:tcPr>
            <w:tcW w:type="dxa" w:w="4536"/>
          </w:tcPr>
          <w:p>
            <w:r>
              <w:rPr>
                <w:sz w:val="18"/>
              </w:rPr>
              <w:t>Quadrupedal locomotion excluding running. Component of daily activity budget.</w:t>
            </w:r>
          </w:p>
        </w:tc>
        <w:tc>
          <w:tcPr>
            <w:tcW w:type="dxa" w:w="1440"/>
          </w:tcPr>
          <w:p>
            <w:r>
              <w:rPr>
                <w:sz w:val="18"/>
              </w:rPr>
              <w:t>2,736</w:t>
            </w:r>
          </w:p>
        </w:tc>
        <w:tc>
          <w:tcPr>
            <w:tcW w:type="dxa" w:w="1584"/>
          </w:tcPr>
          <w:p>
            <w:r>
              <w:rPr>
                <w:sz w:val="18"/>
              </w:rP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t>Table 2. Sensitivity to the duplication cap. The largest factor actually used in this dataset is 4 (sitting), so caps 4 and 5 coincide; cap 3 underexposes sitting and costs 2.6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Cap</w:t>
            </w:r>
          </w:p>
        </w:tc>
        <w:tc>
          <w:tcPr>
            <w:tcW w:type="dxa" w:w="2160"/>
          </w:tcPr>
          <w:p>
            <w:r>
              <w:t>val mAP50</w:t>
            </w:r>
          </w:p>
        </w:tc>
        <w:tc>
          <w:tcPr>
            <w:tcW w:type="dxa" w:w="2160"/>
          </w:tcPr>
          <w:p>
            <w:r>
              <w:t>test mAP50</w:t>
            </w:r>
          </w:p>
        </w:tc>
        <w:tc>
          <w:tcPr>
            <w:tcW w:type="dxa" w:w="2160"/>
          </w:tcPr>
          <w:p>
            <w:r>
              <w:t>Train size</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Fig. 2 Architecture of the proposed model and the FasterNet block. Only P3–P5 backbone stages are substituted; the head is kept intact so that pre-trained weights transfer</w:t>
      </w: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Modification</w:t>
            </w:r>
          </w:p>
        </w:tc>
        <w:tc>
          <w:tcPr>
            <w:tcW w:type="dxa" w:w="1440"/>
          </w:tcPr>
          <w:p>
            <w:r>
              <w:t>mAP50</w:t>
            </w:r>
          </w:p>
        </w:tc>
        <w:tc>
          <w:tcPr>
            <w:tcW w:type="dxa" w:w="1440"/>
          </w:tcPr>
          <w:p>
            <w:r>
              <w:t>mAP50-95</w:t>
            </w:r>
          </w:p>
        </w:tc>
        <w:tc>
          <w:tcPr>
            <w:tcW w:type="dxa" w:w="1440"/>
          </w:tcPr>
          <w:p>
            <w:r>
              <w:t>Params</w:t>
            </w:r>
          </w:p>
        </w:tc>
        <w:tc>
          <w:tcPr>
            <w:tcW w:type="dxa" w:w="1440"/>
          </w:tcPr>
          <w:p>
            <w:r>
              <w:t>Status</w:t>
            </w:r>
          </w:p>
        </w:tc>
      </w:tr>
      <w:tr>
        <w:tc>
          <w:tcPr>
            <w:tcW w:type="dxa" w:w="1440"/>
          </w:tcPr>
          <w:p>
            <w:r>
              <w:t>Baseline</w:t>
            </w:r>
          </w:p>
        </w:tc>
        <w:tc>
          <w:tcPr>
            <w:tcW w:type="dxa" w:w="1440"/>
          </w:tcPr>
          <w:p>
            <w:r>
              <w:t>YOLOv11n, unmodified</w:t>
            </w:r>
          </w:p>
        </w:tc>
        <w:tc>
          <w:tcPr>
            <w:tcW w:type="dxa" w:w="1440"/>
          </w:tcPr>
          <w:p>
            <w:r>
              <w:t>0.5964</w:t>
            </w:r>
          </w:p>
        </w:tc>
        <w:tc>
          <w:tcPr>
            <w:tcW w:type="dxa" w:w="1440"/>
          </w:tcPr>
          <w:p>
            <w:r>
              <w:t>0.4328</w:t>
            </w:r>
          </w:p>
        </w:tc>
        <w:tc>
          <w:tcPr>
            <w:tcW w:type="dxa" w:w="1440"/>
          </w:tcPr>
          <w:p>
            <w:r>
              <w:t>2.58M</w:t>
            </w:r>
          </w:p>
        </w:tc>
        <w:tc>
          <w:tcPr>
            <w:tcW w:type="dxa" w:w="1440"/>
          </w:tcPr>
          <w:p>
            <w:r>
              <w:t>anchor</w:t>
            </w:r>
          </w:p>
        </w:tc>
      </w:tr>
      <w:tr>
        <w:tc>
          <w:tcPr>
            <w:tcW w:type="dxa" w:w="1440"/>
          </w:tcPr>
          <w:p>
            <w:r>
              <w:t>M4</w:t>
            </w:r>
          </w:p>
        </w:tc>
        <w:tc>
          <w:tcPr>
            <w:tcW w:type="dxa" w:w="1440"/>
          </w:tcPr>
          <w:p>
            <w:r>
              <w:t>+ imbalance-aware sampling (cap 4)</w:t>
            </w:r>
          </w:p>
        </w:tc>
        <w:tc>
          <w:tcPr>
            <w:tcW w:type="dxa" w:w="1440"/>
          </w:tcPr>
          <w:p>
            <w:r>
              <w:t>0.6035</w:t>
            </w:r>
          </w:p>
        </w:tc>
        <w:tc>
          <w:tcPr>
            <w:tcW w:type="dxa" w:w="1440"/>
          </w:tcPr>
          <w:p>
            <w:r>
              <w:t>0.4379</w:t>
            </w:r>
          </w:p>
        </w:tc>
        <w:tc>
          <w:tcPr>
            <w:tcW w:type="dxa" w:w="1440"/>
          </w:tcPr>
          <w:p>
            <w:r>
              <w:t>2.58M</w:t>
            </w:r>
          </w:p>
        </w:tc>
        <w:tc>
          <w:tcPr>
            <w:tcW w:type="dxa" w:w="1440"/>
          </w:tcPr>
          <w:p>
            <w:r>
              <w:t>adopted</w:t>
            </w:r>
          </w:p>
        </w:tc>
      </w:tr>
      <w:tr>
        <w:tc>
          <w:tcPr>
            <w:tcW w:type="dxa" w:w="1440"/>
          </w:tcPr>
          <w:p>
            <w:r>
              <w:t>M3</w:t>
            </w:r>
          </w:p>
        </w:tc>
        <w:tc>
          <w:tcPr>
            <w:tcW w:type="dxa" w:w="1440"/>
          </w:tcPr>
          <w:p>
            <w:r>
              <w:t>FasterNet backbone only</w:t>
            </w:r>
          </w:p>
        </w:tc>
        <w:tc>
          <w:tcPr>
            <w:tcW w:type="dxa" w:w="1440"/>
          </w:tcPr>
          <w:p>
            <w:r>
              <w:t>0.5691</w:t>
            </w:r>
          </w:p>
        </w:tc>
        <w:tc>
          <w:tcPr>
            <w:tcW w:type="dxa" w:w="1440"/>
          </w:tcPr>
          <w:p>
            <w:r>
              <w:t>0.4009</w:t>
            </w:r>
          </w:p>
        </w:tc>
        <w:tc>
          <w:tcPr>
            <w:tcW w:type="dxa" w:w="1440"/>
          </w:tcPr>
          <w:p>
            <w:r>
              <w:t>2.47M</w:t>
            </w:r>
          </w:p>
        </w:tc>
        <w:tc>
          <w:tcPr>
            <w:tcW w:type="dxa" w:w="1440"/>
          </w:tcPr>
          <w:p>
            <w:r>
              <w:t>context</w:t>
            </w:r>
          </w:p>
        </w:tc>
      </w:tr>
      <w:tr>
        <w:tc>
          <w:tcPr>
            <w:tcW w:type="dxa" w:w="1440"/>
          </w:tcPr>
          <w:p>
            <w:r>
              <w:t>M5</w:t>
            </w:r>
          </w:p>
        </w:tc>
        <w:tc>
          <w:tcPr>
            <w:tcW w:type="dxa" w:w="1440"/>
          </w:tcPr>
          <w:p>
            <w:r>
              <w:t>M3 + M4 (final lightweight model)</w:t>
            </w:r>
          </w:p>
        </w:tc>
        <w:tc>
          <w:tcPr>
            <w:tcW w:type="dxa" w:w="1440"/>
          </w:tcPr>
          <w:p>
            <w:r>
              <w:t>0.5932</w:t>
            </w:r>
          </w:p>
        </w:tc>
        <w:tc>
          <w:tcPr>
            <w:tcW w:type="dxa" w:w="1440"/>
          </w:tcPr>
          <w:p>
            <w:r>
              <w:t>0.4300</w:t>
            </w:r>
          </w:p>
        </w:tc>
        <w:tc>
          <w:tcPr>
            <w:tcW w:type="dxa" w:w="1440"/>
          </w:tcPr>
          <w:p>
            <w:r>
              <w:t>2.47M</w:t>
            </w:r>
          </w:p>
        </w:tc>
        <w:tc>
          <w:tcPr>
            <w:tcW w:type="dxa" w:w="1440"/>
          </w:tcPr>
          <w:p>
            <w:r>
              <w:t>adopted</w:t>
            </w:r>
          </w:p>
        </w:tc>
      </w:tr>
      <w:tr>
        <w:tc>
          <w:tcPr>
            <w:tcW w:type="dxa" w:w="1440"/>
          </w:tcPr>
          <w:p>
            <w:r>
              <w:t>M1</w:t>
            </w:r>
          </w:p>
        </w:tc>
        <w:tc>
          <w:tcPr>
            <w:tcW w:type="dxa" w:w="1440"/>
          </w:tcPr>
          <w:p>
            <w:r>
              <w:t>+ EMA attention @ backbone end</w:t>
            </w:r>
          </w:p>
        </w:tc>
        <w:tc>
          <w:tcPr>
            <w:tcW w:type="dxa" w:w="1440"/>
          </w:tcPr>
          <w:p>
            <w:r>
              <w:t>0.5411*</w:t>
            </w:r>
          </w:p>
        </w:tc>
        <w:tc>
          <w:tcPr>
            <w:tcW w:type="dxa" w:w="1440"/>
          </w:tcPr>
          <w:p>
            <w:r>
              <w:t>0.3915*</w:t>
            </w:r>
          </w:p>
        </w:tc>
        <w:tc>
          <w:tcPr>
            <w:tcW w:type="dxa" w:w="1440"/>
          </w:tcPr>
          <w:p>
            <w:r>
              <w:t>—</w:t>
            </w:r>
          </w:p>
        </w:tc>
        <w:tc>
          <w:tcPr>
            <w:tcW w:type="dxa" w:w="1440"/>
          </w:tcPr>
          <w:p>
            <w:r>
              <w:t>rejected (−2.95)</w:t>
            </w:r>
          </w:p>
        </w:tc>
      </w:tr>
      <w:tr>
        <w:tc>
          <w:tcPr>
            <w:tcW w:type="dxa" w:w="1440"/>
          </w:tcPr>
          <w:p>
            <w:r>
              <w:t>M2</w:t>
            </w:r>
          </w:p>
        </w:tc>
        <w:tc>
          <w:tcPr>
            <w:tcW w:type="dxa" w:w="1440"/>
          </w:tcPr>
          <w:p>
            <w:r>
              <w:t>+ EMAR residual attention @ neck</w:t>
            </w:r>
          </w:p>
        </w:tc>
        <w:tc>
          <w:tcPr>
            <w:tcW w:type="dxa" w:w="1440"/>
          </w:tcPr>
          <w:p>
            <w:r>
              <w:t>0.4988*</w:t>
            </w:r>
          </w:p>
        </w:tc>
        <w:tc>
          <w:tcPr>
            <w:tcW w:type="dxa" w:w="1440"/>
          </w:tcPr>
          <w:p>
            <w:r>
              <w:t>0.3534*</w:t>
            </w:r>
          </w:p>
        </w:tc>
        <w:tc>
          <w:tcPr>
            <w:tcW w:type="dxa" w:w="1440"/>
          </w:tcPr>
          <w:p>
            <w:r>
              <w:t>—</w:t>
            </w:r>
          </w:p>
        </w:tc>
        <w:tc>
          <w:tcPr>
            <w:tcW w:type="dxa" w:w="1440"/>
          </w:tcPr>
          <w:p>
            <w:r>
              <w:t>rejected (−7.2)</w:t>
            </w:r>
          </w:p>
        </w:tc>
      </w:tr>
      <w:tr>
        <w:tc>
          <w:tcPr>
            <w:tcW w:type="dxa" w:w="1440"/>
          </w:tcPr>
          <w:p>
            <w:r>
              <w:t>M6</w:t>
            </w:r>
          </w:p>
        </w:tc>
        <w:tc>
          <w:tcPr>
            <w:tcW w:type="dxa" w:w="1440"/>
          </w:tcPr>
          <w:p>
            <w:r>
              <w:t>M4 sampling on YOLOv12n base</w:t>
            </w:r>
          </w:p>
        </w:tc>
        <w:tc>
          <w:tcPr>
            <w:tcW w:type="dxa" w:w="1440"/>
          </w:tcPr>
          <w:p>
            <w:r>
              <w:t>0.5994</w:t>
            </w:r>
          </w:p>
        </w:tc>
        <w:tc>
          <w:tcPr>
            <w:tcW w:type="dxa" w:w="1440"/>
          </w:tcPr>
          <w:p>
            <w:r>
              <w:t>0.4321</w:t>
            </w:r>
          </w:p>
        </w:tc>
        <w:tc>
          <w:tcPr>
            <w:tcW w:type="dxa" w:w="1440"/>
          </w:tcPr>
          <w:p>
            <w:r>
              <w:t>2.56M</w:t>
            </w:r>
          </w:p>
        </w:tc>
        <w:tc>
          <w:tcPr>
            <w:tcW w:type="dxa" w:w="1440"/>
          </w:tcPr>
          <w:p>
            <w:r>
              <w:t>negative control</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t>Table 4. Comparison with mainstream detectors under the identical protocol, sorted by test mAP50. All models trained from their official pre-trained weights.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test mAP50</w:t>
            </w:r>
          </w:p>
        </w:tc>
        <w:tc>
          <w:tcPr>
            <w:tcW w:type="dxa" w:w="1728"/>
          </w:tcPr>
          <w:p>
            <w:r>
              <w:t>test mAP50-95</w:t>
            </w:r>
          </w:p>
        </w:tc>
        <w:tc>
          <w:tcPr>
            <w:tcW w:type="dxa" w:w="1728"/>
          </w:tcPr>
          <w:p>
            <w:r>
              <w:t>Params</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 (ours)</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Baseline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 (ours)</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r>
        <w:t xml:space="preserve"> Precision–recall curves for the deployment pair are provided in Fig. S1.</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Params</w:t>
            </w:r>
          </w:p>
        </w:tc>
        <w:tc>
          <w:tcPr>
            <w:tcW w:type="dxa" w:w="2160"/>
          </w:tcPr>
          <w:p>
            <w:r>
              <w:t>GFLOPs</w:t>
            </w:r>
          </w:p>
        </w:tc>
        <w:tc>
          <w:tcPr>
            <w:tcW w:type="dxa" w:w="2160"/>
          </w:tcPr>
          <w:p>
            <w:r>
              <w:t>FPS (RTX 3090)</w:t>
            </w:r>
          </w:p>
        </w:tc>
      </w:tr>
      <w:tr>
        <w:tc>
          <w:tcPr>
            <w:tcW w:type="dxa" w:w="2160"/>
          </w:tcPr>
          <w:p>
            <w:r>
              <w:t>M5 (ours)</w:t>
            </w:r>
          </w:p>
        </w:tc>
        <w:tc>
          <w:tcPr>
            <w:tcW w:type="dxa" w:w="2160"/>
          </w:tcPr>
          <w:p>
            <w:r>
              <w:t>2.47M</w:t>
            </w:r>
          </w:p>
        </w:tc>
        <w:tc>
          <w:tcPr>
            <w:tcW w:type="dxa" w:w="2160"/>
          </w:tcPr>
          <w:p>
            <w:r>
              <w:t>6.5G</w:t>
            </w:r>
          </w:p>
        </w:tc>
        <w:tc>
          <w:tcPr>
            <w:tcW w:type="dxa" w:w="2160"/>
          </w:tcPr>
          <w:p>
            <w:r>
              <w:t>117.6</w:t>
            </w:r>
          </w:p>
        </w:tc>
      </w:tr>
      <w:tr>
        <w:tc>
          <w:tcPr>
            <w:tcW w:type="dxa" w:w="2160"/>
          </w:tcPr>
          <w:p>
            <w:r>
              <w:t>Baseline (YOLOv11n)</w:t>
            </w:r>
          </w:p>
        </w:tc>
        <w:tc>
          <w:tcPr>
            <w:tcW w:type="dxa" w:w="2160"/>
          </w:tcPr>
          <w:p>
            <w:r>
              <w:t>2.58M</w:t>
            </w:r>
          </w:p>
        </w:tc>
        <w:tc>
          <w:tcPr>
            <w:tcW w:type="dxa" w:w="2160"/>
          </w:tcPr>
          <w:p>
            <w:r>
              <w:t>6.3G</w:t>
            </w:r>
          </w:p>
        </w:tc>
        <w:tc>
          <w:tcPr>
            <w:tcW w:type="dxa" w:w="2160"/>
          </w:tcPr>
          <w:p>
            <w:r>
              <w:t>112.8</w:t>
            </w:r>
          </w:p>
        </w:tc>
      </w:tr>
      <w:tr>
        <w:tc>
          <w:tcPr>
            <w:tcW w:type="dxa" w:w="2160"/>
          </w:tcPr>
          <w:p>
            <w:r>
              <w:t>M4 (ours)</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5669280" cy="3398700"/>
                    </a:xfrm>
                    <a:prstGeom prst="rect"/>
                  </pic:spPr>
                </pic:pic>
              </a:graphicData>
            </a:graphic>
          </wp:inline>
        </w:drawing>
      </w:r>
    </w:p>
    <w:p>
      <w:pPr>
        <w:jc w:val="center"/>
      </w:pPr>
      <w: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r>
        <w:drawing>
          <wp:inline xmlns:a="http://schemas.openxmlformats.org/drawingml/2006/main" xmlns:pic="http://schemas.openxmlformats.org/drawingml/2006/picture">
            <wp:extent cx="5669280" cy="1406769"/>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5669280" cy="1889760"/>
                    </a:xfrm>
                    <a:prstGeom prst="rect"/>
                  </pic:spPr>
                </pic:pic>
              </a:graphicData>
            </a:graphic>
          </wp:inline>
        </w:drawing>
      </w:r>
    </w:p>
    <w:p>
      <w:pPr>
        <w:jc w:val="center"/>
      </w:pPr>
      <w:r>
        <w:rPr>
          <w:sz w:val="18"/>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4937760" cy="3703320"/>
                    </a:xfrm>
                    <a:prstGeom prst="rect"/>
                  </pic:spPr>
                </pic:pic>
              </a:graphicData>
            </a:graphic>
          </wp:inline>
        </w:drawing>
      </w:r>
    </w:p>
    <w:p>
      <w:pPr>
        <w:jc w:val="center"/>
      </w:pPr>
      <w: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≈7 W under sustained load (rail-level breakdown below).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5669280" cy="2321205"/>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5669280" cy="2321205"/>
                    </a:xfrm>
                    <a:prstGeom prst="rect"/>
                  </pic:spPr>
                </pic:pic>
              </a:graphicData>
            </a:graphic>
          </wp:inline>
        </w:drawing>
      </w:r>
    </w:p>
    <w:p>
      <w:pPr>
        <w:jc w:val="center"/>
      </w:pPr>
      <w: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r>
        <w:t>Three further measurements delimit the real-time claim. First, the latency budget decomposes cleanly at 640×640: host-to-device transfer costs 0.48 ms, GPU compute 49.6 ms, and device-to-host 0.06 ms—and the engine is therefore not the bottleneck to watch. The CPU side is: a pure-Python pre/post pipeline would exceed the GPU time (JPEG decode and resize cost 17.1 ms from a 640×640 source and 107.9 ms from a 1080p source; normalize and layout conversion cost 6.8 ms in optimized C; NMS over ≈370 candidates costs 0.5 ms), and TensorRT enqueue overhead adds 9.5–10.4 ms, so production pipelines should implement pre/post-processing in C or CUDA. Second, sustained operation is stable: over 12,000 consecutive inferences (10.7 min), throughput held at 20.0 FPS with a 99th-percentile latency of 51.3 ms, GPU temperature peaked at 55.5 °C, and no thermal-throttling event or clock drop occurred. Third, rail-level measurements (INA3221) show 3.4 W at idle and ≈7.0 W total board input under sustained load, of which ≈5.0 W falls on the GPU and CPU rails—this is the figure headlined above.</w:t>
      </w:r>
      <w:r>
        <w:t xml:space="preserve"> The full breakdown and the sustained-operation timeline are visualized in Figs. S2 and S3.</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t>Table 6. Sequence-disjoint stress test. All models degrade sharply relative to the random split; M4 doubles baseline validation accuracy but no model closes the unseen-sequence gap.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val mAP50 (mixed, harder)</w:t>
            </w:r>
          </w:p>
        </w:tc>
        <w:tc>
          <w:tcPr>
            <w:tcW w:type="dxa" w:w="2880"/>
          </w:tcPr>
          <w:p>
            <w:r>
              <w:t>test mAP50 (unseen sequences)</w:t>
            </w:r>
          </w:p>
        </w:tc>
      </w:tr>
      <w:tr>
        <w:tc>
          <w:tcPr>
            <w:tcW w:type="dxa" w:w="2880"/>
          </w:tcPr>
          <w:p>
            <w:r>
              <w:t>Baseline</w:t>
            </w:r>
          </w:p>
        </w:tc>
        <w:tc>
          <w:tcPr>
            <w:tcW w:type="dxa" w:w="2880"/>
          </w:tcPr>
          <w:p>
            <w:r>
              <w:t>0.075</w:t>
            </w:r>
          </w:p>
        </w:tc>
        <w:tc>
          <w:tcPr>
            <w:tcW w:type="dxa" w:w="2880"/>
          </w:tcPr>
          <w:p>
            <w:r>
              <w:t>0.155</w:t>
            </w:r>
          </w:p>
        </w:tc>
      </w:tr>
      <w:tr>
        <w:tc>
          <w:tcPr>
            <w:tcW w:type="dxa" w:w="2880"/>
          </w:tcPr>
          <w:p>
            <w:r>
              <w:t>M4 (sampling)</w:t>
            </w:r>
          </w:p>
        </w:tc>
        <w:tc>
          <w:tcPr>
            <w:tcW w:type="dxa" w:w="2880"/>
          </w:tcPr>
          <w:p>
            <w:r>
              <w:t>0.139</w:t>
            </w:r>
          </w:p>
        </w:tc>
        <w:tc>
          <w:tcPr>
            <w:tcW w:type="dxa" w:w="2880"/>
          </w:tcPr>
          <w:p>
            <w:r>
              <w:t>0.145</w:t>
            </w:r>
          </w:p>
        </w:tc>
      </w:tr>
      <w:tr>
        <w:tc>
          <w:tcPr>
            <w:tcW w:type="dxa" w:w="2880"/>
          </w:tcPr>
          <w:p>
            <w:r>
              <w:t>M5 (combined)</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566160" cy="6583680"/>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5669280" cy="3052325"/>
                    </a:xfrm>
                    <a:prstGeom prst="rect"/>
                  </pic:spPr>
                </pic:pic>
              </a:graphicData>
            </a:graphic>
          </wp:inline>
        </w:drawing>
      </w:r>
    </w:p>
    <w:p>
      <w:pPr>
        <w:jc w:val="center"/>
      </w:pPr>
      <w: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mAP50</w:t>
            </w:r>
          </w:p>
        </w:tc>
        <w:tc>
          <w:tcPr>
            <w:tcW w:type="dxa" w:w="1728"/>
          </w:tcPr>
          <w:p>
            <w:r>
              <w:t>mAP50-95</w:t>
            </w:r>
          </w:p>
        </w:tc>
        <w:tc>
          <w:tcPr>
            <w:tcW w:type="dxa" w:w="1728"/>
          </w:tcPr>
          <w:p>
            <w:r>
              <w:t>Precision</w:t>
            </w:r>
          </w:p>
        </w:tc>
        <w:tc>
          <w:tcPr>
            <w:tcW w:type="dxa" w:w="1728"/>
          </w:tcPr>
          <w:p>
            <w:r>
              <w:t>Recall</w:t>
            </w:r>
          </w:p>
        </w:tc>
      </w:tr>
      <w:tr>
        <w:tc>
          <w:tcPr>
            <w:tcW w:type="dxa" w:w="1728"/>
          </w:tcPr>
          <w:p>
            <w:r>
              <w:t>Baseline</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 (FasterNet)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 (sampling)</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 (combined)</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On the alert side, per-frame labels aggregate naturally into pen-level statistics—fight frequency, lying-time share, drink-visit counts—over which simple threshold rules can raise welfare alerts; tuning those thresholds is farm-specific and belongs to deployment work.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7 W total power.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Z.Z. and L.G. contributed equally to this work: conceptualization, methodology, software, validation, formal analysis, investigation, data curation, writing—original draft, writing—review and editing, and visualization.</w:t>
      </w:r>
    </w:p>
    <w:p>
      <w:r>
        <w:rPr>
          <w:i w:val="0"/>
        </w:rPr>
        <w:t>Funding: The authors received no specific funding for this work.</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r>
        <w:t>[27] Luo, Y., Lin, K., Xiao, Z., et al.: PBR-YOLO: a lightweight piglet multi-behavior recognition algorithm based on improved YOLOv8. Smart Agric. Technol. 10, 100785 (2025). https://doi.org/10.1016/j.atech.2025.100785</w:t>
      </w:r>
    </w:p>
    <w:p>
      <w:r>
        <w:t>[28] Rahman, M., Souza, V.H.S., Brown-Brandl, T.M., et al.: Accelerating sow nursing behavior monitoring with modified YOLO11n architecture and TensorRT integration. Porcine Health Manag. (2026). https://doi.org/10.1186/s40813-026-00507-3</w:t>
      </w:r>
    </w:p>
    <w:p>
      <w:r>
        <w:t>[29] Yaman, B., Mahmud, T., Liu, C.H.: Instance-aware repeat factor sampling for long-tailed object detection. arXiv preprint arXiv:2305.08069 (2023)</w:t>
      </w:r>
    </w:p>
    <w:p>
      <w:r>
        <w:t>[30] Crasto, N.: Class imbalance in object detection: an experimental diagnosis and study of mitigation strategies. arXiv preprint arXiv:2403.07113 (2024)</w:t>
      </w:r>
    </w:p>
    <w:p>
      <w:r>
        <w:t>[31] Guo, A., Sun, K., Zhang, Z.: A lightweight YOLOv8 integrating FasterNet for real-time underwater object detection. J. Real-Time Image Process. 21(2), 49 (2024). https://doi.org/10.1007/s11554-024-01431-x</w:t>
      </w:r>
    </w:p>
    <w:p>
      <w:r>
        <w:t>[32] Qin, C., Zhou, Z.: YOLO-FGD: a fast lightweight PCB defect method based on FasterNet and the Gather-and-Distribute mechanism. J. Real-Time Image Process. 21(4), 122 (2024). https://doi.org/10.1007/s11554-024-01504-x</w:t>
      </w:r>
    </w:p>
    <w:p>
      <w:r>
        <w:t>[33] Luo, Y., Lin, K., Xiao, Z., et al.: Collaborative optimization of model pruning and knowledge distillation for efficient and lightweight multi-behavior recognition in piglets. Animals 15(11), 1563 (2025). https://doi.org/10.3390/ani15111563</w:t>
      </w:r>
    </w:p>
    <w:p>
      <w:r>
        <w:rPr>
          <w:sz w:val="18"/>
        </w:rPr>
        <w:t>Zhan Zhang is a third-year undergraduate student majoring in Animal Science at the School of Biological Science and Technology, Liupanshui Normal University, Liupanshui, China. Research interests include computer vision, edge computing, and their applications to precision livestock farming. This is a first peer-reviewed publication.</w:t>
      </w:r>
    </w:p>
    <w:p>
      <w:r>
        <w:rPr>
          <w:sz w:val="18"/>
        </w:rPr>
        <w:t>Linlin Gou is an undergraduate student at the School of Biological Science and Technology, Liupanshui Normal University, Liupanshui, China. Research interests include animal science and applied machine learning.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