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Real-Time Multi-Behavior Detection of Group-Housed Pigs on Edge Devices: Class-Imbalance-Aware Sampling and a Lightweight FasterNet Backbone</w:t>
      </w:r>
    </w:p>
    <w:p>
      <w:pPr>
        <w:spacing w:line="480" w:lineRule="auto"/>
        <w:jc w:val="center"/>
      </w:pPr>
      <w:r>
        <w:rPr>
          <w:i/>
        </w:rPr>
      </w:r>
      <w:r>
        <w:rPr>
          <w:i w:val="0"/>
          <w:sz w:val="24"/>
        </w:rPr>
        <w:t>Zhan Zhang†* and Linlin Gou†</w:t>
      </w:r>
      <w:r>
        <w:rPr>
          <w:i w:val="0"/>
          <w:sz w:val="20"/>
        </w:rPr>
        <w:br/>
        <w:t>School of Biological Science and Technology, Liupanshui Normal University, Liupanshui 553000, China</w:t>
      </w:r>
      <w:r>
        <w:rPr>
          <w:i w:val="0"/>
          <w:sz w:val="20"/>
        </w:rPr>
        <w:br/>
        <w:t>† These authors contributed equally to this work.</w:t>
      </w:r>
      <w:r>
        <w:rPr>
          <w:i w:val="0"/>
          <w:sz w:val="20"/>
        </w:rPr>
        <w:br/>
        <w:t>*Corresponding author: Zhan Zhang, e-mail: 851709772@qq.com</w:t>
      </w:r>
    </w:p>
    <w:p>
      <w:pPr>
        <w:pStyle w:val="Heading1"/>
        <w:spacing w:line="480" w:lineRule="auto"/>
      </w:pPr>
      <w:r>
        <w:t>Abstract</w:t>
      </w:r>
    </w:p>
    <w:p>
      <w:pPr>
        <w:spacing w:line="480" w:lineRule="auto"/>
      </w:pPr>
      <w:r>
        <w:rPr>
          <w:i w:val="0"/>
        </w:rPr>
        <w:t>Automated monitoring of group-housed pigs calls for detectors that are accurate on rare, welfare-relevant behaviors yet fast enough for low-cost edge hardware. We built a real-time multi-behavior detection framework on YOLOv11n and validated it on a Jetson Nano, and three design choices carry the result.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substitution—paired with an identity-preserving integration strategy that transfers pre-trained weights by index-aligned remapping—cuts parameters by 4.4% while keeping accuracy statistically comparable to the baseline across three repeated runs (test mean average precision at IoU 0.5 (mAP50) of 0.590 ± 0.009 vs. a three-seed baseline of 0.606 ± 0.008); it is also, unexpectedly, the fastest model we benchmarked (117.6 frames per second (FPS) on an RTX 3090). Third, on-device validation on the Nano confirms real-time operation (19.7 FPS at 640×640; 33.3 FPS at 480×480) at roughly 7 W total board power (≈5 W across the compute rails). A two-level generalization analysis—an unseen-sequence stress test and an independent farm dataset—closes the loop by marking out where the framework works and where it does not.</w:t>
      </w:r>
    </w:p>
    <w:p>
      <w:pPr>
        <w:spacing w:line="480" w:lineRule="auto"/>
      </w:pPr>
      <w:r>
        <w:rPr>
          <w:i/>
        </w:rPr>
        <w:t>Keywords: pig behavior detection; class imbalance; FasterNet; edge computing; Jetson Nano; precision livestock farming</w:t>
      </w:r>
    </w:p>
    <w:p>
      <w:pPr>
        <w:pStyle w:val="Heading1"/>
        <w:spacing w:line="480" w:lineRule="auto"/>
      </w:pPr>
      <w:r>
        <w:t>1. Introduction</w:t>
      </w:r>
    </w:p>
    <w:p>
      <w:pPr>
        <w:spacing w:line="480" w:lineRule="auto"/>
      </w:pPr>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(Canario et al. 2020; Peden et al. 2018). Departures from normal behavioral patterns are often the earliest visible signs of stress or disease, which makes continuous behavior monitoring one of the most practical instruments of precision livestock farming (PLF) (Berckmans 2017). Manual inspection cannot scale to commercial herds, so camera-based, non-contact monitoring has become the default approach.</w:t>
      </w:r>
    </w:p>
    <w:p>
      <w:pPr>
        <w:spacing w:line="480" w:lineRule="auto"/>
      </w:pPr>
      <w:r>
        <w:rPr>
          <w:i w:val="0"/>
        </w:rPr>
        <w:t>For such monitoring to pay off,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too: an alert about a fight that arrives minutes late is of little use. The engineering trend therefore runs in one direction—bring the detector to the data, not the other way around.</w:t>
      </w:r>
    </w:p>
    <w:p>
      <w:pPr>
        <w:spacing w:line="480" w:lineRule="auto"/>
      </w:pPr>
      <w:r>
        <w:rPr>
          <w:i w:val="0"/>
        </w:rPr>
        <w:t>YOLO-family detectors (Redmon et al. 2016)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pPr>
        <w:spacing w:line="480" w:lineRule="auto"/>
      </w:pPr>
      <w:r>
        <w:rPr>
          <w:i w:val="0"/>
        </w:rPr>
        <w:t>We target these three gaps with a framework that combines data-level re-balancing, a lightweight backbone, and on-device validation. Our contributions are:</w:t>
      </w:r>
    </w:p>
    <w:p>
      <w:pPr>
        <w:spacing w:line="480" w:lineRule="auto"/>
      </w:pPr>
      <w:r>
        <w:rPr>
          <w:i w:val="0"/>
        </w:rPr>
        <w:t>(1) A class-imbalance-aware sampling strategy (frequency-capped offline oversampling) that improves rare-behavior detection without modifying the network or the loss, together with a sensitivity analysis over the duplication cap.</w:t>
      </w:r>
    </w:p>
    <w:p>
      <w:pPr>
        <w:spacing w:line="480" w:lineRule="auto"/>
      </w:pPr>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pPr>
        <w:spacing w:line="480" w:lineRule="auto"/>
      </w:pPr>
      <w:r>
        <w:rPr>
          <w:i w:val="0"/>
        </w:rPr>
        <w:t>(3) A deployment validation on Jetson Nano (19.7–33.3 FPS at ≈7 W board power) and a two-level generalization analysis (unseen sequences; an independent farm dataset) that delimit the operating envelope of the framework.</w:t>
      </w:r>
    </w:p>
    <w:p>
      <w:pPr>
        <w:pStyle w:val="Heading1"/>
        <w:spacing w:line="480" w:lineRule="auto"/>
      </w:pPr>
      <w:r>
        <w:t>2. Related Work</w:t>
      </w:r>
    </w:p>
    <w:p>
      <w:pPr>
        <w:pStyle w:val="Heading2"/>
        <w:spacing w:line="480" w:lineRule="auto"/>
      </w:pPr>
      <w:r>
        <w:t>2.1 Vision-Based Livestock Behavior Detection</w:t>
      </w:r>
    </w:p>
    <w:p>
      <w:pPr>
        <w:spacing w:line="480" w:lineRule="auto"/>
      </w:pPr>
      <w:r>
        <w:rPr>
          <w:i w:val="0"/>
        </w:rPr>
        <w:t>YOLO-based detectors have been applied to pig detection, individual tracking, posture recognition, and behavior analysis. For group-housed pigs, Tu et al. (2022) combined YOLOv5s/YOLOX-S detectors with an improved DeepSORT tracker to track individual behaviors such as lying, feeding, and standing; Li et al. (2024)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(2020) had already recognized postures and drinking behaviour for compromised-health monitoring from overhead barn footage. These works establish feasibility, but they largely assume server-side inference and balanced class distributions, and few report per-class results on rare behaviors. Two very recent studies push the same deployment agenda with different emphases. PBR-YOLO (Luo et al. 2025b) combines a GhostNet backbone, a FasterNet block with efficient multi-scale attention, and a lightweight multi-path head for eight piglet behaviors, reporting 15.8 ms per frame with TensorRT on a Jetson Orin NX—an attention-augmented design demonstrated on a board far more powerful than the Nano-class hardware we target. Rahman et al. (2026) trim YOLO11n for the single posture–nursing task in farrowing crates (removing the small-object detection head) and accelerate it with TensorRT, evaluating on a random image-level split that they explicitly frame as within-facility performance. Class-imbalance mitigation—central to our setting—is absent from both formulations and, to our knowledge, neither study reports per-class accuracy on rare behaviors or generalization to unseen sequences.</w:t>
      </w:r>
      <w:r/>
    </w:p>
    <w:p>
      <w:pPr>
        <w:pStyle w:val="Heading2"/>
        <w:spacing w:line="480" w:lineRule="auto"/>
      </w:pPr>
      <w:r>
        <w:t>2.2 Class Imbalance in Object Detection</w:t>
      </w:r>
    </w:p>
    <w:p>
      <w:pPr>
        <w:spacing w:line="480" w:lineRule="auto"/>
      </w:pPr>
      <w:r>
        <w:rPr>
          <w:i w:val="0"/>
        </w:rPr>
        <w:t>Mitigation strategies for foreground class imbalance fall into three families: sampling (class-aware or repeat-factor sampling (Gupta et al. 2019)), loss reweighting (including focal variants (Lin et al. 2017)), and data augmentation (mosaic, mixup, copy-paste (Ghiasi et al. 2021)). Systematic diagnoses across these families show that no single strategy dominates (Oksuz et al. 2021; Buda et al. 2018), but sampling methods are the least intrusive: they touch neither the network nor the loss, so they cannot interfere with pre-trained weights—a property that matters in transfer-heavy pipelines like ours. Repeat-factor sampling (Gupta et al. 2019), in particular, is established in long-tailed detection benchmarks and has been adopted in livestock detection (e.g., the weighted dataset of WFE-YOLO (Lv et al. 2026)). We use an offline, frequency-capped variant and analyze its sensitivity to the cap, an aspect rarely ablated in this literature. Instance-aware repeat factor sampling (Yaman et al. 2023) refines RFS by counting annotated instances; we instead count class-bearing images—the unit that duplication actually replicates—and add a square-root damper with a hard cap so that a handful of rare scenes cannot dominate an epoch. A systematic diagnosis of mitigation strategies for single-stage detectors (Crasto 2024) likewise finds no universally dominant family, which supports our choice of the least intrusive one.</w:t>
      </w:r>
      <w:r/>
    </w:p>
    <w:p>
      <w:pPr>
        <w:pStyle w:val="Heading2"/>
        <w:spacing w:line="480" w:lineRule="auto"/>
      </w:pPr>
      <w:r>
        <w:t>2.3 Lightweight Detectors and Edge Deployment</w:t>
      </w:r>
    </w:p>
    <w:p>
      <w:pPr>
        <w:spacing w:line="480" w:lineRule="auto"/>
      </w:pPr>
      <w:r>
        <w:rPr>
          <w:i w:val="0"/>
        </w:rPr>
        <w:t>Relevant lightweight designs include depthwise-separable convolution (MobileNet (Howard et al. 2017)), feature-reuse convolution (GhostNet (Han et al. 2020)), and partial convolution (FasterNet (Chen et al. 2023)), which performs spatial convolution on only a subset of channels to cut redundant memory access. Several agricultural studies deploy YOLO variants on Jetson-series boards with TensorRT acceleration and report encouraging frame rates (Kim et al. 2022; Gu et al. 2024). Yet on-device measurements remain rare in livestock behavior work, and two hardware facts are almost never discussed: Maxwell-generation boards such as the Jetson Nano have no native INT8 support, and TensorRT operator fusion can mask the theoretical advantages of lightweight operators at small model scales. We document both explicitly in Section 5. FasterNet-based substitution is itself established—Guo et al. (2024) integrated FasterNet into YOLOv8 for real-time underwater detection and YOLO-FGD (Qin and Zhou 2024) applied the same idea to PCB inspection, both in this journal—so our contribution is not the substitution but the condition under which it preserves accuracy: identity-preserving weight transfer (Section 3.5), which these works do not discuss. A complementary route to lightness is post-training compression: Luo et al. (2025a) combine channel pruning with knowledge distillation for piglet behavior recognition, accepting a small accuracy margin in exchange for large parameter cuts without changing the training-time architecture.</w:t>
      </w:r>
      <w:r/>
    </w:p>
    <w:p>
      <w:pPr>
        <w:pStyle w:val="Heading1"/>
        <w:spacing w:line="480" w:lineRule="auto"/>
      </w:pPr>
      <w:r>
        <w:t>3. Materials and Methods</w:t>
      </w:r>
    </w:p>
    <w:p>
      <w:pPr>
        <w:pStyle w:val="Heading2"/>
        <w:spacing w:line="480" w:lineRule="auto"/>
      </w:pPr>
      <w:r>
        <w:t>3.1 Dataset</w:t>
      </w:r>
    </w:p>
    <w:p>
      <w:pPr>
        <w:spacing w:line="480" w:lineRule="auto"/>
      </w:pPr>
      <w:r>
        <w:rPr>
          <w:i w:val="0"/>
        </w:rPr>
        <w:t>We use a public group-housed pig behavior dataset (Roboflow Universe, CC BY 4.0 (Roboflow 2026a)) derived from the publicly documented acquisition of Bergamini et al. (2021),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Behavior definitions and the annotation protocol follow the original acquisition study (Bergamini et al. 2021); annotation quality was additionally verified by visual inspection of a random sample of the training images. The study uses only publicly available, non-invasively acquired data; no animal experiments were performed and no ethics approval was required. Table 1 defines the ten behaviors and summarizes their instance distribution, and Fig. 1 visualizes it together with the duplication factors it induces (Section 3.3).</w:t>
      </w:r>
    </w:p>
    <w:p>
      <w:pPr>
        <w:spacing w:line="480" w:lineRule="auto"/>
      </w:pPr>
      <w:r>
        <w:rPr>
          <w:sz w:val="18"/>
        </w:rPr>
        <w:t>Table 1. Behavior categories, ethological definitions, and instance distribution. †Instances over the full dataset (13,995 total); ‡images containing the class in the training split (basis of the duplication factors, Section 3.3).</w:t>
      </w:r>
    </w:p>
    <w:tbl>
      <w:tblPr>
        <w:tblStyle w:val="LightGrid-Accent1"/>
        <w:tblW w:type="auto" w:w="0"/>
        <w:tblLook w:firstColumn="1" w:firstRow="1" w:lastColumn="0" w:lastRow="0" w:noHBand="0" w:noVBand="1" w:val="04A0"/>
      </w:tblPr>
      <w:tblGrid>
        <w:gridCol w:w="2160"/>
        <w:gridCol w:w="2160"/>
        <w:gridCol w:w="2160"/>
        <w:gridCol w:w="2160"/>
      </w:tblGrid>
      <w:tr>
        <w:tc>
          <w:tcPr>
            <w:tcW w:type="dxa" w:w="1368"/>
          </w:tcPr>
          <w:p>
            <w:r>
              <w:rPr>
                <w:b/>
                <w:sz w:val="18"/>
              </w:rPr>
              <w:t>Class</w:t>
            </w:r>
          </w:p>
        </w:tc>
        <w:tc>
          <w:tcPr>
            <w:tcW w:type="dxa" w:w="4536"/>
          </w:tcPr>
          <w:p>
            <w:r>
              <w:rPr>
                <w:b/>
                <w:sz w:val="18"/>
              </w:rPr>
              <w:t>Ethological definition and management relevance</w:t>
            </w:r>
          </w:p>
        </w:tc>
        <w:tc>
          <w:tcPr>
            <w:tcW w:type="dxa" w:w="1440"/>
          </w:tcPr>
          <w:p>
            <w:r>
              <w:rPr>
                <w:b/>
                <w:sz w:val="18"/>
              </w:rPr>
              <w:t>Instances†</w:t>
            </w:r>
          </w:p>
        </w:tc>
        <w:tc>
          <w:tcPr>
            <w:tcW w:type="dxa" w:w="1584"/>
          </w:tcPr>
          <w:p>
            <w:r>
              <w:rPr>
                <w:b/>
                <w:sz w:val="18"/>
              </w:rPr>
              <w:t>Training images‡</w:t>
            </w:r>
          </w:p>
        </w:tc>
      </w:tr>
      <w:tr>
        <w:tc>
          <w:tcPr>
            <w:tcW w:type="dxa" w:w="1368"/>
          </w:tcPr>
          <w:p>
            <w:r>
              <w:rPr>
                <w:sz w:val="18"/>
              </w:rPr>
              <w:t>active</w:t>
            </w:r>
          </w:p>
        </w:tc>
        <w:tc>
          <w:tcPr>
            <w:tcW w:type="dxa" w:w="4536"/>
          </w:tcPr>
          <w:p>
            <w:r>
              <w:rPr>
                <w:sz w:val="18"/>
              </w:rPr>
              <w:t>High-activity motion: running, jumping (aggregated from low-frequency run/jump classes). Abnormal activity indicates stress or illness.</w:t>
            </w:r>
          </w:p>
        </w:tc>
        <w:tc>
          <w:tcPr>
            <w:tcW w:type="dxa" w:w="1440"/>
          </w:tcPr>
          <w:p>
            <w:r>
              <w:rPr>
                <w:sz w:val="18"/>
              </w:rPr>
              <w:t>259</w:t>
            </w:r>
          </w:p>
        </w:tc>
        <w:tc>
          <w:tcPr>
            <w:tcW w:type="dxa" w:w="1584"/>
          </w:tcPr>
          <w:p>
            <w:r>
              <w:rPr>
                <w:sz w:val="18"/>
              </w:rPr>
              <w:t>167</w:t>
            </w:r>
          </w:p>
        </w:tc>
      </w:tr>
      <w:tr>
        <w:tc>
          <w:tcPr>
            <w:tcW w:type="dxa" w:w="1368"/>
          </w:tcPr>
          <w:p>
            <w:r>
              <w:rPr>
                <w:sz w:val="18"/>
              </w:rPr>
              <w:t>drink</w:t>
            </w:r>
          </w:p>
        </w:tc>
        <w:tc>
          <w:tcPr>
            <w:tcW w:type="dxa" w:w="4536"/>
          </w:tcPr>
          <w:p>
            <w:r>
              <w:rPr>
                <w:sz w:val="18"/>
              </w:rPr>
              <w:t>Head at the nipple drinker with a drinking posture. Water intake anomalies signal digestive/urinary issues.</w:t>
            </w:r>
          </w:p>
        </w:tc>
        <w:tc>
          <w:tcPr>
            <w:tcW w:type="dxa" w:w="1440"/>
          </w:tcPr>
          <w:p>
            <w:r>
              <w:rPr>
                <w:sz w:val="18"/>
              </w:rPr>
              <w:t>211</w:t>
            </w:r>
          </w:p>
        </w:tc>
        <w:tc>
          <w:tcPr>
            <w:tcW w:type="dxa" w:w="1584"/>
          </w:tcPr>
          <w:p>
            <w:r>
              <w:rPr>
                <w:sz w:val="18"/>
              </w:rPr>
              <w:t>147</w:t>
            </w:r>
          </w:p>
        </w:tc>
      </w:tr>
      <w:tr>
        <w:tc>
          <w:tcPr>
            <w:tcW w:type="dxa" w:w="1368"/>
          </w:tcPr>
          <w:p>
            <w:r>
              <w:rPr>
                <w:sz w:val="18"/>
              </w:rPr>
              <w:t>eat</w:t>
            </w:r>
          </w:p>
        </w:tc>
        <w:tc>
          <w:tcPr>
            <w:tcW w:type="dxa" w:w="4536"/>
          </w:tcPr>
          <w:p>
            <w:r>
              <w:rPr>
                <w:sz w:val="18"/>
              </w:rPr>
              <w:t>Head in the feeder with continuous feeding action. Feed intake is a core health/growth indicator.</w:t>
            </w:r>
          </w:p>
        </w:tc>
        <w:tc>
          <w:tcPr>
            <w:tcW w:type="dxa" w:w="1440"/>
          </w:tcPr>
          <w:p>
            <w:r>
              <w:rPr>
                <w:sz w:val="18"/>
              </w:rPr>
              <w:t>980</w:t>
            </w:r>
          </w:p>
        </w:tc>
        <w:tc>
          <w:tcPr>
            <w:tcW w:type="dxa" w:w="1584"/>
          </w:tcPr>
          <w:p>
            <w:r>
              <w:rPr>
                <w:sz w:val="18"/>
              </w:rPr>
              <w:t>577</w:t>
            </w:r>
          </w:p>
        </w:tc>
      </w:tr>
      <w:tr>
        <w:tc>
          <w:tcPr>
            <w:tcW w:type="dxa" w:w="1368"/>
          </w:tcPr>
          <w:p>
            <w:r>
              <w:rPr>
                <w:sz w:val="18"/>
              </w:rPr>
              <w:t>fight</w:t>
            </w:r>
          </w:p>
        </w:tc>
        <w:tc>
          <w:tcPr>
            <w:tcW w:type="dxa" w:w="4536"/>
          </w:tcPr>
          <w:p>
            <w:r>
              <w:rPr>
                <w:sz w:val="18"/>
              </w:rPr>
              <w:t>Agonistic contact: biting, chasing, pushing between two or more pigs. Key welfare-alert behavior, frequent at mixing.</w:t>
            </w:r>
          </w:p>
        </w:tc>
        <w:tc>
          <w:tcPr>
            <w:tcW w:type="dxa" w:w="1440"/>
          </w:tcPr>
          <w:p>
            <w:r>
              <w:rPr>
                <w:sz w:val="18"/>
              </w:rPr>
              <w:t>807</w:t>
            </w:r>
          </w:p>
        </w:tc>
        <w:tc>
          <w:tcPr>
            <w:tcW w:type="dxa" w:w="1584"/>
          </w:tcPr>
          <w:p>
            <w:r>
              <w:rPr>
                <w:sz w:val="18"/>
              </w:rPr>
              <w:t>354</w:t>
            </w:r>
          </w:p>
        </w:tc>
      </w:tr>
      <w:tr>
        <w:tc>
          <w:tcPr>
            <w:tcW w:type="dxa" w:w="1368"/>
          </w:tcPr>
          <w:p>
            <w:r>
              <w:rPr>
                <w:sz w:val="18"/>
              </w:rPr>
              <w:t>investigating</w:t>
            </w:r>
          </w:p>
        </w:tc>
        <w:tc>
          <w:tcPr>
            <w:tcW w:type="dxa" w:w="4536"/>
          </w:tcPr>
          <w:p>
            <w:r>
              <w:rPr>
                <w:sz w:val="18"/>
              </w:rPr>
              <w:t>Exploratory rooting/sniffing of floor, pen, or penmates (non-feeding). Normal exploratory behavior; reflects environmental enrichment.</w:t>
            </w:r>
          </w:p>
        </w:tc>
        <w:tc>
          <w:tcPr>
            <w:tcW w:type="dxa" w:w="1440"/>
          </w:tcPr>
          <w:p>
            <w:r>
              <w:rPr>
                <w:sz w:val="18"/>
              </w:rPr>
              <w:t>4,203</w:t>
            </w:r>
          </w:p>
        </w:tc>
        <w:tc>
          <w:tcPr>
            <w:tcW w:type="dxa" w:w="1584"/>
          </w:tcPr>
          <w:p>
            <w:r>
              <w:rPr>
                <w:sz w:val="18"/>
              </w:rPr>
              <w:t>1,714</w:t>
            </w:r>
          </w:p>
        </w:tc>
      </w:tr>
      <w:tr>
        <w:tc>
          <w:tcPr>
            <w:tcW w:type="dxa" w:w="1368"/>
          </w:tcPr>
          <w:p>
            <w:r>
              <w:rPr>
                <w:sz w:val="18"/>
              </w:rPr>
              <w:t>lying</w:t>
            </w:r>
          </w:p>
        </w:tc>
        <w:tc>
          <w:tcPr>
            <w:tcW w:type="dxa" w:w="4536"/>
          </w:tcPr>
          <w:p>
            <w:r>
              <w:rPr>
                <w:sz w:val="18"/>
              </w:rPr>
              <w:t>Lateral or ventral recumbency, body fully on the ground, at rest. Direct comfort/health indicator.</w:t>
            </w:r>
          </w:p>
        </w:tc>
        <w:tc>
          <w:tcPr>
            <w:tcW w:type="dxa" w:w="1440"/>
          </w:tcPr>
          <w:p>
            <w:r>
              <w:rPr>
                <w:sz w:val="18"/>
              </w:rPr>
              <w:t>2,485</w:t>
            </w:r>
          </w:p>
        </w:tc>
        <w:tc>
          <w:tcPr>
            <w:tcW w:type="dxa" w:w="1584"/>
          </w:tcPr>
          <w:p>
            <w:r>
              <w:rPr>
                <w:sz w:val="18"/>
              </w:rPr>
              <w:t>1,299</w:t>
            </w:r>
          </w:p>
        </w:tc>
      </w:tr>
      <w:tr>
        <w:tc>
          <w:tcPr>
            <w:tcW w:type="dxa" w:w="1368"/>
          </w:tcPr>
          <w:p>
            <w:r>
              <w:rPr>
                <w:sz w:val="18"/>
              </w:rPr>
              <w:t>nose-to-nose</w:t>
            </w:r>
          </w:p>
        </w:tc>
        <w:tc>
          <w:tcPr>
            <w:tcW w:type="dxa" w:w="4536"/>
          </w:tcPr>
          <w:p>
            <w:r>
              <w:rPr>
                <w:sz w:val="18"/>
              </w:rPr>
              <w:t>Two pigs in direct nasal contact without aggression. Social interaction; group-relation indicator.</w:t>
            </w:r>
          </w:p>
        </w:tc>
        <w:tc>
          <w:tcPr>
            <w:tcW w:type="dxa" w:w="1440"/>
          </w:tcPr>
          <w:p>
            <w:r>
              <w:rPr>
                <w:sz w:val="18"/>
              </w:rPr>
              <w:t>358</w:t>
            </w:r>
          </w:p>
        </w:tc>
        <w:tc>
          <w:tcPr>
            <w:tcW w:type="dxa" w:w="1584"/>
          </w:tcPr>
          <w:p>
            <w:r>
              <w:rPr>
                <w:sz w:val="18"/>
              </w:rPr>
              <w:t>181</w:t>
            </w:r>
          </w:p>
        </w:tc>
      </w:tr>
      <w:tr>
        <w:tc>
          <w:tcPr>
            <w:tcW w:type="dxa" w:w="1368"/>
          </w:tcPr>
          <w:p>
            <w:r>
              <w:rPr>
                <w:sz w:val="18"/>
              </w:rPr>
              <w:t>sitting</w:t>
            </w:r>
          </w:p>
        </w:tc>
        <w:tc>
          <w:tcPr>
            <w:tcW w:type="dxa" w:w="4536"/>
          </w:tcPr>
          <w:p>
            <w:r>
              <w:rPr>
                <w:sz w:val="18"/>
              </w:rPr>
              <w:t>Dog-like sitting: forelegs upright, hindquarters on the ground. Occasional posture; may relate to lameness/discomfort.</w:t>
            </w:r>
          </w:p>
        </w:tc>
        <w:tc>
          <w:tcPr>
            <w:tcW w:type="dxa" w:w="1440"/>
          </w:tcPr>
          <w:p>
            <w:r>
              <w:rPr>
                <w:sz w:val="18"/>
              </w:rPr>
              <w:t>144</w:t>
            </w:r>
          </w:p>
        </w:tc>
        <w:tc>
          <w:tcPr>
            <w:tcW w:type="dxa" w:w="1584"/>
          </w:tcPr>
          <w:p>
            <w:r>
              <w:rPr>
                <w:sz w:val="18"/>
              </w:rPr>
              <w:t>104</w:t>
            </w:r>
          </w:p>
        </w:tc>
      </w:tr>
      <w:tr>
        <w:tc>
          <w:tcPr>
            <w:tcW w:type="dxa" w:w="1368"/>
          </w:tcPr>
          <w:p>
            <w:r>
              <w:rPr>
                <w:sz w:val="18"/>
              </w:rPr>
              <w:t>standing</w:t>
            </w:r>
          </w:p>
        </w:tc>
        <w:tc>
          <w:tcPr>
            <w:tcW w:type="dxa" w:w="4536"/>
          </w:tcPr>
          <w:p>
            <w:r>
              <w:rPr>
                <w:sz w:val="18"/>
              </w:rPr>
              <w:t>Upright on four legs with no locomotion. Basic postural behavior.</w:t>
            </w:r>
          </w:p>
        </w:tc>
        <w:tc>
          <w:tcPr>
            <w:tcW w:type="dxa" w:w="1440"/>
          </w:tcPr>
          <w:p>
            <w:r>
              <w:rPr>
                <w:sz w:val="18"/>
              </w:rPr>
              <w:t>1,812</w:t>
            </w:r>
          </w:p>
        </w:tc>
        <w:tc>
          <w:tcPr>
            <w:tcW w:type="dxa" w:w="1584"/>
          </w:tcPr>
          <w:p>
            <w:r>
              <w:rPr>
                <w:sz w:val="18"/>
              </w:rPr>
              <w:t>986</w:t>
            </w:r>
          </w:p>
        </w:tc>
      </w:tr>
      <w:tr>
        <w:tc>
          <w:tcPr>
            <w:tcW w:type="dxa" w:w="1368"/>
          </w:tcPr>
          <w:p>
            <w:r>
              <w:rPr>
                <w:sz w:val="18"/>
              </w:rPr>
              <w:t>walk</w:t>
            </w:r>
          </w:p>
        </w:tc>
        <w:tc>
          <w:tcPr>
            <w:tcW w:type="dxa" w:w="4536"/>
          </w:tcPr>
          <w:p>
            <w:r>
              <w:rPr>
                <w:sz w:val="18"/>
              </w:rPr>
              <w:t>Quadrupedal locomotion excluding running. Component of daily activity budget.</w:t>
            </w:r>
          </w:p>
        </w:tc>
        <w:tc>
          <w:tcPr>
            <w:tcW w:type="dxa" w:w="1440"/>
          </w:tcPr>
          <w:p>
            <w:r>
              <w:rPr>
                <w:sz w:val="18"/>
              </w:rPr>
              <w:t>2,736</w:t>
            </w:r>
          </w:p>
        </w:tc>
        <w:tc>
          <w:tcPr>
            <w:tcW w:type="dxa" w:w="1584"/>
          </w:tcPr>
          <w:p>
            <w:r>
              <w:rPr>
                <w:sz w:val="18"/>
              </w:rPr>
              <w:t>1,259</w:t>
            </w:r>
          </w:p>
        </w:tc>
      </w:tr>
    </w:tbl>
    <w:p>
      <w:pPr>
        <w:spacing w:line="480" w:lineRule="auto"/>
      </w:pPr>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spacing w:line="480" w:lineRule="auto"/>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spacing w:line="480" w:lineRule="auto"/>
      </w:pPr>
      <w:r>
        <w:t>3.2 Baseline Model</w:t>
      </w:r>
    </w:p>
    <w:p>
      <w:pPr>
        <w:spacing w:line="480" w:lineRule="auto"/>
      </w:pPr>
      <w:r>
        <w:rPr>
          <w:i w:val="0"/>
        </w:rPr>
        <w:t>YOLOv11n (Jocher and Qiu 2024) (2.58M parameters, 6.3 GFLOPs at 640×640) serves as the baseline: it is the lightest mainstream variant and the most common base in recent livestock detection papers, which makes our numbers directly comparable. We also tried the newer, attention-centric YOLOv12n (Tian et al. 2025) as a base; to our surprise, the sampling strategy hurt it by 1.4 points (Section 4.2), so we kept YOLOv11n for this dataset-and-method combination.</w:t>
      </w:r>
    </w:p>
    <w:p>
      <w:pPr>
        <w:pStyle w:val="Heading2"/>
        <w:spacing w:line="480" w:lineRule="auto"/>
      </w:pPr>
      <w:r>
        <w:t>3.3 Class-Imbalance-Aware Sampling</w:t>
      </w:r>
    </w:p>
    <w:p>
      <w:pPr>
        <w:spacing w:line="480" w:lineRule="auto"/>
      </w:pPr>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 Table 2 reports the sensitivity of test accuracy to this cap: caps 4 and 5 coincide on this dataset, while cap 3 underexposes sitting.</w:t>
      </w:r>
    </w:p>
    <w:p>
      <w:pPr>
        <w:spacing w:line="480" w:lineRule="auto"/>
      </w:pPr>
      <w:r>
        <w:t>Table 2.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spacing w:line="480" w:lineRule="auto"/>
      </w:pPr>
      <w:r>
        <w:t>3.4 Lightweight Backbone Substitution</w:t>
      </w:r>
    </w:p>
    <w:p>
      <w:pPr>
        <w:spacing w:line="480" w:lineRule="auto"/>
      </w:pPr>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pPr>
        <w:spacing w:line="480" w:lineRule="auto"/>
      </w:pPr>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spacing w:line="480" w:lineRule="auto"/>
        <w:jc w:val="center"/>
      </w:pPr>
      <w:r>
        <w:rPr>
          <w:sz w:val="18"/>
        </w:rPr>
        <w:t>Fig. 2 Architecture of the proposed model and the FasterNet block. Only P3–P5 backbone stages are substituted; the head is kept intact so that pre-trained weights transfer</w:t>
      </w:r>
    </w:p>
    <w:p>
      <w:pPr>
        <w:pStyle w:val="Heading2"/>
        <w:spacing w:line="480" w:lineRule="auto"/>
      </w:pPr>
      <w:r>
        <w:t>3.5 Identity-Preserving Integration of Pre-trained Weights</w:t>
      </w:r>
    </w:p>
    <w:p>
      <w:pPr>
        <w:spacing w:line="480" w:lineRule="auto"/>
      </w:pPr>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spacing w:line="480" w:lineRule="auto"/>
      </w:pPr>
      <w:r>
        <w:t>3.6 Training and Evaluation Protocol</w:t>
      </w:r>
    </w:p>
    <w:p>
      <w:pPr>
        <w:spacing w:line="480" w:lineRule="auto"/>
      </w:pPr>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spacing w:line="480" w:lineRule="auto"/>
      </w:pPr>
      <w:r>
        <w:t>3.7 Metrics</w:t>
      </w:r>
    </w:p>
    <w:p>
      <w:pPr>
        <w:spacing w:line="480" w:lineRule="auto"/>
      </w:pPr>
      <w:r>
        <w:rPr>
          <w:i w:val="0"/>
        </w:rPr>
        <w:t>We report mAP50, mAP50-95, precision and recall (overall and per class), parameter count, GFLOPs, inference latency (FPS), and device power draw.</w:t>
      </w:r>
    </w:p>
    <w:p>
      <w:pPr>
        <w:pStyle w:val="Heading1"/>
        <w:spacing w:line="480" w:lineRule="auto"/>
      </w:pPr>
      <w:r>
        <w:t>4. Experiments and Results</w:t>
      </w:r>
    </w:p>
    <w:p>
      <w:pPr>
        <w:pStyle w:val="Heading2"/>
        <w:spacing w:line="480" w:lineRule="auto"/>
      </w:pPr>
      <w:r>
        <w:t>4.1 Setup</w:t>
      </w:r>
    </w:p>
    <w:p>
      <w:pPr>
        <w:spacing w:line="480" w:lineRule="auto"/>
      </w:pPr>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(Jocher et al. 2022) (2.50M parameters, 7.1 GFLOPs), YOLOv8n (Jocher et al. 2023) (3.01M, 8.1G), and YOLOv12n (Tian et al. 2025) (2.56M, 6.3G), the newest attention-centric variant—as well as RT-DETR-l (Zhao et al. 2024)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spacing w:line="480" w:lineRule="auto"/>
      </w:pPr>
      <w:r>
        <w:t>4.2 Ablation Study</w:t>
      </w:r>
    </w:p>
    <w:p>
      <w:pPr>
        <w:spacing w:line="480" w:lineRule="auto"/>
      </w:pPr>
      <w:r>
        <w:t>Table 3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retroactively supports our empirical choice of YOLOv11n as the base for this dataset-and-method combination.</w:t>
      </w:r>
    </w:p>
    <w:p>
      <w:pPr>
        <w:spacing w:line="480" w:lineRule="auto"/>
      </w:pPr>
      <w:r>
        <w:t>Table 3. Ablation on the held-out test set. *M1/M2 were rejected early, so their entries are validation mAP50; all other rows are test values from single runs. For statistical context, three-seed means on the test set are 0.5987 ± 0.0062 (M4) and 0.5904 ± 0.0086 (M5), versus a three-seed baseline of 0.6060 ± 0.0084—i.e.,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pPr>
        <w:spacing w:line="480" w:lineRule="auto"/>
      </w:pPr>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spacing w:line="480" w:lineRule="auto"/>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spacing w:line="480" w:lineRule="auto"/>
      </w:pPr>
      <w:r>
        <w:t>4.3 Comparison with Mainstream Detectors</w:t>
      </w:r>
    </w:p>
    <w:p>
      <w:pPr>
        <w:spacing w:line="480" w:lineRule="auto"/>
      </w:pPr>
      <w:r>
        <w:t>Table 4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stand out.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pPr>
        <w:spacing w:line="480" w:lineRule="auto"/>
      </w:pPr>
      <w:r>
        <w:t>Table 4.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spacing w:line="480" w:lineRule="auto"/>
      </w:pPr>
      <w:r>
        <w:t>4.4 Per-Class Analysis</w:t>
      </w:r>
    </w:p>
    <w:p>
      <w:pPr>
        <w:spacing w:line="480" w:lineRule="auto"/>
      </w:pPr>
      <w:r>
        <w:rPr>
          <w:i w:val="0"/>
        </w:rPr>
        <w:t>Aggregate mAP hides the reason this framework exists, so Table S1 in Online Resource 1 breaks AP50 down by behavior on the validation set, where all four ablation models are directly comparable.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r>
        <w:t xml:space="preserve"> Per-class AP50 on the held-out test set for the baseline, M4 and M5 is reported in Table S2 in Online Resource 1; the rare-class pattern mirrors the validation set.</w:t>
      </w:r>
      <w:r>
        <w:t xml:space="preserve"> Precision–recall curves for the deployment pair are provided in Fig. S1.</w:t>
      </w:r>
    </w:p>
    <w:p>
      <w:pPr>
        <w:pStyle w:val="Heading2"/>
        <w:spacing w:line="480" w:lineRule="auto"/>
      </w:pPr>
      <w:r>
        <w:t>4.5 Statistical Reliability</w:t>
      </w:r>
    </w:p>
    <w:p>
      <w:pPr>
        <w:spacing w:line="480" w:lineRule="auto"/>
      </w:pPr>
      <w:r>
        <w:rPr>
          <w:i w:val="0"/>
        </w:rPr>
        <w:t>Single training runs of small detectors can easily fluctuate by half a point, so we repeated the baseline and the two adopted models with three different seeds. The baseline scores 0.5822 ± 0.0087 on validation and 0.6060 ± 0.0084 on test (seed 0 exactly reproduces the 0.5964 single run reported in Table 3). M4 scores 0.5790 ± 0.0054 on validation and 0.5987 ± 0.0062 on test; M5 scores 0.5620 ± 0.0079 and 0.5904 ± 0.0086, respectively. Against the three-seed baseline test mean, the M5 difference (−0.016) amounts to about two standard errors of the seed-to-seed variation and is not significant at the 0.05 level (two-sample t-test, p ≈ 0.09), so we report M5 as statistically comparable to the baseline rather than superior to it. The M4 test mean sits within one baseline standard deviation (−0.007)—its real value, shown in Section 4.4, is the redistribution of accuracy toward rare, welfare-relevant behaviors and the +2.1-point recall gain on validation, not a headline mAP increase. We deliberately present it this way: an overall-gain framing would overstate the evidence, while the rare-class framing is both honest and, for welfare alerting, the practically relevant one.</w:t>
      </w:r>
    </w:p>
    <w:p>
      <w:pPr>
        <w:pStyle w:val="Heading2"/>
        <w:spacing w:line="480" w:lineRule="auto"/>
      </w:pPr>
      <w:r>
        <w:t>4.6 Efficiency Evaluation</w:t>
      </w:r>
    </w:p>
    <w:p>
      <w:pPr>
        <w:spacing w:line="480" w:lineRule="auto"/>
      </w:pPr>
      <w:r>
        <w:t>Table 5 reports efficiency on the RTX 3090 (FP32, batch 1, 640×640). M5 is the fastest model in the entire comparison at 117.6 FPS (Fig. 4)—ahead of the baseline (112.8) and M4 (112.1), and 50% ahead of YOLOv12n (78.4). One boundary deserves to be stated plainly: the efficiency gain shows up in parameter count (−4.4%) and measured speed, not in FLOPs, which stay essentially flat (6.3G → 6.5G). This is expected, not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pPr>
        <w:spacing w:line="480" w:lineRule="auto"/>
      </w:pPr>
      <w:r>
        <w:t>Table 5.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pPr>
        <w:spacing w:line="480" w:lineRule="auto"/>
      </w:pPr>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spacing w:line="480" w:lineRule="auto"/>
        <w:jc w:val="center"/>
      </w:pPr>
      <w:r>
        <w:t>Fig. 4 Accuracy–efficiency trade-off across detectors (test mAP50 vs. parameters, log scale). Marker size is proportional to measured FPS on the RTX 3090; hollow markers indicate models whose FPS was not measured</w:t>
      </w:r>
    </w:p>
    <w:p>
      <w:pPr>
        <w:pStyle w:val="Heading2"/>
        <w:spacing w:line="480" w:lineRule="auto"/>
      </w:pPr>
      <w:r>
        <w:t>4.7 Visualization</w:t>
      </w:r>
    </w:p>
    <w:p>
      <w:pPr>
        <w:spacing w:line="480" w:lineRule="auto"/>
      </w:pPr>
      <w:r>
        <w:t>Grad-CAM maps (Fig. 5a)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5b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pPr>
        <w:spacing w:line="480" w:lineRule="auto"/>
      </w:pPr>
      <w:r>
        <w:drawing>
          <wp:inline xmlns:a="http://schemas.openxmlformats.org/drawingml/2006/main" xmlns:pic="http://schemas.openxmlformats.org/drawingml/2006/picture">
            <wp:extent cx="5669280" cy="1406769"/>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spacing w:line="480" w:lineRule="auto"/>
        <w:jc w:val="center"/>
      </w:pPr>
      <w:r>
        <w:rPr>
          <w:sz w:val="18"/>
        </w:rPr>
        <w:t>Fig. 5 Grad-CAM comparison and a typical residual error. (a) Original | baseline | lightweight variant: attention concentrates on pig bodies rather than the pen background, and is preserved by the backbone substitution. (b) A motionless lying pig mislabeled as fight (0.84)—the fight/lying/close-contact confusion that dominates the error mass in dense scenes</w:t>
      </w:r>
    </w:p>
    <w:p>
      <w:pPr>
        <w:spacing w:line="480" w:lineRule="auto"/>
      </w:pPr>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spacing w:line="480" w:lineRule="auto"/>
        <w:jc w:val="center"/>
      </w:pPr>
      <w:r>
        <w:t>Fig. 6 Normalized confusion matrix of M4 on the validation set. The error mass concentrates on confusions among fight, lying and close-contact postures</w:t>
      </w:r>
    </w:p>
    <w:p>
      <w:pPr>
        <w:pStyle w:val="Heading1"/>
        <w:spacing w:line="480" w:lineRule="auto"/>
      </w:pPr>
      <w:r>
        <w:t>5. Edge Deployment Validation</w:t>
      </w:r>
    </w:p>
    <w:p>
      <w:pPr>
        <w:spacing w:line="480" w:lineRule="auto"/>
      </w:pPr>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M5 sustains 50.2 ms per frame (19.7 FPS) at 640×640 and 30.0 ms (33.3 FPS) at 480×480—essentially matching the baseline (50.8 ms/19.7 FPS and 29.9 ms/33.4 FPS)—with the whole board drawing ≈7 W under sustained load (rail-level breakdown below). Both operating points are real-time for behavior monitoring, whose events unfold over seconds; the 480×480 point leaves headroom for multi-stream or multi-model pipelines on the same board.</w:t>
      </w:r>
    </w:p>
    <w:p>
      <w:pPr>
        <w:spacing w:line="480" w:lineRule="auto"/>
      </w:pPr>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spacing w:line="480" w:lineRule="auto"/>
        <w:jc w:val="center"/>
      </w:pPr>
      <w:r>
        <w:t>Fig. 7 Deployment pipeline from the PyTorch checkpoint to on-device TensorRT inference, with measured on-device performance and the practical constraints encountered</w:t>
      </w:r>
    </w:p>
    <w:p>
      <w:pPr>
        <w:spacing w:line="480" w:lineRule="auto"/>
      </w:pPr>
      <w:r>
        <w:t>We report three practical findings from the deployment work because they are rarely documented in this literature and each one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5)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spacing w:line="480" w:lineRule="auto"/>
      </w:pPr>
      <w:r>
        <w:t>Three further measurements delimit the real-time claim. First, the latency budget decomposes cleanly at 640×640: host-to-device transfer costs 0.48 ms, GPU compute 49.6 ms, and device-to-host 0.06 ms—and the engine is therefore not the bottleneck to watch. The CPU side is: a pure-Python pre/post pipeline would exceed the GPU time (JPEG decode and resize cost 17.1 ms from a 640×640 source and 107.9 ms from a 1080p source; normalize and layout conversion cost 6.8 ms in optimized C; NMS over ≈370 candidates costs 0.5 ms), and TensorRT enqueue overhead adds 9.5–10.4 ms, so production pipelines should implement pre/post-processing in C or CUDA. Second, sustained operation is stable: over 12,000 consecutive inferences (10.7 min), throughput held at 20.0 FPS with a 99th-percentile latency of 51.3 ms, GPU temperature peaked at 55.5 °C, and no thermal-throttling event or clock drop occurred. Third, rail-level measurements (INA3221) show 3.4 W at idle and ≈7.0 W total board input under sustained load, of which ≈5.0 W falls on the GPU and CPU rails—this is the figure headlined above.</w:t>
      </w:r>
      <w:r>
        <w:t xml:space="preserve"> The full breakdown and the sustained-operation timeline are visualized in Figs. S2 and S3.</w:t>
      </w:r>
    </w:p>
    <w:p>
      <w:pPr>
        <w:pStyle w:val="Heading1"/>
        <w:spacing w:line="480" w:lineRule="auto"/>
      </w:pPr>
      <w:r>
        <w:t>6. Generalization Analysis</w:t>
      </w:r>
    </w:p>
    <w:p>
      <w:pPr>
        <w:pStyle w:val="Heading2"/>
        <w:spacing w:line="480" w:lineRule="auto"/>
      </w:pPr>
      <w:r>
        <w:t>6.1 Unseen-Sequence Stress Test</w:t>
      </w:r>
    </w:p>
    <w:p>
      <w:pPr>
        <w:spacing w:line="480" w:lineRule="auto"/>
      </w:pPr>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6,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pPr>
        <w:spacing w:line="480" w:lineRule="auto"/>
      </w:pPr>
      <w:r>
        <w:t>Table 6.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pPr>
        <w:spacing w:line="480" w:lineRule="auto"/>
      </w:pPr>
      <w:r>
        <w:drawing>
          <wp:inline xmlns:a="http://schemas.openxmlformats.org/drawingml/2006/main" xmlns:pic="http://schemas.openxmlformats.org/drawingml/2006/picture">
            <wp:extent cx="5566160" cy="6583680"/>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spacing w:line="480" w:lineRule="auto"/>
        <w:jc w:val="center"/>
      </w:pPr>
      <w:r>
        <w:t>Fig. 8 Generalization behavior of the framework. (a) mAP50 of the baseline, M4 and M5 under three evaluation regimes: the random publisher split (test), the sequence-disjoint stress test, and zero-shot evaluation on the external farm dataset. (b) Zero-shot detections on the independent dataset: dense white-pig pens largely missed, spotted-breed individuals undetected, partial detections on muddy ground—the failure is environmental, not stochastic</w:t>
      </w:r>
    </w:p>
    <w:p>
      <w:pPr>
        <w:pStyle w:val="Heading2"/>
        <w:spacing w:line="480" w:lineRule="auto"/>
      </w:pPr>
      <w:r>
        <w:t>6.2 Cross-Dataset Validation</w:t>
      </w:r>
    </w:p>
    <w:p>
      <w:pPr>
        <w:spacing w:line="480" w:lineRule="auto"/>
      </w:pPr>
      <w:r>
        <w:t>The harder test is a different farm. We evaluated all four models zero-shot—no fine-tuning—on an independent public pig-behavior dataset (Comportamentos, 696 images, CC BY 4.0 (Roboflow 2026b)), recorded at a different facility with different flooring, camera geometry, and predominantly spotted breeds rather than the white pigs of the source dataset. Every model collapses to 0.036–0.067 mAP50 (Table 7),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8b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pPr>
        <w:spacing w:line="480" w:lineRule="auto"/>
      </w:pPr>
      <w:r>
        <w:t>Table 7.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pPr>
        <w:pStyle w:val="Heading1"/>
        <w:spacing w:line="480" w:lineRule="auto"/>
      </w:pPr>
      <w:r>
        <w:t>7. Discussion</w:t>
      </w:r>
    </w:p>
    <w:p>
      <w:pPr>
        <w:spacing w:line="480" w:lineRule="auto"/>
      </w:pPr>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 The comparison with neighboring approaches is instructive. Attention-augmented lightweight detectors such as PBR-YOLO (Luo et al. 2025b) report strong results, but our two failed integrations (M1, M2) suggest that these gains may not transfer when the modules are inserted into an already pre-trained pathway—the identity-preserving route is what makes backbone substitution practical in transfer-heavy pipelines. Post-training compression (Luo et al. 2025a) is orthogonal to both our data-level and backbone-level changes, and the two routes could in principle be stacked; we leave that combination to future work.</w:t>
      </w:r>
      <w:r/>
    </w:p>
    <w:p>
      <w:pPr>
        <w:spacing w:line="480" w:lineRule="auto"/>
      </w:pPr>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pPr>
        <w:spacing w:line="480" w:lineRule="auto"/>
      </w:pPr>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We evaluated a lightweight temporal post-process (IoU track matching with majority class voting) on the validation set and found no accuracy gain: the benchmark frames are sparsely sampled tens to hundreds of frames apart, so track matching breaks across the temporal gaps and voting corrupts correct single-frame labels. On the alert side, per-frame labels aggregate naturally into pen-level statistics—fight frequency, lying-time share, drink-visit counts—over which simple threshold rules can raise welfare alerts; tuning those thresholds is farm-specific and belongs to deployment work. Temporal integration remains promising for dense-frame live video—precisely the deployment regime of Section 5—together with domain adaptation and multi-farm data collection.</w:t>
      </w:r>
    </w:p>
    <w:p>
      <w:pPr>
        <w:spacing w:line="480" w:lineRule="auto"/>
      </w:pPr>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7 W total power. A two-level generalization analysis—an unseen-sequence stress test and zero-shot evaluation on an independent farm dataset—maps the operating envelope without embellishment: the framework is ready for same-farm deployment today, with domain adaptation and multi-farm data collection as the key directions for cross-farm operation tomorrow.</w:t>
      </w:r>
    </w:p>
    <w:p>
      <w:pPr>
        <w:pStyle w:val="Heading1"/>
        <w:spacing w:line="480" w:lineRule="auto"/>
      </w:pPr>
      <w:r>
        <w:t>Statements and Declarations</w:t>
      </w:r>
    </w:p>
    <w:p>
      <w:pPr>
        <w:spacing w:line="480" w:lineRule="auto"/>
      </w:pPr>
      <w:r>
        <w:rPr>
          <w:i w:val="0"/>
        </w:rPr>
        <w:t>Author Contributions: Z.Z. and L.G. contributed equally to this work: conceptualization, methodology, software, validation, formal analysis, investigation, data curation, writing—original draft, writing—review and editing, and visualization.</w:t>
      </w:r>
    </w:p>
    <w:p>
      <w:pPr>
        <w:spacing w:line="480" w:lineRule="auto"/>
      </w:pPr>
      <w:r>
        <w:rPr>
          <w:i w:val="0"/>
        </w:rPr>
        <w:t>Statement of Animal Rights: This study used only publicly available, non-invasively acquired video data recorded by fixed cameras on commercial farms; no animal experiments were performed by the authors, and no institutional ethics approval was required.</w:t>
      </w:r>
    </w:p>
    <w:p>
      <w:pPr>
        <w:spacing w:line="480" w:lineRule="auto"/>
      </w:pPr>
      <w:r>
        <w:rPr>
          <w:i w:val="0"/>
        </w:rPr>
        <w:t>Funding: The authors received no specific funding for this work.</w:t>
      </w:r>
    </w:p>
    <w:p>
      <w:pPr>
        <w:spacing w:line="480" w:lineRule="auto"/>
      </w:pPr>
      <w:r>
        <w:rPr>
          <w:i w:val="0"/>
        </w:rPr>
        <w:t>Institutional Review Board Statement: Not applicable. The study used publicly available, non-invasively acquired video data only; no animal experiments were performed and no ethics approval was required.</w:t>
      </w:r>
    </w:p>
    <w:p>
      <w:pPr>
        <w:spacing w:line="480" w:lineRule="auto"/>
      </w:pPr>
      <w:r>
        <w:rPr>
          <w:i w:val="0"/>
        </w:rPr>
        <w:t>Informed Consent Statement: Not applicable.</w:t>
      </w:r>
    </w:p>
    <w:p>
      <w:pPr>
        <w:spacing w:line="480" w:lineRule="auto"/>
      </w:pPr>
      <w:r>
        <w:rPr>
          <w:i w:val="0"/>
        </w:rPr>
        <w:t>Data Availability Statement: The source dataset is publicly available on Roboflow Universe (CC BY 4.0) (Roboflow 2026a); the external validation dataset (Comportamentos) is likewise public (CC BY 4.0) (Roboflow 2026b). Processing scripts, model configurations, training logs, and deployment scripts are available at https://github.com/kksmks/pig-behavior-yolo.</w:t>
      </w:r>
    </w:p>
    <w:p>
      <w:pPr>
        <w:spacing w:line="480" w:lineRule="auto"/>
      </w:pPr>
      <w:r>
        <w:rPr>
          <w:i w:val="0"/>
        </w:rPr>
        <w:t>Competing Interests: The authors declare no competing interests.</w:t>
      </w:r>
    </w:p>
    <w:p>
      <w:pPr>
        <w:spacing w:line="480" w:lineRule="auto"/>
      </w:pPr>
      <w:r>
        <w:rPr>
          <w:i w:val="0"/>
        </w:rPr>
        <w:t>AI-Assisted Statement: AI tools were used for language polishing and code assistance; all experiments, measurements, and reported numbers were produced and verified by the authors.</w:t>
      </w:r>
    </w:p>
    <w:p>
      <w:pPr>
        <w:pStyle w:val="Heading1"/>
        <w:spacing w:line="480" w:lineRule="auto"/>
      </w:pPr>
      <w:r>
        <w:t>References</w:t>
      </w:r>
    </w:p>
    <w:p>
      <w:pPr>
        <w:spacing w:line="480" w:lineRule="auto"/>
        <w:ind w:left="461" w:hanging="461"/>
      </w:pPr>
      <w:r>
        <w:rPr>
          <w:sz w:val="18"/>
        </w:rPr>
        <w:t>Alameer A, Kyriazakis I, Bacardit J (2020) Automated recognition of postures and drinking behaviour for the detection of compromised health in pigs. Sci Rep 10:13665 . https://doi.org/10.1038/s41598-020-70688-6</w:t>
      </w:r>
    </w:p>
    <w:p>
      <w:pPr>
        <w:spacing w:line="480" w:lineRule="auto"/>
        <w:ind w:left="461" w:hanging="461"/>
      </w:pPr>
      <w:r>
        <w:rPr>
          <w:sz w:val="18"/>
        </w:rPr>
        <w:t>Berckmans D (2017) General introduction to precision livestock farming. Anim Front 7(1):6–11 . https://doi.org/10.2527/af.2017.0102</w:t>
      </w:r>
    </w:p>
    <w:p>
      <w:pPr>
        <w:spacing w:line="480" w:lineRule="auto"/>
        <w:ind w:left="461" w:hanging="461"/>
      </w:pPr>
      <w:r>
        <w:rPr>
          <w:sz w:val="18"/>
        </w:rPr>
        <w:t>Bergamini L, Pini S, Simoni A et al (2021) Extracting accurate long-term behavior changes from a large pig dataset. In: Proc 16th Int. Joint Conf. Comput. Vis. Imaging Comput. Graph. Theory Appl. (VISIGRAPP), vol. 5: VISAPP, pp 524–533 . https://doi.org/10.5220/0010288405240533</w:t>
      </w:r>
    </w:p>
    <w:p>
      <w:pPr>
        <w:spacing w:line="480" w:lineRule="auto"/>
        <w:ind w:left="461" w:hanging="461"/>
      </w:pPr>
      <w:r>
        <w:rPr>
          <w:sz w:val="18"/>
        </w:rPr>
        <w:t>Buda M, Maki A, Mazurowski MA (2018) A systematic study of the class imbalance problem in convolutional neural networks. Neural Netw 106:249–259 . https://doi.org/10.1016/j.neunet.2018.07.011</w:t>
      </w:r>
    </w:p>
    <w:p>
      <w:pPr>
        <w:spacing w:line="480" w:lineRule="auto"/>
        <w:ind w:left="461" w:hanging="461"/>
      </w:pPr>
      <w:r>
        <w:rPr>
          <w:sz w:val="18"/>
        </w:rPr>
        <w:t>Canario L, Bijma P, David I et al (2020) Prospects for the analysis and reduction of damaging behaviour in group-housed livestock, with application to pig breeding. Front Genet 11:611073 . https://doi.org/10.3389/fgene.2020.611073</w:t>
      </w:r>
    </w:p>
    <w:p>
      <w:pPr>
        <w:spacing w:line="480" w:lineRule="auto"/>
        <w:ind w:left="461" w:hanging="461"/>
      </w:pPr>
      <w:r>
        <w:rPr>
          <w:sz w:val="18"/>
        </w:rPr>
        <w:t>Chen J, Kao S, He H et al (2023) Run, don't walk: chasing higher FLOPS for faster neural networks. In: Proc IEEE/CVF Conf. Comput. Vis. Pattern Recognit. (CVPR), pp 12021–12031 . https://doi.org/10.1109/CVPR52729.2023.01635</w:t>
      </w:r>
    </w:p>
    <w:p>
      <w:pPr>
        <w:spacing w:line="480" w:lineRule="auto"/>
        <w:ind w:left="461" w:hanging="461"/>
      </w:pPr>
      <w:r>
        <w:rPr>
          <w:sz w:val="18"/>
        </w:rPr>
        <w:t>Crasto N (2024) Class imbalance in object detection: an experimental diagnosis and study of mitigation strategies. arXiv preprint arXiv:2403.07113</w:t>
      </w:r>
    </w:p>
    <w:p>
      <w:pPr>
        <w:spacing w:line="480" w:lineRule="auto"/>
        <w:ind w:left="461" w:hanging="461"/>
      </w:pPr>
      <w:r>
        <w:rPr>
          <w:sz w:val="18"/>
        </w:rPr>
        <w:t xml:space="preserve">Ghiasi G, Cui Y, Srinivas A et al (2021) Simple copy-paste is a strong data augmentation method for instance segmentation. In: Proc IEEE/CVF Conf. Comput. Vis. Pattern Recognit. (CVPR), pp 2918–2927 </w:t>
      </w:r>
    </w:p>
    <w:p>
      <w:pPr>
        <w:spacing w:line="480" w:lineRule="auto"/>
        <w:ind w:left="461" w:hanging="461"/>
      </w:pPr>
      <w:r>
        <w:rPr>
          <w:sz w:val="18"/>
        </w:rPr>
        <w:t>Gu Z, He D, Huang J et al (2024) Simultaneous detection of fruits and fruiting stems in mango using improved YOLOv8 model deployed by edge device. Comput Electron Agric 227:109512 . https://doi.org/10.1016/j.compag.2024.109512</w:t>
      </w:r>
    </w:p>
    <w:p>
      <w:pPr>
        <w:spacing w:line="480" w:lineRule="auto"/>
        <w:ind w:left="461" w:hanging="461"/>
      </w:pPr>
      <w:r>
        <w:rPr>
          <w:sz w:val="18"/>
        </w:rPr>
        <w:t>Guo A, Sun K, Zhang Z (2024) A lightweight YOLOv8 integrating FasterNet for real-time underwater object detection. J Real-Time Image Process 21(2):49 . https://doi.org/10.1007/s11554-024-01431-x</w:t>
      </w:r>
    </w:p>
    <w:p>
      <w:pPr>
        <w:spacing w:line="480" w:lineRule="auto"/>
        <w:ind w:left="461" w:hanging="461"/>
      </w:pPr>
      <w:r>
        <w:rPr>
          <w:sz w:val="18"/>
        </w:rPr>
        <w:t>Gupta A, Dollár P, Girshick R (2019) LVIS: a dataset for large vocabulary instance segmentation. In: Proc IEEE/CVF Conf. Comput. Vis. Pattern Recognit. (CVPR), pp 5356–5364 . https://doi.org/10.1109/CVPR.2019.00550</w:t>
      </w:r>
    </w:p>
    <w:p>
      <w:pPr>
        <w:spacing w:line="480" w:lineRule="auto"/>
        <w:ind w:left="461" w:hanging="461"/>
      </w:pPr>
      <w:r>
        <w:rPr>
          <w:sz w:val="18"/>
        </w:rPr>
        <w:t xml:space="preserve">Han K, Wang Y, Tian Q et al (2020) GhostNet: more features from cheap operations. In: Proc IEEE/CVF Conf. Comput. Vis. Pattern Recognit. (CVPR), pp 1580–1589 </w:t>
      </w:r>
    </w:p>
    <w:p>
      <w:pPr>
        <w:spacing w:line="480" w:lineRule="auto"/>
        <w:ind w:left="461" w:hanging="461"/>
      </w:pPr>
      <w:r>
        <w:rPr>
          <w:sz w:val="18"/>
        </w:rPr>
        <w:t>Howard AG, Zhu M, Chen B et al (2017) MobileNets: efficient convolutional neural networks for mobile vision applications. arXiv preprint arXiv:1704.04861</w:t>
      </w:r>
    </w:p>
    <w:p>
      <w:pPr>
        <w:spacing w:line="480" w:lineRule="auto"/>
        <w:ind w:left="461" w:hanging="461"/>
      </w:pPr>
      <w:r>
        <w:rPr>
          <w:sz w:val="18"/>
        </w:rPr>
        <w:t>Jocher G, Chaurasia A, Qiu J (2023) Ultralytics YOLOv8 (v8.0.0) [Computer software]. https://github.com/ultralytics/ultralytics</w:t>
      </w:r>
    </w:p>
    <w:p>
      <w:pPr>
        <w:spacing w:line="480" w:lineRule="auto"/>
        <w:ind w:left="461" w:hanging="461"/>
      </w:pPr>
      <w:r>
        <w:rPr>
          <w:sz w:val="18"/>
        </w:rPr>
        <w:t>Jocher G, Chaurasia A, Stoken A et al (2022) ultralytics/yolov5: v7.0—YOLOv5 SOTA realtime instance segmentation. Zenodo. https://doi.org/10.5281/zenodo.7347926</w:t>
      </w:r>
    </w:p>
    <w:p>
      <w:pPr>
        <w:spacing w:line="480" w:lineRule="auto"/>
        <w:ind w:left="461" w:hanging="461"/>
      </w:pPr>
      <w:r>
        <w:rPr>
          <w:sz w:val="18"/>
        </w:rPr>
        <w:t>Jocher G, Qiu J (2024) Ultralytics YOLO11 (v11.0.0) [Computer software]. https://github.com/ultralytics/ultralytics</w:t>
      </w:r>
    </w:p>
    <w:p>
      <w:pPr>
        <w:spacing w:line="480" w:lineRule="auto"/>
        <w:ind w:left="461" w:hanging="461"/>
      </w:pPr>
      <w:r>
        <w:rPr>
          <w:sz w:val="18"/>
        </w:rPr>
        <w:t>Kim J, Suh Y, Lee J et al (2022) EmbeddedPigCount: pig counting with video object detection and tracking on an embedded board. Sensors 22(7):2689 . https://doi.org/10.3390/s22072689</w:t>
      </w:r>
    </w:p>
    <w:p>
      <w:pPr>
        <w:spacing w:line="480" w:lineRule="auto"/>
        <w:ind w:left="461" w:hanging="461"/>
      </w:pPr>
      <w:r>
        <w:rPr>
          <w:sz w:val="18"/>
        </w:rPr>
        <w:t>Li R, Dai B, Hu Y et al (2024) Multi-behavior detection of group-housed pigs based on YOLOX and SCTS-SlowFast. Comput Electron Agric 225:109286 . https://doi.org/10.1016/j.compag.2024.109286</w:t>
      </w:r>
    </w:p>
    <w:p>
      <w:pPr>
        <w:spacing w:line="480" w:lineRule="auto"/>
        <w:ind w:left="461" w:hanging="461"/>
      </w:pPr>
      <w:r>
        <w:rPr>
          <w:sz w:val="18"/>
        </w:rPr>
        <w:t>Lin TY, Goyal P, Girshick R et al (2017) Focal loss for dense object detection. In: Proc IEEE Int. Conf. Comput. Vis. (ICCV), pp 2980–2988 . https://doi.org/10.1109/ICCV.2017.324</w:t>
      </w:r>
    </w:p>
    <w:p>
      <w:pPr>
        <w:spacing w:line="480" w:lineRule="auto"/>
        <w:ind w:left="461" w:hanging="461"/>
      </w:pPr>
      <w:r>
        <w:rPr>
          <w:sz w:val="18"/>
        </w:rPr>
        <w:t>Luo Y, Lin K, Xiao Z et al (2025a) Collaborative optimization of model pruning and knowledge distillation for efficient and lightweight multi-behavior recognition in piglets. Animals 15(11):1563 . https://doi.org/10.3390/ani15111563</w:t>
      </w:r>
    </w:p>
    <w:p>
      <w:pPr>
        <w:spacing w:line="480" w:lineRule="auto"/>
        <w:ind w:left="461" w:hanging="461"/>
      </w:pPr>
      <w:r>
        <w:rPr>
          <w:sz w:val="18"/>
        </w:rPr>
        <w:t>Luo Y, Lin K, Xiao Z et al (2025b) PBR-YOLO: a lightweight piglet multi-behavior recognition algorithm based on improved YOLOv8. Smart Agric Technol 10:100785 . https://doi.org/10.1016/j.atech.2025.100785</w:t>
      </w:r>
    </w:p>
    <w:p>
      <w:pPr>
        <w:spacing w:line="480" w:lineRule="auto"/>
        <w:ind w:left="461" w:hanging="461"/>
      </w:pPr>
      <w:r>
        <w:rPr>
          <w:sz w:val="18"/>
        </w:rPr>
        <w:t>Lv J, Wang G, Zhang M et al (2026) WFE-YOLO: a lightweight pig behavior detection model for livestock farming applications. INMATEH Agric Eng 78(1):1260–1273. https://doi.org/10.35633/inmateh-78-99</w:t>
      </w:r>
    </w:p>
    <w:p>
      <w:pPr>
        <w:spacing w:line="480" w:lineRule="auto"/>
        <w:ind w:left="461" w:hanging="461"/>
      </w:pPr>
      <w:r>
        <w:rPr>
          <w:sz w:val="18"/>
        </w:rPr>
        <w:t>Oksuz K, Cam BC, Kalkan S et al (2021) Imbalance problems in object detection: a review. IEEE Trans Pattern Anal Mach Intell 43(10):3388–3415 . https://doi.org/10.1109/TPAMI.2020.2981890</w:t>
      </w:r>
    </w:p>
    <w:p>
      <w:pPr>
        <w:spacing w:line="480" w:lineRule="auto"/>
        <w:ind w:left="461" w:hanging="461"/>
      </w:pPr>
      <w:r>
        <w:rPr>
          <w:sz w:val="18"/>
        </w:rPr>
        <w:t>Peden RSE, Turner SP, Boyle LA et al (2018) The translation of animal welfare research into practice: the case of mixing aggression between pigs. Appl Anim Behav Sci 204:1–9 . https://doi.org/10.1016/j.applanim.2018.03.003</w:t>
      </w:r>
    </w:p>
    <w:p>
      <w:pPr>
        <w:spacing w:line="480" w:lineRule="auto"/>
        <w:ind w:left="461" w:hanging="461"/>
      </w:pPr>
      <w:r>
        <w:rPr>
          <w:sz w:val="18"/>
        </w:rPr>
        <w:t>Qin C, Zhou Z (2024) YOLO-FGD: a fast lightweight PCB defect method based on FasterNet and the Gather-and-Distribute mechanism. J Real-Time Image Process 21(4):122 . https://doi.org/10.1007/s11554-024-01504-x</w:t>
      </w:r>
    </w:p>
    <w:p>
      <w:pPr>
        <w:spacing w:line="480" w:lineRule="auto"/>
        <w:ind w:left="461" w:hanging="461"/>
      </w:pPr>
      <w:r>
        <w:rPr>
          <w:sz w:val="18"/>
        </w:rPr>
        <w:t>Rahman M, Souza VHS, Brown-Brandl TM et al (2026) Accelerating sow nursing behavior monitoring with modified YOLO11n architecture and TensorRT integration. Porcine Health Manag . https://doi.org/10.1186/s40813-026-00507-3</w:t>
      </w:r>
    </w:p>
    <w:p>
      <w:pPr>
        <w:spacing w:line="480" w:lineRule="auto"/>
      </w:pPr>
      <w:r>
        <w:t>Redmon J, Divvala S, Girshick R et al (2016) You only look once: unified, real-time object detection. In: Proc IEEE Conf. Comput. Vis. Pattern Recognit. (CVPR), pp 779–788 . https://doi.org/10.1109/CVPR.2016.91</w:t>
      </w:r>
    </w:p>
    <w:p>
      <w:pPr>
        <w:spacing w:line="480" w:lineRule="auto"/>
      </w:pPr>
      <w:r>
        <w:t>Roboflow (2026a) Pig behavior dataset, version 1. Roboflow Universe. https://universe.roboflow.com/km-sd0ce/pig-behavior-wlvku. Accessed 20 July 2026</w:t>
      </w:r>
    </w:p>
    <w:p>
      <w:pPr>
        <w:spacing w:line="480" w:lineRule="auto"/>
      </w:pPr>
      <w:r>
        <w:t>Roboflow (2026b) Comportamentos dataset. Roboflow Universe. https://universe.roboflow.com/maria-dnxxx/comportamentos-vdzlw. Accessed 18 August 2026</w:t>
      </w:r>
    </w:p>
    <w:p>
      <w:pPr>
        <w:spacing w:line="480" w:lineRule="auto"/>
      </w:pPr>
      <w:r>
        <w:t xml:space="preserve">Tian Y, Ye Q, Doermann D (2025) YOLOv12: attention-centric real-time object detectors. arXiv preprint arXiv:2502.12524 </w:t>
      </w:r>
    </w:p>
    <w:p>
      <w:pPr>
        <w:spacing w:line="480" w:lineRule="auto"/>
      </w:pPr>
      <w:r>
        <w:t>Tu S, Zeng Q, Liang Y et al (2022) Automated behavior recognition and tracking of group-housed pigs with an improved DeepSORT method. Agriculture 12(11):1907 . https://doi.org/10.3390/agriculture12111907</w:t>
      </w:r>
    </w:p>
    <w:p>
      <w:pPr>
        <w:spacing w:line="480" w:lineRule="auto"/>
      </w:pPr>
      <w:r>
        <w:t>Yaman B, Mahmud T, Liu CH (2023) Instance-aware repeat factor sampling for long-tailed object detection. arXiv preprint arXiv:2305.08069</w:t>
      </w:r>
    </w:p>
    <w:p>
      <w:pPr>
        <w:spacing w:line="480" w:lineRule="auto"/>
      </w:pPr>
      <w:r>
        <w:t>Zhao Y, Lv W, Xu S et al (2024) DETRs beat YOLOs on real-time object detection. In: Proc IEEE/CVF Conf. Comput. Vis. Pattern Recognit. (CVPR), pp 16965–16974 . https://doi.org/10.1109/CVPR52733.2024.01605</w:t>
      </w:r>
    </w:p>
    <w:p>
      <w:pPr>
        <w:spacing w:line="480" w:lineRule="auto"/>
      </w:pPr>
      <w:r>
        <w:rPr>
          <w:sz w:val="18"/>
        </w:rPr>
        <w:t>Zhan Zhang is a third-year undergraduate student majoring in Animal Science at the School of Biological Science and Technology, Liupanshui Normal University, Liupanshui, China. Research interests include computer vision, edge computing, and their applications to precision livestock farming. This is a first peer-reviewed publication.</w:t>
      </w:r>
    </w:p>
    <w:p>
      <w:pPr>
        <w:spacing w:line="480" w:lineRule="auto"/>
      </w:pPr>
      <w:r>
        <w:rPr>
          <w:sz w:val="18"/>
        </w:rPr>
        <w:t>Linlin Gou is an undergraduate student at the School of Biological Science and Technology, Liupanshui Normal University, Liupanshui, China. Research interests include animal science and applied machine learning.</w:t>
      </w:r>
    </w:p>
    <w:sectPr w:rsidR="00FC693F" w:rsidRPr="0006063C" w:rsidSect="00034616">
      <w:footerReference w:type="default" r:id="rId20"/>
      <w:pgSz w:w="11906" w:h="16838"/>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