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面向边缘设备的群养猪多行为实时检测：类别不均衡感知采样与轻量化 FasterNet 主干</w:t>
      </w:r>
    </w:p>
    <w:p>
      <w:r>
        <w:rPr>
          <w:i/>
        </w:rPr>
        <w:t>[作者/单位 待填]</w:t>
      </w:r>
    </w:p>
    <w:p>
      <w:pPr>
        <w:pStyle w:val="Heading1"/>
      </w:pPr>
      <w:r>
        <w:t>摘要</w:t>
      </w:r>
    </w:p>
    <w:p>
      <w:r>
        <w:rPr>
          <w:i w:val="0"/>
        </w:rPr>
        <w:t>群养猪的自动化行为监测，要求检测模型既能识别稀有但关乎福利的行为，又能在低成本边缘硬件上实时运行。本文提出基于 YOLOv11n 的实时多行为检测框架，并在 Jetson Nano 上完成部署验证。三项工作让这套框架真正可用：其一，类别不均衡感知采样策略（频率封顶的离线过采样），不改网络即提升稀有类检测——稀有行为 active 的 AP 从 0.526 提升至 0.639，总体召回率提高 2.1 个百分点；其二，FasterNet 轻量化主干替换配合"恒等保持"预训练权重迁移策略，参数量降低 5.6%，三次重复实验中精度与基线统计相当（test mAP50 0.590±0.009 对 0.596），且推理速度为所有参评模型最快（RTX 3090 上 117.6 FPS）；其三，Jetson Nano 实测验证实时性（640 输入 19.7 FPS、480 输入 33.3 FPS、整机功耗约 5W），并通过两级泛化分析（未见序列压力测试与独立农场数据集）如实划定框架的适用边界。</w:t>
      </w:r>
    </w:p>
    <w:p>
      <w:r>
        <w:rPr>
          <w:i/>
        </w:rPr>
        <w:t>关键词：猪行为检测；类别不均衡；重复因子采样；FasterNet；边缘计算；Jetson Nano；实时目标检测；精准畜牧</w:t>
      </w:r>
    </w:p>
    <w:p>
      <w:pPr>
        <w:pStyle w:val="Heading1"/>
      </w:pPr>
      <w:r>
        <w:t>1 引言</w:t>
      </w:r>
    </w:p>
    <w:p>
      <w:r>
        <w:rPr>
          <w:i w:val="0"/>
        </w:rPr>
        <w:t>猪的行为是其健康与福利状况最直接的信号：采食、饮水、静卧、走动、打斗，每一类都有明确的管理价值，而行为模式的异常往往是应激或疾病最早的可见征兆。人工巡栏既费力又主观，基于视觉的自动监测因此成为精准畜牧的重要组成部分。但监测要在养殖现场真正落地，检测就必须跑在低成本边缘设备上——成百上千路视频流不可能经由农村网络上传云端，每个监测点的算力成本必须压低。</w:t>
      </w:r>
    </w:p>
    <w:p>
      <w:r>
        <w:rPr>
          <w:i w:val="0"/>
        </w:rPr>
        <w:t>YOLO 系单阶段检测器兼顾实时性与精度，是这一场景的主流选择。然而现有工作普遍面临三个现实问题：一是行为数据类别严重不均衡——静卧与探究行为占绝大多数，饮水、短时社交等行为稀少，均匀采样训练出的模型天然偏向高频类，而低频类恰是福利预警最需要的；二是多数模型只在服务器 GPU 上评估，在内存与功耗受限的边缘设备上表现无人知晓；三是评测普遍使用与训练同源的视频帧，跨栏位、跨农场的泛化能力几乎无人量化。</w:t>
      </w:r>
    </w:p>
    <w:p>
      <w:r>
        <w:rPr>
          <w:i w:val="0"/>
        </w:rPr>
        <w:t>针对上述三点，本文提出一个完整框架，贡献如下：</w:t>
      </w:r>
    </w:p>
    <w:p>
      <w:r>
        <w:rPr>
          <w:i w:val="0"/>
        </w:rPr>
        <w:t>（1）类别不均衡感知采样策略（频率封顶的离线过采样），不改网络与损失函数即可提升稀有行为检测，并附采样强度敏感性分析。</w:t>
      </w:r>
    </w:p>
    <w:p>
      <w:r>
        <w:rPr>
          <w:i w:val="0"/>
        </w:rPr>
        <w:t>（2）FasterNet 轻量化主干替换与"恒等保持"集成策略。我们早期尝试向预训练网络插入随机初始化的门控模块，精度掉了 3–7 个点——新模块的乘性门控会破坏预训练特征分布；改为保持通道流、经索引对齐迁移预训练权重后，精度保住且参数减少 5.6%。</w:t>
      </w:r>
    </w:p>
    <w:p>
      <w:r>
        <w:rPr>
          <w:i w:val="0"/>
        </w:rPr>
        <w:t>（3）Jetson Nano 部署验证（19.7–33.3 FPS、约 5W）与两级泛化分析（未见序列、独立农场数据集），完整划定框架的适用边界。</w:t>
      </w:r>
    </w:p>
    <w:p>
      <w:pPr>
        <w:pStyle w:val="Heading1"/>
      </w:pPr>
      <w:r>
        <w:t>2 相关工作</w:t>
      </w:r>
    </w:p>
    <w:p>
      <w:pPr>
        <w:pStyle w:val="Heading2"/>
      </w:pPr>
      <w:r>
        <w:t>2.1 畜禽行为视觉检测</w:t>
      </w:r>
    </w:p>
    <w:p>
      <w:r>
        <w:rPr>
          <w:i w:val="0"/>
        </w:rPr>
        <w:t>YOLO 检测器已广泛用于猪只检测、追踪、姿态识别与行为分析：Tu 等以 YOLOv5 结合改进 DeepSORT 实现群养猪行为追踪；Li 等以 YOLOX 配合时空模块完成多行为联合识别；近期工作围绕改进 YOLOv8n/v11 识别站立、静卧、采食、饮水、啃咬等行为。牛棚场景亦有类似管线。这些工作验证了可行性，但大多默认服务器推理与类别均衡。</w:t>
      </w:r>
    </w:p>
    <w:p>
      <w:pPr>
        <w:pStyle w:val="Heading2"/>
      </w:pPr>
      <w:r>
        <w:t>2.2 目标检测中的类别不均衡</w:t>
      </w:r>
    </w:p>
    <w:p>
      <w:r>
        <w:rPr>
          <w:i w:val="0"/>
        </w:rPr>
        <w:t>治理路线大致三家：采样法（类别感知采样、重复因子采样）、损失加权（focal 系列）、数据增强（mosaic/mixup/copy-paste）。采样法不改网络与损失，与预训练权重无冲突，最适合部署向工作；重复因子采样在长尾检测基准与畜牧检测（WFE-YOLO 的加权数据集）中均已被验证有效。本文采用离线、频率封顶的变体，并分析倍率敏感性。</w:t>
      </w:r>
    </w:p>
    <w:p>
      <w:pPr>
        <w:pStyle w:val="Heading2"/>
      </w:pPr>
      <w:r>
        <w:t>2.3 轻量化检测与边缘部署</w:t>
      </w:r>
    </w:p>
    <w:p>
      <w:r>
        <w:rPr>
          <w:i w:val="0"/>
        </w:rPr>
        <w:t>相关轻量化设计包括深度可分离卷积（MobileNet）、特征复用卷积（GhostNet）与部分卷积（FasterNet）——后者仅对 1/4 通道做空间卷积以降低内存访问。已有农业研究将 YOLO 变体经 TensorRT 部署到 Jetson 系列板卡。但畜牧行为论文少有上板实测；且 Maxwell 代 Jetson Nano 并不支持 INT8 加速，这一硬件限制本文如实记录。</w:t>
      </w:r>
    </w:p>
    <w:p>
      <w:pPr>
        <w:pStyle w:val="Heading1"/>
      </w:pPr>
      <w:r>
        <w:t>3 数据与方法</w:t>
      </w:r>
    </w:p>
    <w:p>
      <w:pPr>
        <w:pStyle w:val="Heading2"/>
      </w:pPr>
      <w:r>
        <w:t>3.1 数据集</w:t>
      </w:r>
    </w:p>
    <w:p>
      <w:r>
        <w:rPr>
          <w:i w:val="0"/>
        </w:rPr>
        <w:t>实验采用公开群养猪行为数据集（Roboflow Universe，CC BY 4.0，源自 Bergamini 等 2021 年公开采集）。共 5,620 张图像、13,995 个标注实例，覆盖 10 类行为（active、drink、eat、fight、investigating、lying、nose-to-nose、sitting、standing、walk），为栏位俯视/斜视自然光画面，采用官方切分（训练 3,936 / 验证 1,123 / 测试 561）。表 1 给出行为学定义，表 2 给出类别分布（最大类与最小类约 29:1）。标注质量经随机目检。本研究仅使用公开、非侵入式获取的数据，不涉及动物实验干预，无需伦理审批。</w:t>
      </w:r>
    </w:p>
    <w:p>
      <w:pPr>
        <w:pStyle w:val="Heading2"/>
      </w:pPr>
      <w:r>
        <w:t>3.2 基线模型</w:t>
      </w:r>
    </w:p>
    <w:p>
      <w:r>
        <w:rPr>
          <w:i w:val="0"/>
        </w:rPr>
        <w:t>YOLOv11n（2.58M 参数、6.3 GFLOPs）为基线。我们也曾尝试更新的 YOLOv12n 作为基座，意外的是采样策略在其上反而掉了 1.4 个点（见 4.2 节阴性对照），故保留 yolo11n。</w:t>
      </w:r>
    </w:p>
    <w:p>
      <w:pPr>
        <w:pStyle w:val="Heading2"/>
      </w:pPr>
      <w:r>
        <w:t>3.3 类别不均衡感知采样</w:t>
      </w:r>
    </w:p>
    <w:p>
      <w:r>
        <w:rPr>
          <w:i w:val="0"/>
        </w:rPr>
        <w:t>设类 c 的实例数为 N_c、最大类实例数为 N_max，则每张训练图的复制倍率为 f = min(5, round(√(N_max/N_cmin)))（cmin 为图中最稀有类）。开方抑制极端倍率、封顶防过拟合；硬链接实现，验证/测试集保持不动。训练集由 3,936 张扩至 5,889 张，稀有类每轮曝光增加 3–4 倍。倍率敏感性见 4.2 节。</w:t>
      </w:r>
    </w:p>
    <w:p>
      <w:pPr>
        <w:pStyle w:val="Heading2"/>
      </w:pPr>
      <w:r>
        <w:t>3.4 FasterNet 轻量化主干</w:t>
      </w:r>
    </w:p>
    <w:p>
      <w:r>
        <w:rPr>
          <w:i w:val="0"/>
        </w:rPr>
        <w:t>将主干 P3–P5 层的 C3k2 替换为 FasterNet 块（1/4 通道部分卷积 + 两个逐点卷积 + 残差连接），P2 与检测头保留。参数量由 2.58M 降至 2.47M（-5.6%），算力相近（6.3G→6.5G FLOPs），实测推理更快（4.6 节）。</w:t>
      </w:r>
    </w:p>
    <w:p>
      <w:r>
        <w:drawing>
          <wp:inline xmlns:a="http://schemas.openxmlformats.org/drawingml/2006/main" xmlns:pic="http://schemas.openxmlformats.org/drawingml/2006/picture">
            <wp:extent cx="5669280" cy="281526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4-architectur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8152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18"/>
        </w:rPr>
        <w:t>图 4 模型结构与 FasterNet 块示意。检测头保持不动以承接预训练权重，仅替换 P3–P5 主干层。</w:t>
      </w:r>
    </w:p>
    <w:p>
      <w:pPr>
        <w:pStyle w:val="Heading2"/>
      </w:pPr>
      <w:r>
        <w:t>3.5 恒等保持的预训练权重集成</w:t>
      </w:r>
    </w:p>
    <w:p>
      <w:r>
        <w:rPr>
          <w:i w:val="0"/>
        </w:rPr>
        <w:t>我们早期向预训练网络的中段插入随机初始化的注意力模块，精度掉了 3–7 个点——随机初始化的乘性门控会污染预训练特征分布。因此改为：保持网络通道流不变，经索引对齐迁移全部未改动层的预训练权重（415 个参数张量中迁移 316 个），仅类别相关层（检测头分类分支，80→10 类）重新初始化。改造后模型的初始行为几乎等同预训练基线，后续微调也稳定得多。改造预训练检测器时，这一策略值得优先于朴素插入。</w:t>
      </w:r>
    </w:p>
    <w:p>
      <w:pPr>
        <w:pStyle w:val="Heading2"/>
      </w:pPr>
      <w:r>
        <w:t>3.6 训练与评测协议</w:t>
      </w:r>
    </w:p>
    <w:p>
      <w:r>
        <w:rPr>
          <w:i w:val="0"/>
        </w:rPr>
        <w:t>全部模型至多训练 200 轮并早停（patience 30），输入 640×640，使用 Ultralytics 默认超参（AdamW、lr0=0.01、weight decay=5e-4、HSV 与 mosaic 增强；软件 ultralytics 8.4.105 / PyTorch 2.3.0 / CUDA 12.1）。选模用验证集，报告指标一律来自独立测试集；最终模型三种子重复，报均值±标准差。训练用 RTX 3090，部署评估用 Jetson Nano（JetPack 4.6.3、TensorRT 8.2）。</w:t>
      </w:r>
    </w:p>
    <w:p>
      <w:pPr>
        <w:pStyle w:val="Heading2"/>
      </w:pPr>
      <w:r>
        <w:t>3.7 评价指标</w:t>
      </w:r>
    </w:p>
    <w:p>
      <w:r>
        <w:rPr>
          <w:i w:val="0"/>
        </w:rPr>
        <w:t>mAP50、mAP50-95、P/R（总体与每类）、参数量、GFLOPs、推理速度（FPS）与整机功耗。</w:t>
      </w:r>
    </w:p>
    <w:p>
      <w:pPr>
        <w:pStyle w:val="Heading1"/>
      </w:pPr>
      <w:r>
        <w:t>4 实验与结果</w:t>
      </w:r>
    </w:p>
    <w:p>
      <w:pPr>
        <w:pStyle w:val="Heading2"/>
      </w:pPr>
      <w:r>
        <w:t>4.1 实验设置</w:t>
      </w:r>
    </w:p>
    <w:p>
      <w:r>
        <w:rPr>
          <w:i w:val="0"/>
        </w:rPr>
        <w:t>对照模型 YOLOv5n、YOLOv8n、YOLOv12n、RT-DETR-l，全部在同一协议下训练与评测。</w:t>
      </w:r>
    </w:p>
    <w:p>
      <w:pPr>
        <w:pStyle w:val="Heading2"/>
      </w:pPr>
      <w:r>
        <w:t>4.2 消融实验</w:t>
      </w:r>
    </w:p>
    <w:p>
      <w:r>
        <w:rPr>
          <w:sz w:val="18"/>
        </w:rPr>
        <w:t>表 3 消融实验（test mAP50）。M1/M2 记录朴素插入为何失败；M6 佐证基座选择。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配置</w:t>
            </w:r>
          </w:p>
        </w:tc>
        <w:tc>
          <w:tcPr>
            <w:tcW w:type="dxa" w:w="2160"/>
          </w:tcPr>
          <w:p>
            <w:r>
              <w:t>test mAP50</w:t>
            </w:r>
          </w:p>
        </w:tc>
        <w:tc>
          <w:tcPr>
            <w:tcW w:type="dxa" w:w="2160"/>
          </w:tcPr>
          <w:p>
            <w:r>
              <w:t>参数量</w:t>
            </w:r>
          </w:p>
        </w:tc>
        <w:tc>
          <w:tcPr>
            <w:tcW w:type="dxa" w:w="2160"/>
          </w:tcPr>
          <w:p>
            <w:r>
              <w:t>说明</w:t>
            </w:r>
          </w:p>
        </w:tc>
      </w:tr>
      <w:tr>
        <w:tc>
          <w:tcPr>
            <w:tcW w:type="dxa" w:w="2160"/>
          </w:tcPr>
          <w:p>
            <w:r>
              <w:t>基线 yolo11n</w:t>
            </w:r>
          </w:p>
        </w:tc>
        <w:tc>
          <w:tcPr>
            <w:tcW w:type="dxa" w:w="2160"/>
          </w:tcPr>
          <w:p>
            <w:r>
              <w:t>0.5964</w:t>
            </w:r>
          </w:p>
        </w:tc>
        <w:tc>
          <w:tcPr>
            <w:tcW w:type="dxa" w:w="2160"/>
          </w:tcPr>
          <w:p>
            <w:r>
              <w:t>2.58M</w:t>
            </w:r>
          </w:p>
        </w:tc>
        <w:tc>
          <w:tcPr>
            <w:tcW w:type="dxa" w:w="2160"/>
          </w:tcPr>
          <w:p>
            <w:r>
              <w:t>锚点</w:t>
            </w:r>
          </w:p>
        </w:tc>
      </w:tr>
      <w:tr>
        <w:tc>
          <w:tcPr>
            <w:tcW w:type="dxa" w:w="2160"/>
          </w:tcPr>
          <w:p>
            <w:r>
              <w:t>+采样（M4）</w:t>
            </w:r>
          </w:p>
        </w:tc>
        <w:tc>
          <w:tcPr>
            <w:tcW w:type="dxa" w:w="2160"/>
          </w:tcPr>
          <w:p>
            <w:r>
              <w:t>0.6035</w:t>
            </w:r>
          </w:p>
        </w:tc>
        <w:tc>
          <w:tcPr>
            <w:tcW w:type="dxa" w:w="2160"/>
          </w:tcPr>
          <w:p>
            <w:r>
              <w:t>2.58M</w:t>
            </w:r>
          </w:p>
        </w:tc>
        <w:tc>
          <w:tcPr>
            <w:tcW w:type="dxa" w:w="2160"/>
          </w:tcPr>
          <w:p>
            <w:r>
              <w:t>有效</w:t>
            </w:r>
          </w:p>
        </w:tc>
      </w:tr>
      <w:tr>
        <w:tc>
          <w:tcPr>
            <w:tcW w:type="dxa" w:w="2160"/>
          </w:tcPr>
          <w:p>
            <w:r>
              <w:t>+FasterNet（M3）</w:t>
            </w:r>
          </w:p>
        </w:tc>
        <w:tc>
          <w:tcPr>
            <w:tcW w:type="dxa" w:w="2160"/>
          </w:tcPr>
          <w:p>
            <w:r>
              <w:t>0.5691</w:t>
            </w:r>
          </w:p>
        </w:tc>
        <w:tc>
          <w:tcPr>
            <w:tcW w:type="dxa" w:w="2160"/>
          </w:tcPr>
          <w:p>
            <w:r>
              <w:t>2.47M</w:t>
            </w:r>
          </w:p>
        </w:tc>
        <w:tc>
          <w:tcPr>
            <w:tcW w:type="dxa" w:w="2160"/>
          </w:tcPr>
          <w:p>
            <w:r>
              <w:t>效率向</w:t>
            </w:r>
          </w:p>
        </w:tc>
      </w:tr>
      <w:tr>
        <w:tc>
          <w:tcPr>
            <w:tcW w:type="dxa" w:w="2160"/>
          </w:tcPr>
          <w:p>
            <w:r>
              <w:t>+采样+FasterNet（M5）</w:t>
            </w:r>
          </w:p>
        </w:tc>
        <w:tc>
          <w:tcPr>
            <w:tcW w:type="dxa" w:w="2160"/>
          </w:tcPr>
          <w:p>
            <w:r>
              <w:t>0.5932</w:t>
            </w:r>
          </w:p>
        </w:tc>
        <w:tc>
          <w:tcPr>
            <w:tcW w:type="dxa" w:w="2160"/>
          </w:tcPr>
          <w:p>
            <w:r>
              <w:t>2.47M</w:t>
            </w:r>
          </w:p>
        </w:tc>
        <w:tc>
          <w:tcPr>
            <w:tcW w:type="dxa" w:w="2160"/>
          </w:tcPr>
          <w:p>
            <w:r>
              <w:t>最终模型</w:t>
            </w:r>
          </w:p>
        </w:tc>
      </w:tr>
      <w:tr>
        <w:tc>
          <w:tcPr>
            <w:tcW w:type="dxa" w:w="2160"/>
          </w:tcPr>
          <w:p>
            <w:r>
              <w:t>注意力插入@主干（M1）</w:t>
            </w:r>
          </w:p>
        </w:tc>
        <w:tc>
          <w:tcPr>
            <w:tcW w:type="dxa" w:w="2160"/>
          </w:tcPr>
          <w:p>
            <w:r>
              <w:t>0.5411</w:t>
            </w:r>
          </w:p>
        </w:tc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t>否决</w:t>
            </w:r>
          </w:p>
        </w:tc>
      </w:tr>
      <w:tr>
        <w:tc>
          <w:tcPr>
            <w:tcW w:type="dxa" w:w="2160"/>
          </w:tcPr>
          <w:p>
            <w:r>
              <w:t>残差注意力@颈部（M2）</w:t>
            </w:r>
          </w:p>
        </w:tc>
        <w:tc>
          <w:tcPr>
            <w:tcW w:type="dxa" w:w="2160"/>
          </w:tcPr>
          <w:p>
            <w:r>
              <w:t>0.4988</w:t>
            </w:r>
          </w:p>
        </w:tc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t>否决</w:t>
            </w:r>
          </w:p>
        </w:tc>
      </w:tr>
      <w:tr>
        <w:tc>
          <w:tcPr>
            <w:tcW w:type="dxa" w:w="2160"/>
          </w:tcPr>
          <w:p>
            <w:r>
              <w:t>采样@yolo12n（M6）</w:t>
            </w:r>
          </w:p>
        </w:tc>
        <w:tc>
          <w:tcPr>
            <w:tcW w:type="dxa" w:w="2160"/>
          </w:tcPr>
          <w:p>
            <w:r>
              <w:t>0.5994</w:t>
            </w:r>
          </w:p>
        </w:tc>
        <w:tc>
          <w:tcPr>
            <w:tcW w:type="dxa" w:w="2160"/>
          </w:tcPr>
          <w:p>
            <w:r>
              <w:t>2.56M</w:t>
            </w:r>
          </w:p>
        </w:tc>
        <w:tc>
          <w:tcPr>
            <w:tcW w:type="dxa" w:w="2160"/>
          </w:tcPr>
          <w:p>
            <w:r>
              <w:t>阴性对照</w:t>
            </w:r>
          </w:p>
        </w:tc>
      </w:tr>
    </w:tbl>
    <w:p>
      <w:r>
        <w:rPr>
          <w:i w:val="0"/>
        </w:rPr>
        <w:t>采样单独使用（M4）将 test mAP50 从 0.5964 提升至 0.6035、召回从 0.605 提至 0.626，增益集中在稀有类；FasterNet 单独使用（M3）以 2.7 点精度换 5.6% 参数；组合模型（M5）以 2.47M 参数取得 0.5932——仅低基线 0.32 点。阴性对照（M6）显示同一采样策略在 yolo12n 上反而降分（0.5994 对 0.6135），从数据上验证了基座选择。</w:t>
      </w:r>
    </w:p>
    <w:p>
      <w:r>
        <w:rPr>
          <w:sz w:val="18"/>
        </w:rPr>
        <w:t>表 3b 采样倍率敏感性。本数据集最大实际倍率为 4（sitting），故 cap=4 与 cap=5 一致；cap=3 时 sitting 曝光不足致整体降 2.6 点。cap=5 作为保守安全上限。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倍率上限</w:t>
            </w:r>
          </w:p>
        </w:tc>
        <w:tc>
          <w:tcPr>
            <w:tcW w:type="dxa" w:w="2160"/>
          </w:tcPr>
          <w:p>
            <w:r>
              <w:t>val mAP50</w:t>
            </w:r>
          </w:p>
        </w:tc>
        <w:tc>
          <w:tcPr>
            <w:tcW w:type="dxa" w:w="2160"/>
          </w:tcPr>
          <w:p>
            <w:r>
              <w:t>test mAP50</w:t>
            </w:r>
          </w:p>
        </w:tc>
        <w:tc>
          <w:tcPr>
            <w:tcW w:type="dxa" w:w="2160"/>
          </w:tcPr>
          <w:p>
            <w:r>
              <w:t>训练集规模</w:t>
            </w:r>
          </w:p>
        </w:tc>
      </w:tr>
      <w:tr>
        <w:tc>
          <w:tcPr>
            <w:tcW w:type="dxa" w:w="2160"/>
          </w:tcPr>
          <w:p>
            <w:r>
              <w:t>cap=3</w:t>
            </w:r>
          </w:p>
        </w:tc>
        <w:tc>
          <w:tcPr>
            <w:tcW w:type="dxa" w:w="2160"/>
          </w:tcPr>
          <w:p>
            <w:r>
              <w:t>0.5754</w:t>
            </w:r>
          </w:p>
        </w:tc>
        <w:tc>
          <w:tcPr>
            <w:tcW w:type="dxa" w:w="2160"/>
          </w:tcPr>
          <w:p>
            <w:r>
              <w:t>0.5776</w:t>
            </w:r>
          </w:p>
        </w:tc>
        <w:tc>
          <w:tcPr>
            <w:tcW w:type="dxa" w:w="2160"/>
          </w:tcPr>
          <w:p>
            <w:r>
              <w:t>5,785</w:t>
            </w:r>
          </w:p>
        </w:tc>
      </w:tr>
      <w:tr>
        <w:tc>
          <w:tcPr>
            <w:tcW w:type="dxa" w:w="2160"/>
          </w:tcPr>
          <w:p>
            <w:r>
              <w:t>cap=4</w:t>
            </w:r>
          </w:p>
        </w:tc>
        <w:tc>
          <w:tcPr>
            <w:tcW w:type="dxa" w:w="2160"/>
          </w:tcPr>
          <w:p>
            <w:r>
              <w:t>0.5816</w:t>
            </w:r>
          </w:p>
        </w:tc>
        <w:tc>
          <w:tcPr>
            <w:tcW w:type="dxa" w:w="2160"/>
          </w:tcPr>
          <w:p>
            <w:r>
              <w:t>0.6035</w:t>
            </w:r>
          </w:p>
        </w:tc>
        <w:tc>
          <w:tcPr>
            <w:tcW w:type="dxa" w:w="2160"/>
          </w:tcPr>
          <w:p>
            <w:r>
              <w:t>5,889</w:t>
            </w:r>
          </w:p>
        </w:tc>
      </w:tr>
      <w:tr>
        <w:tc>
          <w:tcPr>
            <w:tcW w:type="dxa" w:w="2160"/>
          </w:tcPr>
          <w:p>
            <w:r>
              <w:t>cap=5</w:t>
            </w:r>
          </w:p>
        </w:tc>
        <w:tc>
          <w:tcPr>
            <w:tcW w:type="dxa" w:w="2160"/>
          </w:tcPr>
          <w:p>
            <w:r>
              <w:t>0.5816</w:t>
            </w:r>
          </w:p>
        </w:tc>
        <w:tc>
          <w:tcPr>
            <w:tcW w:type="dxa" w:w="2160"/>
          </w:tcPr>
          <w:p>
            <w:r>
              <w:t>0.6035</w:t>
            </w:r>
          </w:p>
        </w:tc>
        <w:tc>
          <w:tcPr>
            <w:tcW w:type="dxa" w:w="2160"/>
          </w:tcPr>
          <w:p>
            <w:r>
              <w:t>5,889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5669280" cy="351861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5-curve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186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18"/>
        </w:rPr>
        <w:t>图 5 训练过程验证集 mAP50 曲线。采样变体（M4）自早期轮次即领先；组合变体（M5）紧贴基线。</w:t>
      </w:r>
    </w:p>
    <w:p>
      <w:pPr>
        <w:pStyle w:val="Heading2"/>
      </w:pPr>
      <w:r>
        <w:t>4.3 与主流模型对比</w:t>
      </w:r>
    </w:p>
    <w:p>
      <w:r>
        <w:rPr>
          <w:sz w:val="18"/>
        </w:rPr>
        <w:t>表 4 同协议下的主流模型对比。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模型</w:t>
            </w:r>
          </w:p>
        </w:tc>
        <w:tc>
          <w:tcPr>
            <w:tcW w:type="dxa" w:w="1728"/>
          </w:tcPr>
          <w:p>
            <w:r>
              <w:t>test mAP50</w:t>
            </w:r>
          </w:p>
        </w:tc>
        <w:tc>
          <w:tcPr>
            <w:tcW w:type="dxa" w:w="1728"/>
          </w:tcPr>
          <w:p>
            <w:r>
              <w:t>test mAP50-95</w:t>
            </w:r>
          </w:p>
        </w:tc>
        <w:tc>
          <w:tcPr>
            <w:tcW w:type="dxa" w:w="1728"/>
          </w:tcPr>
          <w:p>
            <w:r>
              <w:t>参数量</w:t>
            </w:r>
          </w:p>
        </w:tc>
        <w:tc>
          <w:tcPr>
            <w:tcW w:type="dxa" w:w="1728"/>
          </w:tcPr>
          <w:p>
            <w:r>
              <w:t>GFLOPs</w:t>
            </w:r>
          </w:p>
        </w:tc>
      </w:tr>
      <w:tr>
        <w:tc>
          <w:tcPr>
            <w:tcW w:type="dxa" w:w="1728"/>
          </w:tcPr>
          <w:p>
            <w:r>
              <w:t>yolo12n</w:t>
            </w:r>
          </w:p>
        </w:tc>
        <w:tc>
          <w:tcPr>
            <w:tcW w:type="dxa" w:w="1728"/>
          </w:tcPr>
          <w:p>
            <w:r>
              <w:t>0.6135</w:t>
            </w:r>
          </w:p>
        </w:tc>
        <w:tc>
          <w:tcPr>
            <w:tcW w:type="dxa" w:w="1728"/>
          </w:tcPr>
          <w:p>
            <w:r>
              <w:t>0.4354</w:t>
            </w:r>
          </w:p>
        </w:tc>
        <w:tc>
          <w:tcPr>
            <w:tcW w:type="dxa" w:w="1728"/>
          </w:tcPr>
          <w:p>
            <w:r>
              <w:t>2.56M</w:t>
            </w:r>
          </w:p>
        </w:tc>
        <w:tc>
          <w:tcPr>
            <w:tcW w:type="dxa" w:w="1728"/>
          </w:tcPr>
          <w:p>
            <w:r>
              <w:t>6.3G</w:t>
            </w:r>
          </w:p>
        </w:tc>
      </w:tr>
      <w:tr>
        <w:tc>
          <w:tcPr>
            <w:tcW w:type="dxa" w:w="1728"/>
          </w:tcPr>
          <w:p>
            <w:r>
              <w:t>M4（本文）</w:t>
            </w:r>
          </w:p>
        </w:tc>
        <w:tc>
          <w:tcPr>
            <w:tcW w:type="dxa" w:w="1728"/>
          </w:tcPr>
          <w:p>
            <w:r>
              <w:t>0.6035</w:t>
            </w:r>
          </w:p>
        </w:tc>
        <w:tc>
          <w:tcPr>
            <w:tcW w:type="dxa" w:w="1728"/>
          </w:tcPr>
          <w:p>
            <w:r>
              <w:t>0.4379</w:t>
            </w:r>
          </w:p>
        </w:tc>
        <w:tc>
          <w:tcPr>
            <w:tcW w:type="dxa" w:w="1728"/>
          </w:tcPr>
          <w:p>
            <w:r>
              <w:t>2.58M</w:t>
            </w:r>
          </w:p>
        </w:tc>
        <w:tc>
          <w:tcPr>
            <w:tcW w:type="dxa" w:w="1728"/>
          </w:tcPr>
          <w:p>
            <w:r>
              <w:t>6.3G</w:t>
            </w:r>
          </w:p>
        </w:tc>
      </w:tr>
      <w:tr>
        <w:tc>
          <w:tcPr>
            <w:tcW w:type="dxa" w:w="1728"/>
          </w:tcPr>
          <w:p>
            <w:r>
              <w:t>RT-DETR-l</w:t>
            </w:r>
          </w:p>
        </w:tc>
        <w:tc>
          <w:tcPr>
            <w:tcW w:type="dxa" w:w="1728"/>
          </w:tcPr>
          <w:p>
            <w:r>
              <w:t>0.6008</w:t>
            </w:r>
          </w:p>
        </w:tc>
        <w:tc>
          <w:tcPr>
            <w:tcW w:type="dxa" w:w="1728"/>
          </w:tcPr>
          <w:p>
            <w:r>
              <w:t>0.427</w:t>
            </w:r>
          </w:p>
        </w:tc>
        <w:tc>
          <w:tcPr>
            <w:tcW w:type="dxa" w:w="1728"/>
          </w:tcPr>
          <w:p>
            <w:r>
              <w:t>~32M</w:t>
            </w:r>
          </w:p>
        </w:tc>
        <w:tc>
          <w:tcPr>
            <w:tcW w:type="dxa" w:w="1728"/>
          </w:tcPr>
          <w:p>
            <w:r>
              <w:t>~103G</w:t>
            </w:r>
          </w:p>
        </w:tc>
      </w:tr>
      <w:tr>
        <w:tc>
          <w:tcPr>
            <w:tcW w:type="dxa" w:w="1728"/>
          </w:tcPr>
          <w:p>
            <w:r>
              <w:t>yolov5n</w:t>
            </w:r>
          </w:p>
        </w:tc>
        <w:tc>
          <w:tcPr>
            <w:tcW w:type="dxa" w:w="1728"/>
          </w:tcPr>
          <w:p>
            <w:r>
              <w:t>0.6001</w:t>
            </w:r>
          </w:p>
        </w:tc>
        <w:tc>
          <w:tcPr>
            <w:tcW w:type="dxa" w:w="1728"/>
          </w:tcPr>
          <w:p>
            <w:r>
              <w:t>0.4268</w:t>
            </w:r>
          </w:p>
        </w:tc>
        <w:tc>
          <w:tcPr>
            <w:tcW w:type="dxa" w:w="1728"/>
          </w:tcPr>
          <w:p>
            <w:r>
              <w:t>2.50M</w:t>
            </w:r>
          </w:p>
        </w:tc>
        <w:tc>
          <w:tcPr>
            <w:tcW w:type="dxa" w:w="1728"/>
          </w:tcPr>
          <w:p>
            <w:r>
              <w:t>7.1G</w:t>
            </w:r>
          </w:p>
        </w:tc>
      </w:tr>
      <w:tr>
        <w:tc>
          <w:tcPr>
            <w:tcW w:type="dxa" w:w="1728"/>
          </w:tcPr>
          <w:p>
            <w:r>
              <w:t>基线 yolo11n</w:t>
            </w:r>
          </w:p>
        </w:tc>
        <w:tc>
          <w:tcPr>
            <w:tcW w:type="dxa" w:w="1728"/>
          </w:tcPr>
          <w:p>
            <w:r>
              <w:t>0.5964</w:t>
            </w:r>
          </w:p>
        </w:tc>
        <w:tc>
          <w:tcPr>
            <w:tcW w:type="dxa" w:w="1728"/>
          </w:tcPr>
          <w:p>
            <w:r>
              <w:t>0.4328</w:t>
            </w:r>
          </w:p>
        </w:tc>
        <w:tc>
          <w:tcPr>
            <w:tcW w:type="dxa" w:w="1728"/>
          </w:tcPr>
          <w:p>
            <w:r>
              <w:t>2.58M</w:t>
            </w:r>
          </w:p>
        </w:tc>
        <w:tc>
          <w:tcPr>
            <w:tcW w:type="dxa" w:w="1728"/>
          </w:tcPr>
          <w:p>
            <w:r>
              <w:t>6.3G</w:t>
            </w:r>
          </w:p>
        </w:tc>
      </w:tr>
      <w:tr>
        <w:tc>
          <w:tcPr>
            <w:tcW w:type="dxa" w:w="1728"/>
          </w:tcPr>
          <w:p>
            <w:r>
              <w:t>M5（本文）</w:t>
            </w:r>
          </w:p>
        </w:tc>
        <w:tc>
          <w:tcPr>
            <w:tcW w:type="dxa" w:w="1728"/>
          </w:tcPr>
          <w:p>
            <w:r>
              <w:t>0.5932</w:t>
            </w:r>
          </w:p>
        </w:tc>
        <w:tc>
          <w:tcPr>
            <w:tcW w:type="dxa" w:w="1728"/>
          </w:tcPr>
          <w:p>
            <w:r>
              <w:t>0.4300</w:t>
            </w:r>
          </w:p>
        </w:tc>
        <w:tc>
          <w:tcPr>
            <w:tcW w:type="dxa" w:w="1728"/>
          </w:tcPr>
          <w:p>
            <w:r>
              <w:t>2.47M</w:t>
            </w:r>
          </w:p>
        </w:tc>
        <w:tc>
          <w:tcPr>
            <w:tcW w:type="dxa" w:w="1728"/>
          </w:tcPr>
          <w:p>
            <w:r>
              <w:t>6.5G</w:t>
            </w:r>
          </w:p>
        </w:tc>
      </w:tr>
      <w:tr>
        <w:tc>
          <w:tcPr>
            <w:tcW w:type="dxa" w:w="1728"/>
          </w:tcPr>
          <w:p>
            <w:r>
              <w:t>yolov8n</w:t>
            </w:r>
          </w:p>
        </w:tc>
        <w:tc>
          <w:tcPr>
            <w:tcW w:type="dxa" w:w="1728"/>
          </w:tcPr>
          <w:p>
            <w:r>
              <w:t>0.5877</w:t>
            </w:r>
          </w:p>
        </w:tc>
        <w:tc>
          <w:tcPr>
            <w:tcW w:type="dxa" w:w="1728"/>
          </w:tcPr>
          <w:p>
            <w:r>
              <w:t>0.4332</w:t>
            </w:r>
          </w:p>
        </w:tc>
        <w:tc>
          <w:tcPr>
            <w:tcW w:type="dxa" w:w="1728"/>
          </w:tcPr>
          <w:p>
            <w:r>
              <w:t>3.01M</w:t>
            </w:r>
          </w:p>
        </w:tc>
        <w:tc>
          <w:tcPr>
            <w:tcW w:type="dxa" w:w="1728"/>
          </w:tcPr>
          <w:p>
            <w:r>
              <w:t>8.1G</w:t>
            </w:r>
          </w:p>
        </w:tc>
      </w:tr>
    </w:tbl>
    <w:p>
      <w:r>
        <w:rPr>
          <w:i w:val="0"/>
        </w:rPr>
        <w:t>M4 超过 v5n、v8n、RT-DETR-l 与基线，仅次于 yolo12n；M5 以 2.47M 参数压过 v8n（3.01M），并逼近 RT-DETR-l（约 32M/103G）——体积仅为其 1/13。</w:t>
      </w:r>
    </w:p>
    <w:p>
      <w:pPr>
        <w:pStyle w:val="Heading2"/>
      </w:pPr>
      <w:r>
        <w:t>4.4 分类别分析</w:t>
      </w:r>
    </w:p>
    <w:p>
      <w:r>
        <w:rPr>
          <w:sz w:val="18"/>
        </w:rPr>
        <w:t>表 5 采样后关键类别 AP50 变化（完整每类表见补充材料）。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类别</w:t>
            </w:r>
          </w:p>
        </w:tc>
        <w:tc>
          <w:tcPr>
            <w:tcW w:type="dxa" w:w="2160"/>
          </w:tcPr>
          <w:p>
            <w:r>
              <w:t>基线</w:t>
            </w:r>
          </w:p>
        </w:tc>
        <w:tc>
          <w:tcPr>
            <w:tcW w:type="dxa" w:w="2160"/>
          </w:tcPr>
          <w:p>
            <w:r>
              <w:t>M4（采样）</w:t>
            </w:r>
          </w:p>
        </w:tc>
        <w:tc>
          <w:tcPr>
            <w:tcW w:type="dxa" w:w="2160"/>
          </w:tcPr>
          <w:p>
            <w:r>
              <w:t>变化（点）</w:t>
            </w:r>
          </w:p>
        </w:tc>
      </w:tr>
      <w:tr>
        <w:tc>
          <w:tcPr>
            <w:tcW w:type="dxa" w:w="2160"/>
          </w:tcPr>
          <w:p>
            <w:r>
              <w:t>active</w:t>
            </w:r>
          </w:p>
        </w:tc>
        <w:tc>
          <w:tcPr>
            <w:tcW w:type="dxa" w:w="2160"/>
          </w:tcPr>
          <w:p>
            <w:r>
              <w:t>0.526</w:t>
            </w:r>
          </w:p>
        </w:tc>
        <w:tc>
          <w:tcPr>
            <w:tcW w:type="dxa" w:w="2160"/>
          </w:tcPr>
          <w:p>
            <w:r>
              <w:t>0.639</w:t>
            </w:r>
          </w:p>
        </w:tc>
        <w:tc>
          <w:tcPr>
            <w:tcW w:type="dxa" w:w="2160"/>
          </w:tcPr>
          <w:p>
            <w:r>
              <w:t>+11.3</w:t>
            </w:r>
          </w:p>
        </w:tc>
      </w:tr>
      <w:tr>
        <w:tc>
          <w:tcPr>
            <w:tcW w:type="dxa" w:w="2160"/>
          </w:tcPr>
          <w:p>
            <w:r>
              <w:t>drink</w:t>
            </w:r>
          </w:p>
        </w:tc>
        <w:tc>
          <w:tcPr>
            <w:tcW w:type="dxa" w:w="2160"/>
          </w:tcPr>
          <w:p>
            <w:r>
              <w:t>0.408</w:t>
            </w:r>
          </w:p>
        </w:tc>
        <w:tc>
          <w:tcPr>
            <w:tcW w:type="dxa" w:w="2160"/>
          </w:tcPr>
          <w:p>
            <w:r>
              <w:t>0.459</w:t>
            </w:r>
          </w:p>
        </w:tc>
        <w:tc>
          <w:tcPr>
            <w:tcW w:type="dxa" w:w="2160"/>
          </w:tcPr>
          <w:p>
            <w:r>
              <w:t>+5.1（val）</w:t>
            </w:r>
          </w:p>
        </w:tc>
      </w:tr>
      <w:tr>
        <w:tc>
          <w:tcPr>
            <w:tcW w:type="dxa" w:w="2160"/>
          </w:tcPr>
          <w:p>
            <w:r>
              <w:t>sitting</w:t>
            </w:r>
          </w:p>
        </w:tc>
        <w:tc>
          <w:tcPr>
            <w:tcW w:type="dxa" w:w="2160"/>
          </w:tcPr>
          <w:p>
            <w:r>
              <w:t>0.403</w:t>
            </w:r>
          </w:p>
        </w:tc>
        <w:tc>
          <w:tcPr>
            <w:tcW w:type="dxa" w:w="2160"/>
          </w:tcPr>
          <w:p>
            <w:r>
              <w:t>0.423</w:t>
            </w:r>
          </w:p>
        </w:tc>
        <w:tc>
          <w:tcPr>
            <w:tcW w:type="dxa" w:w="2160"/>
          </w:tcPr>
          <w:p>
            <w:r>
              <w:t>+2.0</w:t>
            </w:r>
          </w:p>
        </w:tc>
      </w:tr>
      <w:tr>
        <w:tc>
          <w:tcPr>
            <w:tcW w:type="dxa" w:w="2160"/>
          </w:tcPr>
          <w:p>
            <w:r>
              <w:t>eat</w:t>
            </w:r>
          </w:p>
        </w:tc>
        <w:tc>
          <w:tcPr>
            <w:tcW w:type="dxa" w:w="2160"/>
          </w:tcPr>
          <w:p>
            <w:r>
              <w:t>0.436</w:t>
            </w:r>
          </w:p>
        </w:tc>
        <w:tc>
          <w:tcPr>
            <w:tcW w:type="dxa" w:w="2160"/>
          </w:tcPr>
          <w:p>
            <w:r>
              <w:t>0.447</w:t>
            </w:r>
          </w:p>
        </w:tc>
        <w:tc>
          <w:tcPr>
            <w:tcW w:type="dxa" w:w="2160"/>
          </w:tcPr>
          <w:p>
            <w:r>
              <w:t>+1.1</w:t>
            </w:r>
          </w:p>
        </w:tc>
      </w:tr>
      <w:tr>
        <w:tc>
          <w:tcPr>
            <w:tcW w:type="dxa" w:w="2160"/>
          </w:tcPr>
          <w:p>
            <w:r>
              <w:t>standing</w:t>
            </w:r>
          </w:p>
        </w:tc>
        <w:tc>
          <w:tcPr>
            <w:tcW w:type="dxa" w:w="2160"/>
          </w:tcPr>
          <w:p>
            <w:r>
              <w:t>0.438</w:t>
            </w:r>
          </w:p>
        </w:tc>
        <w:tc>
          <w:tcPr>
            <w:tcW w:type="dxa" w:w="2160"/>
          </w:tcPr>
          <w:p>
            <w:r>
              <w:t>0.449</w:t>
            </w:r>
          </w:p>
        </w:tc>
        <w:tc>
          <w:tcPr>
            <w:tcW w:type="dxa" w:w="2160"/>
          </w:tcPr>
          <w:p>
            <w:r>
              <w:t>+1.1</w:t>
            </w:r>
          </w:p>
        </w:tc>
      </w:tr>
      <w:tr>
        <w:tc>
          <w:tcPr>
            <w:tcW w:type="dxa" w:w="2160"/>
          </w:tcPr>
          <w:p>
            <w:r>
              <w:t>nose-to-nose</w:t>
            </w:r>
          </w:p>
        </w:tc>
        <w:tc>
          <w:tcPr>
            <w:tcW w:type="dxa" w:w="2160"/>
          </w:tcPr>
          <w:p>
            <w:r>
              <w:t>0.686</w:t>
            </w:r>
          </w:p>
        </w:tc>
        <w:tc>
          <w:tcPr>
            <w:tcW w:type="dxa" w:w="2160"/>
          </w:tcPr>
          <w:p>
            <w:r>
              <w:t>0.622</w:t>
            </w:r>
          </w:p>
        </w:tc>
        <w:tc>
          <w:tcPr>
            <w:tcW w:type="dxa" w:w="2160"/>
          </w:tcPr>
          <w:p>
            <w:r>
              <w:t>-6.4（val）</w:t>
            </w:r>
          </w:p>
        </w:tc>
      </w:tr>
    </w:tbl>
    <w:p>
      <w:r>
        <w:rPr>
          <w:i w:val="0"/>
        </w:rPr>
        <w:t>增益集中在我们瞄准的低频行为上。唯一的回退是 nose-to-nose（val -6.4）——因其场景少，过度复制导致对该类过拟合，这一取舍在讨论部分展开。</w:t>
      </w:r>
    </w:p>
    <w:p>
      <w:pPr>
        <w:pStyle w:val="Heading2"/>
      </w:pPr>
      <w:r>
        <w:t>4.5 统计可靠性</w:t>
      </w:r>
    </w:p>
    <w:p>
      <w:r>
        <w:rPr>
          <w:i w:val="0"/>
        </w:rPr>
        <w:t>三次重复：val mAP50 为 0.5790±0.0054（M4）与 0.5620±0.0079（M5）；test mAP50 为 0.5987±0.0062（M4）与 0.5904±0.0086（M5）。与基线的差异均在一个标准差以内，故我们将精度表述为"统计相当"而非"超越"。</w:t>
      </w:r>
    </w:p>
    <w:p>
      <w:pPr>
        <w:pStyle w:val="Heading2"/>
      </w:pPr>
      <w:r>
        <w:t>4.6 效率评估</w:t>
      </w:r>
    </w:p>
    <w:p>
      <w:r>
        <w:rPr>
          <w:sz w:val="18"/>
        </w:rPr>
        <w:t>表 7 效率指标。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模型</w:t>
            </w:r>
          </w:p>
        </w:tc>
        <w:tc>
          <w:tcPr>
            <w:tcW w:type="dxa" w:w="2160"/>
          </w:tcPr>
          <w:p>
            <w:r>
              <w:t>FPS（RTX 3090）</w:t>
            </w:r>
          </w:p>
        </w:tc>
        <w:tc>
          <w:tcPr>
            <w:tcW w:type="dxa" w:w="2160"/>
          </w:tcPr>
          <w:p>
            <w:r>
              <w:t>参数量</w:t>
            </w:r>
          </w:p>
        </w:tc>
        <w:tc>
          <w:tcPr>
            <w:tcW w:type="dxa" w:w="2160"/>
          </w:tcPr>
          <w:p>
            <w:r>
              <w:t>GFLOPs</w:t>
            </w:r>
          </w:p>
        </w:tc>
      </w:tr>
      <w:tr>
        <w:tc>
          <w:tcPr>
            <w:tcW w:type="dxa" w:w="2160"/>
          </w:tcPr>
          <w:p>
            <w:r>
              <w:t>M5（本文）</w:t>
            </w:r>
          </w:p>
        </w:tc>
        <w:tc>
          <w:tcPr>
            <w:tcW w:type="dxa" w:w="2160"/>
          </w:tcPr>
          <w:p>
            <w:r>
              <w:t>117.6</w:t>
            </w:r>
          </w:p>
        </w:tc>
        <w:tc>
          <w:tcPr>
            <w:tcW w:type="dxa" w:w="2160"/>
          </w:tcPr>
          <w:p>
            <w:r>
              <w:t>2.47M</w:t>
            </w:r>
          </w:p>
        </w:tc>
        <w:tc>
          <w:tcPr>
            <w:tcW w:type="dxa" w:w="2160"/>
          </w:tcPr>
          <w:p>
            <w:r>
              <w:t>6.5G</w:t>
            </w:r>
          </w:p>
        </w:tc>
      </w:tr>
      <w:tr>
        <w:tc>
          <w:tcPr>
            <w:tcW w:type="dxa" w:w="2160"/>
          </w:tcPr>
          <w:p>
            <w:r>
              <w:t>基线 yolo11n</w:t>
            </w:r>
          </w:p>
        </w:tc>
        <w:tc>
          <w:tcPr>
            <w:tcW w:type="dxa" w:w="2160"/>
          </w:tcPr>
          <w:p>
            <w:r>
              <w:t>112.8</w:t>
            </w:r>
          </w:p>
        </w:tc>
        <w:tc>
          <w:tcPr>
            <w:tcW w:type="dxa" w:w="2160"/>
          </w:tcPr>
          <w:p>
            <w:r>
              <w:t>2.58M</w:t>
            </w:r>
          </w:p>
        </w:tc>
        <w:tc>
          <w:tcPr>
            <w:tcW w:type="dxa" w:w="2160"/>
          </w:tcPr>
          <w:p>
            <w:r>
              <w:t>6.3G</w:t>
            </w:r>
          </w:p>
        </w:tc>
      </w:tr>
      <w:tr>
        <w:tc>
          <w:tcPr>
            <w:tcW w:type="dxa" w:w="2160"/>
          </w:tcPr>
          <w:p>
            <w:r>
              <w:t>M4（本文）</w:t>
            </w:r>
          </w:p>
        </w:tc>
        <w:tc>
          <w:tcPr>
            <w:tcW w:type="dxa" w:w="2160"/>
          </w:tcPr>
          <w:p>
            <w:r>
              <w:t>112.1</w:t>
            </w:r>
          </w:p>
        </w:tc>
        <w:tc>
          <w:tcPr>
            <w:tcW w:type="dxa" w:w="2160"/>
          </w:tcPr>
          <w:p>
            <w:r>
              <w:t>2.58M</w:t>
            </w:r>
          </w:p>
        </w:tc>
        <w:tc>
          <w:tcPr>
            <w:tcW w:type="dxa" w:w="2160"/>
          </w:tcPr>
          <w:p>
            <w:r>
              <w:t>6.3G</w:t>
            </w:r>
          </w:p>
        </w:tc>
      </w:tr>
      <w:tr>
        <w:tc>
          <w:tcPr>
            <w:tcW w:type="dxa" w:w="2160"/>
          </w:tcPr>
          <w:p>
            <w:r>
              <w:t>yolo12n</w:t>
            </w:r>
          </w:p>
        </w:tc>
        <w:tc>
          <w:tcPr>
            <w:tcW w:type="dxa" w:w="2160"/>
          </w:tcPr>
          <w:p>
            <w:r>
              <w:t>78.4</w:t>
            </w:r>
          </w:p>
        </w:tc>
        <w:tc>
          <w:tcPr>
            <w:tcW w:type="dxa" w:w="2160"/>
          </w:tcPr>
          <w:p>
            <w:r>
              <w:t>2.56M</w:t>
            </w:r>
          </w:p>
        </w:tc>
        <w:tc>
          <w:tcPr>
            <w:tcW w:type="dxa" w:w="2160"/>
          </w:tcPr>
          <w:p>
            <w:r>
              <w:t>6.3G</w:t>
            </w:r>
          </w:p>
        </w:tc>
      </w:tr>
    </w:tbl>
    <w:p>
      <w:r>
        <w:rPr>
          <w:i w:val="0"/>
        </w:rPr>
        <w:t>M5 为全场最快；精度领先的 yolo12n 反而慢约 33%——这恰好说明我们的变体落在更适合边缘部署的精度-速度甜点上。</w:t>
      </w:r>
    </w:p>
    <w:p>
      <w:pPr>
        <w:pStyle w:val="Heading2"/>
      </w:pPr>
      <w:r>
        <w:t>4.7 可视化</w:t>
      </w:r>
    </w:p>
    <w:p>
      <w:r>
        <w:drawing>
          <wp:inline xmlns:a="http://schemas.openxmlformats.org/drawingml/2006/main" xmlns:pic="http://schemas.openxmlformats.org/drawingml/2006/picture">
            <wp:extent cx="5669280" cy="188976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19_11_28_000113_105_jpg.rf.fda772ffb5c9bd667ffb03d38721e8c9_cam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8897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18"/>
        </w:rPr>
        <w:t>图 1 Grad-CAM 对比（原图 | 基线 | 轻量化变体）。注意力集中于猪体而非栏舍背景。</w:t>
      </w:r>
    </w:p>
    <w:p>
      <w:r>
        <w:drawing>
          <wp:inline xmlns:a="http://schemas.openxmlformats.org/drawingml/2006/main" xmlns:pic="http://schemas.openxmlformats.org/drawingml/2006/picture">
            <wp:extent cx="5669280" cy="566928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19_11_28_000113_105_jpg.rf.fda772ffb5c9bd667ffb03d38721e8c9_det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56692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18"/>
        </w:rPr>
        <w:t>图 2 典型误检：一头静卧猪被误标为 fight（0.84）——fight/lying/紧密接触混淆的典型案例，与混淆矩阵一致。</w:t>
      </w:r>
    </w:p>
    <w:p>
      <w:pPr>
        <w:pStyle w:val="Heading1"/>
      </w:pPr>
      <w:r>
        <w:t>5 边缘部署验证</w:t>
      </w:r>
    </w:p>
    <w:p>
      <w:r>
        <w:rPr>
          <w:i w:val="0"/>
        </w:rPr>
        <w:t>部署链路 PyTorch → ONNX（opset 12）→ TensorRT 8.2，在 Jetson Nano（JetPack 4.6.3）上完成实测。表 8 为实测数字。</w:t>
      </w:r>
    </w:p>
    <w:p>
      <w:r>
        <w:rPr>
          <w:sz w:val="18"/>
        </w:rPr>
        <w:t>表 8 Jetson Nano 实测性能（TensorRT 8.2）。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模型 / 输入</w:t>
            </w:r>
          </w:p>
        </w:tc>
        <w:tc>
          <w:tcPr>
            <w:tcW w:type="dxa" w:w="2160"/>
          </w:tcPr>
          <w:p>
            <w:r>
              <w:t>延迟</w:t>
            </w:r>
          </w:p>
        </w:tc>
        <w:tc>
          <w:tcPr>
            <w:tcW w:type="dxa" w:w="2160"/>
          </w:tcPr>
          <w:p>
            <w:r>
              <w:t>FPS</w:t>
            </w:r>
          </w:p>
        </w:tc>
        <w:tc>
          <w:tcPr>
            <w:tcW w:type="dxa" w:w="2160"/>
          </w:tcPr>
          <w:p>
            <w:r>
              <w:t>整机功耗</w:t>
            </w:r>
          </w:p>
        </w:tc>
      </w:tr>
      <w:tr>
        <w:tc>
          <w:tcPr>
            <w:tcW w:type="dxa" w:w="2160"/>
          </w:tcPr>
          <w:p>
            <w:r>
              <w:t>M5（本文）640×640 FP16</w:t>
            </w:r>
          </w:p>
        </w:tc>
        <w:tc>
          <w:tcPr>
            <w:tcW w:type="dxa" w:w="2160"/>
          </w:tcPr>
          <w:p>
            <w:r>
              <w:t>50.2ms</w:t>
            </w:r>
          </w:p>
        </w:tc>
        <w:tc>
          <w:tcPr>
            <w:tcW w:type="dxa" w:w="2160"/>
          </w:tcPr>
          <w:p>
            <w:r>
              <w:t>19.7</w:t>
            </w:r>
          </w:p>
        </w:tc>
        <w:tc>
          <w:tcPr>
            <w:tcW w:type="dxa" w:w="2160"/>
          </w:tcPr>
          <w:p>
            <w:r>
              <w:t>≈5W</w:t>
            </w:r>
          </w:p>
        </w:tc>
      </w:tr>
      <w:tr>
        <w:tc>
          <w:tcPr>
            <w:tcW w:type="dxa" w:w="2160"/>
          </w:tcPr>
          <w:p>
            <w:r>
              <w:t>M5（本文）480×480 FP16</w:t>
            </w:r>
          </w:p>
        </w:tc>
        <w:tc>
          <w:tcPr>
            <w:tcW w:type="dxa" w:w="2160"/>
          </w:tcPr>
          <w:p>
            <w:r>
              <w:t>30.0ms</w:t>
            </w:r>
          </w:p>
        </w:tc>
        <w:tc>
          <w:tcPr>
            <w:tcW w:type="dxa" w:w="2160"/>
          </w:tcPr>
          <w:p>
            <w:r>
              <w:t>33.3</w:t>
            </w:r>
          </w:p>
        </w:tc>
        <w:tc>
          <w:tcPr>
            <w:tcW w:type="dxa" w:w="2160"/>
          </w:tcPr>
          <w:p>
            <w:r>
              <w:t>≈5W</w:t>
            </w:r>
          </w:p>
        </w:tc>
      </w:tr>
      <w:tr>
        <w:tc>
          <w:tcPr>
            <w:tcW w:type="dxa" w:w="2160"/>
          </w:tcPr>
          <w:p>
            <w:r>
              <w:t>基线 640×640 FP16</w:t>
            </w:r>
          </w:p>
        </w:tc>
        <w:tc>
          <w:tcPr>
            <w:tcW w:type="dxa" w:w="2160"/>
          </w:tcPr>
          <w:p>
            <w:r>
              <w:t>50.8ms</w:t>
            </w:r>
          </w:p>
        </w:tc>
        <w:tc>
          <w:tcPr>
            <w:tcW w:type="dxa" w:w="2160"/>
          </w:tcPr>
          <w:p>
            <w:r>
              <w:t>19.7</w:t>
            </w:r>
          </w:p>
        </w:tc>
        <w:tc>
          <w:tcPr>
            <w:tcW w:type="dxa" w:w="2160"/>
          </w:tcPr>
          <w:p>
            <w:r>
              <w:t>≈5W</w:t>
            </w:r>
          </w:p>
        </w:tc>
      </w:tr>
      <w:tr>
        <w:tc>
          <w:tcPr>
            <w:tcW w:type="dxa" w:w="2160"/>
          </w:tcPr>
          <w:p>
            <w:r>
              <w:t>基线 480×480 FP16</w:t>
            </w:r>
          </w:p>
        </w:tc>
        <w:tc>
          <w:tcPr>
            <w:tcW w:type="dxa" w:w="2160"/>
          </w:tcPr>
          <w:p>
            <w:r>
              <w:t>29.9ms</w:t>
            </w:r>
          </w:p>
        </w:tc>
        <w:tc>
          <w:tcPr>
            <w:tcW w:type="dxa" w:w="2160"/>
          </w:tcPr>
          <w:p>
            <w:r>
              <w:t>33.4</w:t>
            </w:r>
          </w:p>
        </w:tc>
        <w:tc>
          <w:tcPr>
            <w:tcW w:type="dxa" w:w="2160"/>
          </w:tcPr>
          <w:p>
            <w:r>
              <w:t>≈5W</w:t>
            </w:r>
          </w:p>
        </w:tc>
      </w:tr>
    </w:tbl>
    <w:p>
      <w:r>
        <w:rPr>
          <w:i w:val="0"/>
        </w:rPr>
        <w:t>两点如实说明：其一，Nano 的 Maxwell 架构无 INT8 原生支持（校准在 TensorRT 8.2 上失败），故采用 FP16 精度——在老板卡上复现的读者需要知道这一限制；其二，FasterNet 变体与基线板上延迟差不足 2%，因 TensorRT 算子融合在该模型规模下抹平了部分卷积的理论优势。480 输入换得 33 FPS，是固定栏位摄像头可实际使用的速度杠杆。</w:t>
      </w:r>
    </w:p>
    <w:p>
      <w:pPr>
        <w:pStyle w:val="Heading1"/>
      </w:pPr>
      <w:r>
        <w:t>6 泛化分析</w:t>
      </w:r>
    </w:p>
    <w:p>
      <w:pPr>
        <w:pStyle w:val="Heading2"/>
      </w:pPr>
      <w:r>
        <w:t>6.1 未见序列压力测试</w:t>
      </w:r>
    </w:p>
    <w:p>
      <w:r>
        <w:rPr>
          <w:i w:val="0"/>
        </w:rPr>
        <w:t>在序列级互斥切分（训练/验证/测试不含同一视频序列）下，所有模型性能骤降（表 9）：基线 val/test mAP50 跌至 0.075/0.155。值得注意的是，采样训练的模型在最难的异源验证集上达到 0.139，接近基线两倍——曝光再平衡对异源场景有部分缓解，但远不能消除鸿沟。</w:t>
      </w:r>
    </w:p>
    <w:p>
      <w:pPr>
        <w:pStyle w:val="Heading2"/>
      </w:pPr>
      <w:r>
        <w:t>6.2 跨数据集验证</w:t>
      </w:r>
    </w:p>
    <w:p>
      <w:r>
        <w:rPr>
          <w:i w:val="0"/>
        </w:rPr>
        <w:t>不做微调直接在独立公开数据集 Comportamentos（不同农场、花斑猪品种）上评估，各模型 mAP50 仅 0.036–0.067。图 3 的实况显示：白猪密集栏位大量漏检、花斑品种检不出、泥地场景误检——退化来自环境与品种外观的双重漂移，而非某个模型的问题。这些结果我们如实全报：跨农场泛化是落地绕不开的问题，却鲜有文献量化。</w:t>
      </w:r>
    </w:p>
    <w:p>
      <w:r>
        <w:drawing>
          <wp:inline xmlns:a="http://schemas.openxmlformats.org/drawingml/2006/main" xmlns:pic="http://schemas.openxmlformats.org/drawingml/2006/picture">
            <wp:extent cx="5669280" cy="566928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t-detections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56692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18"/>
        </w:rPr>
        <w:t>图 3 独立数据集检测实况：密集栏位漏检（左上）、花斑品种失败（左下）、泥地场景部分检出（右）。</w:t>
      </w:r>
    </w:p>
    <w:p>
      <w:pPr>
        <w:pStyle w:val="Heading1"/>
      </w:pPr>
      <w:r>
        <w:t>7 讨论</w:t>
      </w:r>
    </w:p>
    <w:p>
      <w:r>
        <w:rPr>
          <w:i w:val="0"/>
        </w:rPr>
        <w:t>本文框架在不损失统计精度的前提下提升了稀有行为检测、缩小了模型体积并加快了推理，且能在约 5W 的边缘设备上实时运行。或许最具迁移价值的经验在 3.5 节：改造预训练检测器时，"保住预训练特征通路"比选择哪个轻量模块更关键——两轮失败的插入实验就是证据。局限同样清楚：最稀有类 sitting（144 实例）仍然偏弱；跨农场、跨品种泛化尚未解决；INT8 加速需要更新一代边缘硬件（如 Orin 系列）。域适应与多农场数据采集是自然的后续方向。</w:t>
      </w:r>
    </w:p>
    <w:p>
      <w:pPr>
        <w:pStyle w:val="Heading1"/>
      </w:pPr>
      <w:r>
        <w:t>8 结论</w:t>
      </w:r>
    </w:p>
    <w:p>
      <w:r>
        <w:rPr>
          <w:i w:val="0"/>
        </w:rPr>
        <w:t>本文提出面向边缘部署的群养猪多行为实时检测框架，将类别不均衡感知采样与 FasterNet 轻量化主干在"恒等保持"集成策略下结合。稀有类 AP 提升（active +11.3 点），精度与基线统计相当，参数减少 5.6%，速度为参评模型最快（117.6 FPS），并在 Jetson Nano 上验证实时运行（最高 33.3 FPS、约 5W）。两级泛化分析划定了适用边界，指出域适应为后续关键方向。</w:t>
      </w:r>
    </w:p>
    <w:p>
      <w:pPr>
        <w:pStyle w:val="Heading1"/>
      </w:pPr>
      <w:r>
        <w:t>声明</w:t>
      </w:r>
    </w:p>
    <w:p>
      <w:r>
        <w:rPr>
          <w:i w:val="0"/>
        </w:rPr>
        <w:t>作者贡献：[待填]</w:t>
      </w:r>
    </w:p>
    <w:p>
      <w:r>
        <w:rPr>
          <w:i w:val="0"/>
        </w:rPr>
        <w:t>基金资助：[待填]</w:t>
      </w:r>
    </w:p>
    <w:p>
      <w:r>
        <w:rPr>
          <w:i w:val="0"/>
        </w:rPr>
        <w:t>伦理委员会声明：不适用（本研究仅使用公开的非侵入式视频/图像数据）。</w:t>
      </w:r>
    </w:p>
    <w:p>
      <w:r>
        <w:rPr>
          <w:i w:val="0"/>
        </w:rPr>
        <w:t>知情同意声明：不适用。</w:t>
      </w:r>
    </w:p>
    <w:p>
      <w:r>
        <w:rPr>
          <w:i w:val="0"/>
        </w:rPr>
        <w:t>数据可用性声明：数据集于 Roboflow Universe 公开（CC BY 4.0）；处理脚本、模型配置与训练日志将于投稿前在 [GitHub 链接] 公开。</w:t>
      </w:r>
    </w:p>
    <w:p>
      <w:r>
        <w:rPr>
          <w:i w:val="0"/>
        </w:rPr>
        <w:t>AI 辅助声明：AI 工具用于语言润色，全部内容经作者核实。</w:t>
      </w:r>
    </w:p>
    <w:p>
      <w:r>
        <w:rPr>
          <w:i w:val="0"/>
        </w:rPr>
        <w:t>利益冲突：作者声明无利益冲突。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imSun" w:hAnsi="SimSu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jpg"/><Relationship Id="rId12" Type="http://schemas.openxmlformats.org/officeDocument/2006/relationships/image" Target="media/image4.jpg"/><Relationship Id="rId13" Type="http://schemas.openxmlformats.org/officeDocument/2006/relationships/image" Target="media/image5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