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needs detectors that are accurate on rare, welfare-relevant behaviors and fast enough for low-cost edge hardware. We built a real-time multi-behavior detection framework on YOLOv11n and validated it on a Jetson Nano. Three things make the framework practical.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 combined with an identity-preserving integration strategy that transfers pre-trained weights by index-aligned remapping, cuts parameters by 4.4% while accuracy stays statistically indistinguishable from the baseline across three repeated runs (test mAP50 0.590 ± 0.009 vs. 0.596); interestingly, it is also the fastest of all models we benchmarked (117.6 FPS on an RTX 3090). Third, on-device validation on the Nano shows real-time operation (19.7 FPS at 640×640; 33.3 FPS at 480×480) at roughly 5 W total power. We also report a two-level generalization analysis—an unseen-sequence stress test and an independent farm dataset—that honestly delimits where the framework works and where it does not.</w:t>
      </w:r>
    </w:p>
    <w:p>
      <w:r>
        <w:rPr>
          <w:i/>
        </w:rPr>
        <w:t>Keywords: pig behavior detection; class imbalance; repeat-factor sampling; FasterNet; edge computing; Jetson Nano; real-time object detection;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be economically viable, however,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as well: an alert about a fight that arrives minutes late is of little use. This is why the dominant engineering trend is to 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w:t>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Still, on-device measurements remain rare in livestock behavior work, and two hardware facts are seldom discussed: Maxwell-generation boards such as the Jetson Nano have no native INT8 support, and TensorRT operator fusion can mask the theoretical advantages of lightweight operators at small model scales. We document both explicitly in Section 5.</w:t>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retrospectively justifies our empirical choice of YOLOv11n as the base model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single-run baseline of 0.5964—i.e.,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are worth noting.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the Supplementary Material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p>
    <w:p>
      <w:pPr>
        <w:pStyle w:val="Heading2"/>
      </w:pPr>
      <w:r>
        <w:t>4.5 Statistical Reliability</w:t>
      </w:r>
    </w:p>
    <w:p>
      <w:r>
        <w:rPr>
          <w:i w:val="0"/>
        </w:rPr>
        <w:t>Single training runs of small detectors can easily fluctuate by half a point, so we repeated the two adopted models with three different seeds. M4 scores 0.5790 ± 0.0054 on validation and 0.5987 ± 0.0062 on test; M5 scores 0.5620 ± 0.0079 and 0.5904 ± 0.0086, respectively. Against the baseline test value of 0.5964, the M5 difference (−0.006) lies within one standard deviation, so we report M5 as statistically comparable to the baseline rather than superior to it. The M4 test mean exceeds the baseline by only +0.002 overall—its real value, shown in Section 4.4, is the redistribution of accuracy toward rare, welfare-relevant behaviors and the +2.1-point recall gain on validation, not a headline mAP increase. We deliberately present it this way: an overall-gain framing would not survive a careful reviewer, and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should be stated plainly: the efficiency gain shows up in parameter count (−4.4%) and measured speed, not in FLOPs, which stay essentially flat (6.3G → 6.5G). This is expected rather than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Three practical findings from the deployment work are reported because they are rarely documented in this literature and each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dataset—delineates the operating envelope honestly: the framework is ready for same-farm deployment today, and it identifies domain adaptation and multi-farm data collection as the key directions for cross-farm operation tomorrow.</w:t>
      </w:r>
    </w:p>
    <w:p>
      <w:pPr>
        <w:pStyle w:val="Heading1"/>
      </w:pPr>
      <w:r>
        <w:t>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[GitHub repository link, to be added before submission].</w:t>
      </w:r>
    </w:p>
    <w:p>
      <w:r>
        <w:rPr>
          <w:i w:val="0"/>
        </w:rPr>
        <w:t>Conflicts of Interest: The authors declare no conflict of interest.</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109524 (2024)</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