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AI 에이전트 생태계 모델 포트폴리오</w:t>
      </w:r>
    </w:p>
    <w:p>
      <w:pPr>
        <w:jc w:val="center"/>
      </w:pPr>
      <w:r>
        <w:rPr>
          <w:color w:val="606060"/>
          <w:sz w:val="24"/>
        </w:rPr>
        <w:t>20선 · 메모리·스토리지·소부장·클라우드 집중형</w:t>
      </w:r>
    </w:p>
    <w:p>
      <w:pPr>
        <w:jc w:val="center"/>
      </w:pPr>
      <w:r>
        <w:rPr>
          <w:color w:val="606060"/>
          <w:sz w:val="19"/>
        </w:rPr>
        <w:t>2026년 8월 26일 · BM: S&amp;P 500 · 상상인증권 투자전략팀</w:t>
      </w:r>
    </w:p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6"/>
        </w:rPr>
        <w:t>설계 방침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1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771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**전량 미보유** — INTC·AMD·ARM 0%. BM 대비 −1.63%p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DRAM·NAND</w:t>
            </w:r>
          </w:p>
        </w:tc>
        <w:tc>
          <w:tcPr>
            <w:tcW w:type="dxa" w:w="7710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14.5% (BM 1.68%) — MU·SNDK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스토리지</w:t>
            </w:r>
          </w:p>
        </w:tc>
        <w:tc>
          <w:tcPr>
            <w:tcW w:type="dxa" w:w="771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10.0% (BM 0.51%) — WDC·STX·NTAP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반도체 소부장</w:t>
            </w:r>
          </w:p>
        </w:tc>
        <w:tc>
          <w:tcPr>
            <w:tcW w:type="dxa" w:w="7710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20.0% (BM 1.36%) — AMAT·LRCX·KLAC·ASML·ENTG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클라우드(대형)</w:t>
            </w:r>
          </w:p>
        </w:tc>
        <w:tc>
          <w:tcPr>
            <w:tcW w:type="dxa" w:w="771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26.0% (BM 15.01%) — MSFT·AMZN·ORCL·GOOGL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네오클라우드</w:t>
            </w:r>
          </w:p>
        </w:tc>
        <w:tc>
          <w:tcPr>
            <w:tcW w:type="dxa" w:w="7710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11.0% (BM 0%) — CRWV·NBIS·IREN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AI 인프라</w:t>
            </w:r>
          </w:p>
        </w:tc>
        <w:tc>
          <w:tcPr>
            <w:tcW w:type="dxa" w:w="771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16.0% — NVDA·AVGO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GOOGL</w:t>
            </w:r>
          </w:p>
        </w:tc>
        <w:tc>
          <w:tcPr>
            <w:tcW w:type="dxa" w:w="7710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**언더웨이트** 3.0% (BM 5.75%, −2.75%p)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TSLA</w:t>
            </w:r>
          </w:p>
        </w:tc>
        <w:tc>
          <w:tcPr>
            <w:tcW w:type="dxa" w:w="771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**언더웨이트** 0% 보유 (BM 1.86%, −1.86%p)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SPCX</w:t>
            </w:r>
          </w:p>
        </w:tc>
        <w:tc>
          <w:tcPr>
            <w:tcW w:type="dxa" w:w="7710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**중립** 2.5% — 시총 비중 2.46% 수준</w:t>
            </w:r>
          </w:p>
        </w:tc>
      </w:tr>
    </w:tbl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6"/>
        </w:rPr>
        <w:t>요약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수익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기대수익률(컨센 목표주가)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+39.3%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가중 forward P/E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12.2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컨센 EPS 성장(2년 CAGR)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+75.4%</w:t>
            </w:r>
          </w:p>
        </w:tc>
        <w:tc>
          <w:tcPr>
            <w:tcW w:type="dxa" w:w="249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가중 PSR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15.8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수익성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영업이익률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매출총이익률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63.1%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ROE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68.2%</w:t>
            </w:r>
          </w:p>
        </w:tc>
        <w:tc>
          <w:tcPr>
            <w:tcW w:type="dxa" w:w="249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배당수익률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0.52%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위험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추적오차(TE)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31.2%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베타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7"/>
              </w:rPr>
              <w:t>1.90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연율 변동성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42.8%</w:t>
            </w:r>
          </w:p>
        </w:tc>
        <w:tc>
          <w:tcPr>
            <w:tcW w:type="dxa" w:w="249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하방편차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42.9%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최대낙폭(3년)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-25.2%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BM 최대낙폭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-12.1%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 95% / 99%(일간)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-4.13% / -6.58%</w:t>
            </w:r>
          </w:p>
        </w:tc>
        <w:tc>
          <w:tcPr>
            <w:tcW w:type="dxa" w:w="249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최악 1일 / 21일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-10.4% / -23.1%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상승 / 하락 캡처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2.53 / 1.92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상승 / 하락 베타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 / **1.76**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구조</w:t>
            </w:r>
          </w:p>
        </w:tc>
        <w:tc>
          <w:tcPr>
            <w:tcW w:type="dxa" w:w="28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종목 간 평균 상관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/>
                <w:sz w:val="17"/>
              </w:rPr>
              <w:t>0.430</w:t>
            </w:r>
          </w:p>
        </w:tc>
        <w:tc>
          <w:tcPr>
            <w:tcW w:type="dxa" w:w="249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분산 효과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24.8%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TOP10 비중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유효종목수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16.3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BM 밖 비중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/>
                <w:sz w:val="17"/>
              </w:rPr>
              <w:t>19.5%</w:t>
            </w:r>
          </w:p>
        </w:tc>
        <w:tc>
          <w:tcPr>
            <w:tcW w:type="dxa" w:w="249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순부채/EBITDA</w:t>
            </w:r>
          </w:p>
        </w:tc>
        <w:tc>
          <w:tcPr>
            <w:tcW w:type="dxa" w:w="1701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1.26배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가중 애널 커버리지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33명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가중 일평균거래대금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$14.0B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6"/>
        </w:rPr>
        <w:t>비중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525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20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2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color w:val="606060"/>
          <w:sz w:val="16"/>
        </w:rPr>
        <w:t>테마별 비중(좌) · 종목별 비중(중) · BM 대비 액티브 비중(우). * 표시는 미보유 종목으로, 0% 보유가 곧 최대 언더웨이트다.</w:t>
      </w:r>
    </w:p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6"/>
        </w:rPr>
        <w:t>보유 종목 20선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73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티커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종목명</w:t>
            </w:r>
          </w:p>
        </w:tc>
        <w:tc>
          <w:tcPr>
            <w:tcW w:type="dxa" w:w="130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테마</w:t>
            </w:r>
          </w:p>
        </w:tc>
        <w:tc>
          <w:tcPr>
            <w:tcW w:type="dxa" w:w="62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비중</w:t>
            </w:r>
          </w:p>
        </w:tc>
        <w:tc>
          <w:tcPr>
            <w:tcW w:type="dxa" w:w="73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액티브</w:t>
            </w:r>
          </w:p>
        </w:tc>
        <w:tc>
          <w:tcPr>
            <w:tcW w:type="dxa" w:w="96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주가</w:t>
            </w:r>
          </w:p>
        </w:tc>
        <w:tc>
          <w:tcPr>
            <w:tcW w:type="dxa" w:w="6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FwdPE</w:t>
            </w:r>
          </w:p>
        </w:tc>
        <w:tc>
          <w:tcPr>
            <w:tcW w:type="dxa" w:w="6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성장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목표여력</w:t>
            </w:r>
          </w:p>
        </w:tc>
        <w:tc>
          <w:tcPr>
            <w:tcW w:type="dxa" w:w="62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영업M</w:t>
            </w:r>
          </w:p>
        </w:tc>
        <w:tc>
          <w:tcPr>
            <w:tcW w:type="dxa" w:w="56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커버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MSFT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Microsoft Corporat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클라우드(대형)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+5.11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491.71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20.9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+17%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+12%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45%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NVDA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NVIDIA Corporation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인프라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+3.18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213.05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16.3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+65%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+41%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66%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51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MU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Micron Technology,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DRAM·NAND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+7.61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932.97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+332%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+66%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80%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39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AMZN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Amazon.com, Inc.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클라우드(대형)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+4.18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261.06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25.1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+21%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+24%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AVGO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Broadcom Inc.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인프라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+3.70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356.74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18.3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+69%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+48%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49%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SNDK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Sandisk Corporatio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DRAM·NAND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5.5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+5.20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1,480.77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5.6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+93%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+42%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78%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ORCL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Oracle Corporation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클라우드(대형)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144.76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13.3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+20%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+66%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36%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AMAT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Applied Materials,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소부장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+4.48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480.04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26.1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+40%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+35%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34%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34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LRCX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Lam Research Corpo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소부장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314.66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27.2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+41%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+18%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37%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WDC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Western Digital Co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스토리지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+3.79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450.75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+76%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+42%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44%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NBIS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Nebius Group N.V.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네오클라우드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+4.00*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221.97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-74.1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+30%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-0%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CRWV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CoreWeave, Inc.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네오클라우드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+4.00*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88.04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-45.2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+70%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-2%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STX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Seagate Technology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스토리지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+3.76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821.67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14.8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+89%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+40%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43%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ASML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 xml:space="preserve">ASML Holding N.V. 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소부장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+4.00*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1,744.16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28.9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+45%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+34%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37%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KLAC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KLA Corporation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소부장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+3.68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183.34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27.5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+33%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+25%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42%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GOOGL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Alphabet Inc.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클라우드(대형)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-2.75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346.96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23.4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+17%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+24%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34%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55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IREN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IREN LIMITED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네오클라우드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+3.00*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42.21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-42.1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+91%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-64%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SPCX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 xml:space="preserve">Space Exploration 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우주·중립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+2.50*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137.95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86.1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+63%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-2%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NTAP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NetApp, Inc.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스토리지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+1.95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187.43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18.7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+11%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6"/>
              </w:rPr>
              <w:t>-3%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27%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ENTG</w:t>
            </w:r>
          </w:p>
        </w:tc>
        <w:tc>
          <w:tcPr>
            <w:tcW w:type="dxa" w:w="1701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Entegris, Inc.</w:t>
            </w:r>
          </w:p>
        </w:tc>
        <w:tc>
          <w:tcPr>
            <w:tcW w:type="dxa" w:w="1304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소부장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73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+2.00*</w:t>
            </w:r>
          </w:p>
        </w:tc>
        <w:tc>
          <w:tcPr>
            <w:tcW w:type="dxa" w:w="96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138.87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27.7</w:t>
            </w:r>
          </w:p>
        </w:tc>
        <w:tc>
          <w:tcPr>
            <w:tcW w:type="dxa" w:w="68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+35%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+22%</w:t>
            </w:r>
          </w:p>
        </w:tc>
        <w:tc>
          <w:tcPr>
            <w:tcW w:type="dxa" w:w="62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19%</w:t>
            </w:r>
          </w:p>
        </w:tc>
        <w:tc>
          <w:tcPr>
            <w:tcW w:type="dxa" w:w="56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12</w:t>
            </w:r>
          </w:p>
        </w:tc>
      </w:tr>
    </w:tbl>
    <w:p>
      <w:pPr>
        <w:spacing w:after="80"/>
      </w:pPr>
      <w:r>
        <w:rPr>
          <w:i/>
          <w:color w:val="606060"/>
          <w:sz w:val="16"/>
        </w:rPr>
        <w:t>* BM(S&amp;P 500) 미편입 종목 — 액티브는 보유 비중 전액이다. 성장은 직전 실적 대비 차년도 컨센서스까지의 2년 CAGR, 목표여력은 애널리스트 목표주가 중앙값 대비 상승여력.</w:t>
      </w:r>
    </w:p>
    <w:p>
      <w:r>
        <w:br w:type="page"/>
      </w:r>
    </w:p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6"/>
        </w:rPr>
        <w:t>테마별 논거</w:t>
      </w:r>
    </w:p>
    <w:p>
      <w:pPr>
        <w:spacing w:before="160" w:after="80"/>
      </w:pPr>
      <w:r>
        <w:rPr>
          <w:b/>
          <w:color w:val="000000"/>
          <w:sz w:val="22"/>
        </w:rPr>
        <w:t>1. 메모리·스토리지 24.5% — 비중은 올리되 사이클 정점을 전제로 잡는다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종목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비중</w:t>
            </w:r>
          </w:p>
        </w:tc>
        <w:tc>
          <w:tcPr>
            <w:tcW w:type="dxa" w:w="10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Fwd P/E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영업이익률</w:t>
            </w:r>
          </w:p>
        </w:tc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매출성장</w:t>
            </w:r>
          </w:p>
        </w:tc>
        <w:tc>
          <w:tcPr>
            <w:tcW w:type="dxa" w:w="4535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MU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+346%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HBM 주도, 최대 비중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SNDK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5.5</w:t>
            </w:r>
          </w:p>
        </w:tc>
        <w:tc>
          <w:tcPr>
            <w:tcW w:type="dxa" w:w="102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5.6</w:t>
            </w:r>
          </w:p>
        </w:tc>
        <w:tc>
          <w:tcPr>
            <w:tcW w:type="dxa" w:w="124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78%</w:t>
            </w:r>
          </w:p>
        </w:tc>
        <w:tc>
          <w:tcPr>
            <w:tcW w:type="dxa" w:w="113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+372%</w:t>
            </w:r>
          </w:p>
        </w:tc>
        <w:tc>
          <w:tcPr>
            <w:tcW w:type="dxa" w:w="45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NAND 순수 노출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WDC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14.2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+44%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HDD·니어라인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STX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02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14.8</w:t>
            </w:r>
          </w:p>
        </w:tc>
        <w:tc>
          <w:tcPr>
            <w:tcW w:type="dxa" w:w="124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43%</w:t>
            </w:r>
          </w:p>
        </w:tc>
        <w:tc>
          <w:tcPr>
            <w:tcW w:type="dxa" w:w="113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+48%</w:t>
            </w:r>
          </w:p>
        </w:tc>
        <w:tc>
          <w:tcPr>
            <w:tcW w:type="dxa" w:w="4535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HDD 과점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NTAP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18.7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+12%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데이터 관리 소프트</w:t>
            </w:r>
          </w:p>
        </w:tc>
      </w:tr>
    </w:tbl>
    <w:p>
      <w:pPr>
        <w:spacing w:after="80"/>
      </w:pPr>
      <w:r>
        <w:rPr>
          <w:i w:val="0"/>
          <w:sz w:val="18"/>
        </w:rPr>
        <w:t>에이전트는 추론을 반복하며 컨텍스트를 저장한다 — 연산보다 메모리와 스토리지를 먼저 소모하는 수요 구조다. 이것이 이 축을 24.5%(BM 2.19%)까지 올린 근거다.</w:t>
      </w:r>
    </w:p>
    <w:p>
      <w:pPr>
        <w:spacing w:after="80"/>
      </w:pPr>
      <w:r>
        <w:rPr>
          <w:i w:val="0"/>
          <w:sz w:val="18"/>
        </w:rPr>
        <w:t>다만 MU·SNDK의 영업이익률 78~80%는 역사적 극단이며, forward P/E 5~6배는 싸서가 아니라 이익이 정점이라 낮게 보이는 배수다. 사이클이 꺾이면 분모가 먼저 무너진다. 이 두 종목의 비중 14.5%는 그 위험을 감수한 값이며, 게이트를 반드시 병행해야 한다.</w:t>
      </w:r>
    </w:p>
    <w:p>
      <w:pPr>
        <w:spacing w:before="160" w:after="80"/>
      </w:pPr>
      <w:r>
        <w:rPr>
          <w:b/>
          <w:color w:val="000000"/>
          <w:sz w:val="22"/>
        </w:rPr>
        <w:t>2. 소부장 20.0% — 사이클 위에서 한 단계 완충된 자리</w:t>
      </w:r>
    </w:p>
    <w:p>
      <w:pPr>
        <w:spacing w:after="80"/>
      </w:pPr>
      <w:r>
        <w:rPr>
          <w:i w:val="0"/>
          <w:sz w:val="18"/>
        </w:rPr>
        <w:t>메모리 업체가 capex를 집행하면 장비·소재는 그 지출을 매출로 받는다. 메모리 가격이 아니라 메모리 투자에 연동되므로 사이클 진폭이 한 단계 완만하다. AMAT·LRCX·KLAC는 NAND 적층과 HBM 패키징에 직접 노출되고, ASML은 EUV 독점, ENTG는 소재 축이다.</w:t>
      </w:r>
    </w:p>
    <w:p>
      <w:pPr>
        <w:spacing w:before="160" w:after="80"/>
      </w:pPr>
      <w:r>
        <w:rPr>
          <w:b/>
          <w:color w:val="000000"/>
          <w:sz w:val="22"/>
        </w:rPr>
        <w:t>3. 클라우드(대형) 26.0% — 에이전트가 실행되는 장소</w:t>
      </w:r>
    </w:p>
    <w:p>
      <w:pPr>
        <w:spacing w:after="80"/>
      </w:pPr>
      <w:r>
        <w:rPr>
          <w:i w:val="0"/>
          <w:sz w:val="18"/>
        </w:rPr>
        <w:t>에이전트는 결국 하이퍼스케일러 위에서 돈다. MSFT 10.0%·AMZN 8.0%·ORCL 5.0%로 담되, GOOGL은 3.0%로 언더웨이트한다(BM 5.75%, -2.75%p).</w:t>
      </w:r>
    </w:p>
    <w:p>
      <w:pPr>
        <w:spacing w:after="80"/>
      </w:pPr>
      <w:r>
        <w:rPr>
          <w:i w:val="0"/>
          <w:sz w:val="18"/>
        </w:rPr>
        <w:t>GOOGL 언더웨이트의 근거는 검색 잠식이 아니다 — 점유율 91.4%, 검색 광고 매출 Q1 +19%·Q2 +17%로 그 논거는 자료가 반박한다. 근거는 현금흐름이다: 2년간 영업현금흐름 +62%인데 잉여현금흐름은 +5.5%에 그쳤고, 2026년 capex 가이던스는 $195~205B로 전년의 2.2배다. 2026년 6월 주식·의무전환우선주 발행으로 순수취 $49.6B를 조달하고 최대 $40B ATM 프로그램을 체결했다(SEC 8-K 원문 확인). 현금흐름으로 감당되는 투자라면 하지 않을 조달이다.</w:t>
      </w:r>
    </w:p>
    <w:p>
      <w:pPr>
        <w:spacing w:before="160" w:after="80"/>
      </w:pPr>
      <w:r>
        <w:rPr>
          <w:b/>
          <w:color w:val="000000"/>
          <w:sz w:val="22"/>
        </w:rPr>
        <w:t>4. 네오클라우드 11.0% — 비중은 올리되 성격은 옵션이다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종목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비중</w:t>
            </w:r>
          </w:p>
        </w:tc>
        <w:tc>
          <w:tcPr>
            <w:tcW w:type="dxa" w:w="10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Fwd P/E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영업이익률</w:t>
            </w:r>
          </w:p>
        </w:tc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매출성장</w:t>
            </w:r>
          </w:p>
        </w:tc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베타(3년)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CRWV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-45.2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-2%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+112%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2.57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NBIS</w:t>
            </w:r>
          </w:p>
        </w:tc>
        <w:tc>
          <w:tcPr>
            <w:tcW w:type="dxa" w:w="79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020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-74.1</w:t>
            </w:r>
          </w:p>
        </w:tc>
        <w:tc>
          <w:tcPr>
            <w:tcW w:type="dxa" w:w="1247"/>
            <w:shd w:val="clear" w:fill="F2F6FA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-0%</w:t>
            </w:r>
          </w:p>
        </w:tc>
        <w:tc>
          <w:tcPr>
            <w:tcW w:type="dxa" w:w="113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+454%</w:t>
            </w:r>
          </w:p>
        </w:tc>
        <w:tc>
          <w:tcPr>
            <w:tcW w:type="dxa" w:w="1134"/>
            <w:shd w:val="clear" w:fill="F2F6FA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2.81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IREN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-42.1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-64%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color w:val="C00000"/>
                <w:sz w:val="17"/>
              </w:rPr>
              <w:t>-0%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3.00</w:t>
            </w:r>
          </w:p>
        </w:tc>
      </w:tr>
    </w:tbl>
    <w:p>
      <w:pPr>
        <w:spacing w:after="80"/>
      </w:pPr>
      <w:r>
        <w:rPr>
          <w:i w:val="0"/>
          <w:sz w:val="18"/>
        </w:rPr>
        <w:t>셋 다 영업적자이고 베타는 2~4배다. 밸류에이션으로 정당화되지 않으며 정당화하려 하지도 않는다 — 이 11%는 컨빅션이 아니라 옵션이고, 그렇게 부르는 편이 정직하다. 손실 한도를 미리 정하고 차환·고객 집중도를 월 단위로 점검하는 것이 전제다.</w:t>
      </w:r>
    </w:p>
    <w:p>
      <w:pPr>
        <w:spacing w:before="160" w:after="80"/>
      </w:pPr>
      <w:r>
        <w:rPr>
          <w:b/>
          <w:color w:val="000000"/>
          <w:sz w:val="22"/>
        </w:rPr>
        <w:t>5. CPU 0% · TSLA 0% — 미보유가 곧 최대 언더웨이트</w:t>
      </w:r>
    </w:p>
    <w:p>
      <w:pPr>
        <w:spacing w:after="80"/>
      </w:pPr>
      <w:r>
        <w:rPr>
          <w:i w:val="0"/>
          <w:sz w:val="18"/>
        </w:rPr>
        <w:t>INTC·AMD를 전량 배제해 BM 대비 -1.63%p, TSLA 배제로 -1.86%p를 언더웨이트한다. 에이전트 워크로드에서 범용 CPU는 병목이 아니며, 추론 확산은 가속기·메모리·네트워크로 지출을 옮긴다. SPCX는 시총 비중(2.46%) 수준인 2.5%로 중립을 유지한다.</w:t>
      </w:r>
    </w:p>
    <w:p>
      <w:r>
        <w:br w:type="page"/>
      </w:r>
    </w:p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6"/>
        </w:rPr>
        <w:t>위험 관리</w:t>
      </w:r>
    </w:p>
    <w:p>
      <w:pPr>
        <w:spacing w:after="80"/>
      </w:pPr>
      <w:r>
        <w:rPr>
          <w:i w:val="0"/>
          <w:sz w:val="18"/>
        </w:rPr>
        <w:t>이 포트는 추적오차 31.2%, 베타 1.90, 연율 변동성 42.8%로 벤치마크 대비 매우 공격적이다. 참고로 동일 팀의 코어 포트폴리오(MP v5.1, 30종목)는 TE 11.9%·베타 1.37이다 — 이 포트는 그 2.6배의 액티브 위험을 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게이트</w:t>
            </w:r>
          </w:p>
        </w:tc>
        <w:tc>
          <w:tcPr>
            <w:tcW w:type="dxa" w:w="4876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트리거</w:t>
            </w:r>
          </w:p>
        </w:tc>
        <w:tc>
          <w:tcPr>
            <w:tcW w:type="dxa" w:w="3288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행동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메모리 사이클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**MU·SNDK 영업이익률 60% 하회** 또는 DRAM 현물가 2개월 연속 하락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메모리 축 1차 축소(14.5%→8%)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CXMT·공급</w:t>
            </w:r>
          </w:p>
        </w:tc>
        <w:tc>
          <w:tcPr>
            <w:tcW w:type="dxa" w:w="4876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중국 DRAM 증설 가속 / MU HBM 점유 정체(월간)</w:t>
            </w:r>
          </w:p>
        </w:tc>
        <w:tc>
          <w:tcPr>
            <w:tcW w:type="dxa" w:w="3288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 축소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네오클라우드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고객 집중도 악화 · 차환 실패 · 계약 취소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/>
                <w:sz w:val="17"/>
              </w:rPr>
              <w:t>즉시 전량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소부장</w:t>
            </w:r>
          </w:p>
        </w:tc>
        <w:tc>
          <w:tcPr>
            <w:tcW w:type="dxa" w:w="4876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메모리 3사 capex 가이던스 하향</w:t>
            </w:r>
          </w:p>
        </w:tc>
        <w:tc>
          <w:tcPr>
            <w:tcW w:type="dxa" w:w="3288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소부장 축소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금리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인하 기대 훼손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고멀티플부터: 네오클라우드 → 소부장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GOOGL</w:t>
            </w:r>
          </w:p>
        </w:tc>
        <w:tc>
          <w:tcPr>
            <w:tcW w:type="dxa" w:w="4876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capex 가이던스 하향 또는 FCF 마진 20% 회복</w:t>
            </w:r>
          </w:p>
        </w:tc>
        <w:tc>
          <w:tcPr>
            <w:tcW w:type="dxa" w:w="3288"/>
            <w:shd w:val="clear" w:fill="F2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언더웨이트 해제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집중도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개별 10% · BM외 20%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상한 도달 시 교체 편입만</w:t>
            </w:r>
          </w:p>
        </w:tc>
      </w:tr>
    </w:tbl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4"/>
        </w:rPr>
        <w:t>한계 — 감추지 않는 것</w:t>
      </w:r>
    </w:p>
    <w:p>
      <w:pPr>
        <w:spacing w:after="40"/>
      </w:pPr>
      <w:r>
        <w:rPr>
          <w:i w:val="0"/>
          <w:sz w:val="18"/>
        </w:rPr>
        <w:t>1. BM 밖 비중이 19.5%다(ASML·ENTG·CRWV·NBIS·IREN·SPCX). 벤치마크 상대평가의 의미가 그만큼 줄어든다.</w:t>
      </w:r>
    </w:p>
    <w:p>
      <w:pPr>
        <w:spacing w:after="40"/>
      </w:pPr>
      <w:r>
        <w:rPr>
          <w:i w:val="0"/>
          <w:sz w:val="18"/>
        </w:rPr>
        <w:t>2. 종목 간 평균 상관 0.43로 코어 포트(0.19)보다 높다. 같은 테마를 겹쳐 담은 결과이며 분산 효과는 25%에 그친다. 위기에서 상관이 1로 수렴하면 이마저 사라진다.</w:t>
      </w:r>
    </w:p>
    <w:p>
      <w:pPr>
        <w:spacing w:after="40"/>
      </w:pPr>
      <w:r>
        <w:rPr>
          <w:i w:val="0"/>
          <w:sz w:val="18"/>
        </w:rPr>
        <w:t>3. 하락 베타 1.76가 상승 베타 1.63보다 크다. 급락 국면에서 더 민감하다.</w:t>
      </w:r>
    </w:p>
    <w:p>
      <w:pPr>
        <w:spacing w:after="40"/>
      </w:pPr>
      <w:r>
        <w:rPr>
          <w:i w:val="0"/>
          <w:sz w:val="18"/>
        </w:rPr>
        <w:t>4. 실현 성과 지표(샤프·소르티노·칼마)는 현재 비중을 과거 3년에 고정 적용한 백테스트다. AI 랠리 구간이 그대로 들어가 선택 편향이 크므로 본문 요약에서 제외했다.</w:t>
      </w:r>
    </w:p>
    <w:p>
      <w:pPr>
        <w:spacing w:after="40"/>
      </w:pPr>
      <w:r>
        <w:rPr>
          <w:i w:val="0"/>
          <w:sz w:val="18"/>
        </w:rPr>
        <w:t>5. SPCX는 2026년 6월 상장이라 3년 가격 이력이 없다 — 위험 지표 산출에서 제외했다.</w:t>
      </w:r>
    </w:p>
    <w:p>
      <w:pPr>
        <w:spacing w:after="40"/>
      </w:pPr>
      <w:r>
        <w:rPr>
          <w:i w:val="0"/>
          <w:sz w:val="18"/>
        </w:rPr>
        <w:t>6. 메모리 4사의 낮은 forward P/E는 저평가가 아니라 피크 이익에 붙은 배수일 수 있다. 이 포트 최대 단일 위험이다.</w:t>
      </w:r>
    </w:p>
    <w:p>
      <w:pPr>
        <w:spacing w:before="200" w:after="80"/>
        <w:pBdr>
          <w:bottom w:val="single" w:sz="8" w:color="1F4E79"/>
        </w:pBdr>
      </w:pPr>
      <w:r>
        <w:rPr>
          <w:b/>
          <w:color w:val="1F4E79"/>
          <w:sz w:val="24"/>
        </w:rPr>
        <w:t>산출 방법</w:t>
      </w:r>
    </w:p>
    <w:p>
      <w:pPr>
        <w:spacing w:after="80"/>
      </w:pPr>
      <w:r>
        <w:rPr>
          <w:i w:val="0"/>
          <w:sz w:val="17"/>
        </w:rPr>
        <w:t>· 유니버스·BM 비중: S&amp;P 500 503종목, 시총 정규화(부동주 미조정)</w:t>
        <w:br/>
        <w:t>· 성장: 직전 실적 → 차년도 컨센서스까지 2년 CAGR (단년 성장률은 기저효과에 노출)</w:t>
        <w:br/>
        <w:t>· 목표여력: 애널리스트 목표주가 중앙값 대비</w:t>
        <w:br/>
        <w:t>· 위험 지표: 3년 일별 수익률, BM 프록시 SPY, 무위험수익률 3.72%(13주 T-bill)</w:t>
        <w:br/>
        <w:t>· 캡처 비율: 상승·하락일의 평균 수익률 비</w:t>
        <w:br/>
        <w:t>· 데이터: yfinance(가격·재무·컨센서스), GOOGL 재무는 SEC 8-K 원문 대조 완료</w:t>
        <w:br/>
        <w:t>· 재현: mp_quant/agent20_{build,chart,docx}.py</w:t>
      </w:r>
    </w:p>
    <w:p>
      <w:pPr>
        <w:spacing w:after="80"/>
      </w:pPr>
      <w:r>
        <w:rPr>
          <w:i/>
          <w:color w:val="606060"/>
          <w:sz w:val="16"/>
        </w:rPr>
        <w:br/>
        <w:t>본 자료는 내부 검토용이며 투자 권유가 아니다. 모든 수치는 2026년 8월 26일 기준 실측이다.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