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color w:val="666666"/>
          <w:spacing w:val="200"/>
          <w:sz w:val="28"/>
          <w:szCs w:val="28"/>
        </w:rPr>
        <w:t xml:space="preserve">PRODUCT REQUIREMENTS DOCUMENT</w:t>
      </w:r>
    </w:p>
    <w:p>
      <w:pPr>
        <w:spacing w:after="200"/>
        <w:jc w:val="center"/>
      </w:pPr>
      <w:r>
        <w:rPr>
          <w:rFonts w:ascii="Arial" w:cs="Arial" w:eastAsia="Arial" w:hAnsi="Arial"/>
          <w:b/>
          <w:bCs/>
          <w:color w:val="1B4F72"/>
          <w:sz w:val="56"/>
          <w:szCs w:val="56"/>
        </w:rPr>
        <w:t xml:space="preserve">CallForge</w:t>
      </w:r>
    </w:p>
    <w:p>
      <w:pPr>
        <w:jc w:val="center"/>
      </w:pPr>
      <w:r>
        <w:rPr>
          <w:rFonts w:ascii="Arial" w:cs="Arial" w:eastAsia="Arial" w:hAnsi="Arial"/>
          <w:color w:val="404040"/>
          <w:sz w:val="26"/>
          <w:szCs w:val="26"/>
        </w:rPr>
        <w:t xml:space="preserve">AI-Powered Multi-Agent System for</w:t>
      </w:r>
    </w:p>
    <w:p>
      <w:pPr>
        <w:spacing w:after="400"/>
        <w:jc w:val="center"/>
      </w:pPr>
      <w:r>
        <w:rPr>
          <w:rFonts w:ascii="Arial" w:cs="Arial" w:eastAsia="Arial" w:hAnsi="Arial"/>
          <w:color w:val="404040"/>
          <w:sz w:val="26"/>
          <w:szCs w:val="26"/>
        </w:rPr>
        <w:t xml:space="preserve">Programmatic Pay-Per-Call Lead Generation</w:t>
      </w:r>
    </w:p>
    <w:p>
      <w:pPr>
        <w:pBdr>
          <w:top w:val="single" w:color="2E75B6" w:sz="6" w:space="1"/>
        </w:pBdr>
        <w:spacing w:after="100"/>
        <w:jc w:val="center"/>
      </w:pPr>
    </w:p>
    <w:p>
      <w:pPr>
        <w:spacing w:after="60"/>
        <w:jc w:val="center"/>
      </w:pPr>
      <w:r>
        <w:rPr>
          <w:rFonts w:ascii="Arial" w:cs="Arial" w:eastAsia="Arial" w:hAnsi="Arial"/>
          <w:color w:val="666666"/>
          <w:sz w:val="22"/>
          <w:szCs w:val="22"/>
        </w:rPr>
        <w:t xml:space="preserve">Version 8.0  |  February 2026</w:t>
      </w:r>
    </w:p>
    <w:p>
      <w:pPr>
        <w:spacing w:after="60"/>
        <w:jc w:val="center"/>
      </w:pPr>
      <w:r>
        <w:rPr>
          <w:rFonts w:ascii="Arial" w:cs="Arial" w:eastAsia="Arial" w:hAnsi="Arial"/>
          <w:color w:val="666666"/>
          <w:sz w:val="22"/>
          <w:szCs w:val="22"/>
        </w:rPr>
        <w:t xml:space="preserve">Author: Kioja Kudumu</w:t>
      </w:r>
    </w:p>
    <w:p>
      <w:pPr>
        <w:spacing w:after="60"/>
        <w:jc w:val="center"/>
      </w:pPr>
      <w:r>
        <w:rPr>
          <w:rFonts w:ascii="Arial" w:cs="Arial" w:eastAsia="Arial" w:hAnsi="Arial"/>
          <w:color w:val="666666"/>
          <w:sz w:val="22"/>
          <w:szCs w:val="22"/>
        </w:rPr>
        <w:t xml:space="preserve">Classification: Internal / Build-in-Public</w:t>
      </w:r>
    </w:p>
    <w:p>
      <w:pPr>
        <w:spacing w:after="200"/>
        <w:jc w:val="center"/>
      </w:pPr>
      <w:r>
        <w:rPr>
          <w:rFonts w:ascii="Arial" w:cs="Arial" w:eastAsia="Arial" w:hAnsi="Arial"/>
          <w:color w:val="666666"/>
          <w:sz w:val="22"/>
          <w:szCs w:val="22"/>
        </w:rPr>
        <w:t xml:space="preserve">First deployment target: extermanation.com (Pest Control)</w:t>
      </w:r>
    </w:p>
    <w:p>
      <w:pPr>
        <w:spacing w:before="600"/>
        <w:jc w:val="center"/>
      </w:pPr>
      <w:r>
        <w:rPr>
          <w:rFonts w:ascii="Arial" w:cs="Arial" w:eastAsia="Arial" w:hAnsi="Arial"/>
          <w:b/>
          <w:bCs/>
          <w:color w:val="CC3300"/>
          <w:sz w:val="24"/>
          <w:szCs w:val="24"/>
        </w:rPr>
        <w:t xml:space="preserve">V8 ADDENDUM: Production Hardening Specifications</w:t>
      </w:r>
    </w:p>
    <w:p>
      <w:pPr>
        <w:spacing w:after="60"/>
        <w:jc w:val="center"/>
      </w:pPr>
      <w:r>
        <w:rPr>
          <w:rFonts w:ascii="Arial" w:cs="Arial" w:eastAsia="Arial" w:hAnsi="Arial"/>
          <w:color w:val="666666"/>
          <w:sz w:val="20"/>
          <w:szCs w:val="20"/>
        </w:rPr>
        <w:t xml:space="preserve">Data Contract Enforcement | Rate Limit Management | Dead-Letter Queue</w:t>
      </w:r>
    </w:p>
    <w:p>
      <w:pPr>
        <w:jc w:val="center"/>
      </w:pPr>
      <w:r>
        <w:rPr>
          <w:rFonts w:ascii="Arial" w:cs="Arial" w:eastAsia="Arial" w:hAnsi="Arial"/>
          <w:color w:val="666666"/>
          <w:sz w:val="20"/>
          <w:szCs w:val="20"/>
        </w:rPr>
        <w:t xml:space="preserve">SEO Velocity Controls | TCPA/Legal Compliance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24. Production Hardening Specifications</w:t>
      </w:r>
    </w:p>
    <w:p>
      <w:pPr>
        <w:spacing w:after="120"/>
      </w:pPr>
      <w:r>
        <w:rPr>
          <w:rFonts w:ascii="Arial" w:cs="Arial" w:eastAsia="Arial" w:hAnsi="Arial"/>
          <w:sz w:val="22"/>
          <w:szCs w:val="22"/>
        </w:rPr>
        <w:t xml:space="preserve">This section addresses five critical implementation gaps identified during architecture review that must be resolved before Sprint 1 execution. Each subsection provides production-ready schema designs, code patterns, and compliance requirements that integrate directly with the existing agent architecture, orchestrator, and Supabase data layer defined in Sections 2-22.</w:t>
      </w:r>
    </w:p>
    <w:p>
      <w:pPr>
        <w:pStyle w:val="Heading2"/>
      </w:pPr>
      <w:r>
        <w:rPr>
          <w:rFonts w:ascii="Arial" w:cs="Arial" w:eastAsia="Arial" w:hAnsi="Arial"/>
        </w:rPr>
        <w:t xml:space="preserve">24.1 Data Contract Enforcement (LLM Hallucination Prevention)</w:t>
      </w:r>
    </w:p>
    <w:p>
      <w:pPr>
        <w:spacing w:after="120"/>
      </w:pPr>
      <w:r>
        <w:rPr>
          <w:rFonts w:ascii="Arial" w:cs="Arial" w:eastAsia="Arial" w:hAnsi="Arial"/>
          <w:sz w:val="22"/>
          <w:szCs w:val="22"/>
        </w:rPr>
        <w:t xml:space="preserve">When agents generate JSON via CLI that gets written to PostgreSQL tables (keyword_clusters, content_items, offer_payouts, etc.), a single hallucinated field cascades into downstream agent failures. Agent 1 outputs malformed keyword cluster data, Agent 3 chokes during the Netlify build. The solution is a three-layer defense: CLI-level schema enforcement, Zod runtime validation, and self-correction retry loops.</w:t>
      </w:r>
    </w:p>
    <w:p>
      <w:pPr>
        <w:pStyle w:val="Heading3"/>
      </w:pPr>
      <w:r>
        <w:rPr>
          <w:rFonts w:ascii="Arial" w:cs="Arial" w:eastAsia="Arial" w:hAnsi="Arial"/>
        </w:rPr>
        <w:t xml:space="preserve">24.1.1 Zod v4 as the Validation Layer</w:t>
      </w:r>
    </w:p>
    <w:p>
      <w:pPr>
        <w:spacing w:after="120"/>
      </w:pPr>
      <w:r>
        <w:rPr>
          <w:rFonts w:ascii="Arial" w:cs="Arial" w:eastAsia="Arial" w:hAnsi="Arial"/>
          <w:sz w:val="22"/>
          <w:szCs w:val="22"/>
        </w:rPr>
        <w:t xml:space="preserve">Zod v4 (stable since mid-2025) delivers 14x faster string parsing and 57% smaller bundle versus Zod 3. The critical feature for CallForge is native JSON Schema generation via z.toJSONSchema(), which feeds schemas directly into both CLI tools for server-side constrained decoding. Every .describe() annotation flows into the JSON Schema, improving LLM output quality.</w:t>
      </w:r>
    </w:p>
    <w:p>
      <w:pPr>
        <w:spacing w:after="120"/>
      </w:pPr>
      <w:r>
        <w:rPr>
          <w:rFonts w:ascii="Arial" w:cs="Arial" w:eastAsia="Arial" w:hAnsi="Arial"/>
          <w:b/>
          <w:bCs/>
          <w:sz w:val="22"/>
          <w:szCs w:val="22"/>
        </w:rPr>
        <w:t xml:space="preserve">Required dependency: </w:t>
      </w:r>
      <w:r>
        <w:rPr>
          <w:rFonts w:ascii="Arial" w:cs="Arial" w:eastAsia="Arial" w:hAnsi="Arial"/>
          <w:sz w:val="22"/>
          <w:szCs w:val="22"/>
        </w:rPr>
        <w:t xml:space="preserve">zod@^4.0.0 (npm install zod)</w:t>
      </w:r>
    </w:p>
    <w:p>
      <w:pPr>
        <w:spacing w:after="120"/>
      </w:pPr>
      <w:r>
        <w:rPr>
          <w:rFonts w:ascii="Arial" w:cs="Arial" w:eastAsia="Arial" w:hAnsi="Arial"/>
          <w:b/>
          <w:bCs/>
          <w:sz w:val="22"/>
          <w:szCs w:val="22"/>
        </w:rPr>
        <w:t xml:space="preserve">Supabase bridge: </w:t>
      </w:r>
      <w:r>
        <w:rPr>
          <w:rFonts w:ascii="Arial" w:cs="Arial" w:eastAsia="Arial" w:hAnsi="Arial"/>
          <w:sz w:val="22"/>
          <w:szCs w:val="22"/>
        </w:rPr>
        <w:t xml:space="preserve">Use supazod or drizzle-zod to auto-generate Zod schemas from Supabase CLI types, ensuring database schema and validation schemas never drift.</w:t>
      </w:r>
    </w:p>
    <w:p>
      <w:pPr>
        <w:spacing w:after="120"/>
      </w:pPr>
      <w:r>
        <w:rPr>
          <w:rFonts w:ascii="Arial" w:cs="Arial" w:eastAsia="Arial" w:hAnsi="Arial"/>
          <w:sz w:val="22"/>
          <w:szCs w:val="22"/>
        </w:rPr>
        <w:t xml:space="preserve">Example schema for keyword_clusters table:</w:t>
      </w:r>
    </w:p>
    <w:p>
      <w:pPr>
        <w:shd w:fill="F5F5F5" w:val="clear"/>
        <w:spacing w:after="60" w:before="60"/>
        <w:ind w:left="360"/>
      </w:pPr>
      <w:r>
        <w:rPr>
          <w:rFonts w:ascii="Courier New" w:cs="Courier New" w:eastAsia="Courier New" w:hAnsi="Courier New"/>
          <w:sz w:val="18"/>
          <w:szCs w:val="18"/>
        </w:rPr>
        <w:t xml:space="preserve">import { z } from "zod/v4";</w:t>
      </w:r>
    </w:p>
    <w:p>
      <w:pPr>
        <w:shd w:fill="F5F5F5" w:val="clear"/>
        <w:spacing w:after="60" w:before="60"/>
        <w:ind w:left="360"/>
      </w:pPr>
      <w:r>
        <w:rPr>
          <w:rFonts w:ascii="Courier New" w:cs="Courier New" w:eastAsia="Courier New" w:hAnsi="Courier New"/>
          <w:sz w:val="18"/>
          <w:szCs w:val="18"/>
        </w:rPr>
        <w:t xml:space="preserve"/>
      </w:r>
    </w:p>
    <w:p>
      <w:pPr>
        <w:shd w:fill="F5F5F5" w:val="clear"/>
        <w:spacing w:after="60" w:before="60"/>
        <w:ind w:left="360"/>
      </w:pPr>
      <w:r>
        <w:rPr>
          <w:rFonts w:ascii="Courier New" w:cs="Courier New" w:eastAsia="Courier New" w:hAnsi="Courier New"/>
          <w:sz w:val="18"/>
          <w:szCs w:val="18"/>
        </w:rPr>
        <w:t xml:space="preserve">const KeywordClusterSchema = z.object({</w:t>
      </w:r>
    </w:p>
    <w:p>
      <w:pPr>
        <w:shd w:fill="F5F5F5" w:val="clear"/>
        <w:spacing w:after="60" w:before="60"/>
        <w:ind w:left="360"/>
      </w:pPr>
      <w:r>
        <w:rPr>
          <w:rFonts w:ascii="Courier New" w:cs="Courier New" w:eastAsia="Courier New" w:hAnsi="Courier New"/>
          <w:sz w:val="18"/>
          <w:szCs w:val="18"/>
        </w:rPr>
        <w:t xml:space="preserve">  cluster_name: z.string().min(1).max(255).describe("Keyword cluster name"),</w:t>
      </w:r>
    </w:p>
    <w:p>
      <w:pPr>
        <w:shd w:fill="F5F5F5" w:val="clear"/>
        <w:spacing w:after="60" w:before="60"/>
        <w:ind w:left="360"/>
      </w:pPr>
      <w:r>
        <w:rPr>
          <w:rFonts w:ascii="Courier New" w:cs="Courier New" w:eastAsia="Courier New" w:hAnsi="Courier New"/>
          <w:sz w:val="18"/>
          <w:szCs w:val="18"/>
        </w:rPr>
        <w:t xml:space="preserve">  primary_keyword: z.string().min(1).describe("Main SEO target keyword"),</w:t>
      </w:r>
    </w:p>
    <w:p>
      <w:pPr>
        <w:shd w:fill="F5F5F5" w:val="clear"/>
        <w:spacing w:after="60" w:before="60"/>
        <w:ind w:left="360"/>
      </w:pPr>
      <w:r>
        <w:rPr>
          <w:rFonts w:ascii="Courier New" w:cs="Courier New" w:eastAsia="Courier New" w:hAnsi="Courier New"/>
          <w:sz w:val="18"/>
          <w:szCs w:val="18"/>
        </w:rPr>
        <w:t xml:space="preserve">  secondary_keywords: z.array(z.string()).describe("Related keywords"),</w:t>
      </w:r>
    </w:p>
    <w:p>
      <w:pPr>
        <w:shd w:fill="F5F5F5" w:val="clear"/>
        <w:spacing w:after="60" w:before="60"/>
        <w:ind w:left="360"/>
      </w:pPr>
      <w:r>
        <w:rPr>
          <w:rFonts w:ascii="Courier New" w:cs="Courier New" w:eastAsia="Courier New" w:hAnsi="Courier New"/>
          <w:sz w:val="18"/>
          <w:szCs w:val="18"/>
        </w:rPr>
        <w:t xml:space="preserve">  search_volume: z.number().int().min(0).describe("Monthly search volume"),</w:t>
      </w:r>
    </w:p>
    <w:p>
      <w:pPr>
        <w:shd w:fill="F5F5F5" w:val="clear"/>
        <w:spacing w:after="60" w:before="60"/>
        <w:ind w:left="360"/>
      </w:pPr>
      <w:r>
        <w:rPr>
          <w:rFonts w:ascii="Courier New" w:cs="Courier New" w:eastAsia="Courier New" w:hAnsi="Courier New"/>
          <w:sz w:val="18"/>
          <w:szCs w:val="18"/>
        </w:rPr>
        <w:t xml:space="preserve">  difficulty: z.number().min(0).max(100).describe("Difficulty 0-100"),</w:t>
      </w:r>
    </w:p>
    <w:p>
      <w:pPr>
        <w:shd w:fill="F5F5F5" w:val="clear"/>
        <w:spacing w:after="60" w:before="60"/>
        <w:ind w:left="360"/>
      </w:pPr>
      <w:r>
        <w:rPr>
          <w:rFonts w:ascii="Courier New" w:cs="Courier New" w:eastAsia="Courier New" w:hAnsi="Courier New"/>
          <w:sz w:val="18"/>
          <w:szCs w:val="18"/>
        </w:rPr>
        <w:t xml:space="preserve">  intent: z.enum(["informational","transactional","navigational","commercial"])</w:t>
      </w:r>
    </w:p>
    <w:p>
      <w:pPr>
        <w:shd w:fill="F5F5F5" w:val="clear"/>
        <w:spacing w:after="60" w:before="60"/>
        <w:ind w:left="360"/>
      </w:pPr>
      <w:r>
        <w:rPr>
          <w:rFonts w:ascii="Courier New" w:cs="Courier New" w:eastAsia="Courier New" w:hAnsi="Courier New"/>
          <w:sz w:val="18"/>
          <w:szCs w:val="18"/>
        </w:rPr>
        <w:t xml:space="preserve">    .describe("Search intent classification"),</w:t>
      </w:r>
    </w:p>
    <w:p>
      <w:pPr>
        <w:shd w:fill="F5F5F5" w:val="clear"/>
        <w:spacing w:after="60" w:before="60"/>
        <w:ind w:left="360"/>
      </w:pPr>
      <w:r>
        <w:rPr>
          <w:rFonts w:ascii="Courier New" w:cs="Courier New" w:eastAsia="Courier New" w:hAnsi="Courier New"/>
          <w:sz w:val="18"/>
          <w:szCs w:val="18"/>
        </w:rPr>
        <w:t xml:space="preserve">});</w:t>
      </w:r>
    </w:p>
    <w:p>
      <w:pPr>
        <w:shd w:fill="F5F5F5" w:val="clear"/>
        <w:spacing w:after="60" w:before="60"/>
        <w:ind w:left="360"/>
      </w:pPr>
      <w:r>
        <w:rPr>
          <w:rFonts w:ascii="Courier New" w:cs="Courier New" w:eastAsia="Courier New" w:hAnsi="Courier New"/>
          <w:sz w:val="18"/>
          <w:szCs w:val="18"/>
        </w:rPr>
        <w:t xml:space="preserve"/>
      </w:r>
    </w:p>
    <w:p>
      <w:pPr>
        <w:shd w:fill="F5F5F5" w:val="clear"/>
        <w:spacing w:after="60" w:before="60"/>
        <w:ind w:left="360"/>
      </w:pPr>
      <w:r>
        <w:rPr>
          <w:rFonts w:ascii="Courier New" w:cs="Courier New" w:eastAsia="Courier New" w:hAnsi="Courier New"/>
          <w:sz w:val="18"/>
          <w:szCs w:val="18"/>
        </w:rPr>
        <w:t xml:space="preserve">const jsonSchema = z.toJSONSchema(KeywordClusterSchema);</w:t>
      </w:r>
    </w:p>
    <w:p>
      <w:pPr>
        <w:pStyle w:val="Heading3"/>
      </w:pPr>
      <w:r>
        <w:rPr>
          <w:rFonts w:ascii="Arial" w:cs="Arial" w:eastAsia="Arial" w:hAnsi="Arial"/>
        </w:rPr>
        <w:t xml:space="preserve">24.1.2 CLI Invocation with Schema Enforcement</w:t>
      </w:r>
    </w:p>
    <w:p>
      <w:pPr>
        <w:spacing w:after="120"/>
      </w:pPr>
      <w:r>
        <w:rPr>
          <w:rFonts w:ascii="Arial" w:cs="Arial" w:eastAsia="Arial" w:hAnsi="Arial"/>
          <w:sz w:val="22"/>
          <w:szCs w:val="22"/>
        </w:rPr>
        <w:t xml:space="preserve">Both Claude Code CLI and Codex CLI accept JSON Schema for server-side constrained decoding. The orchestrator passes the schema alongside the prompt, then validates the response with Zod as defense-in-depth:</w:t>
      </w:r>
    </w:p>
    <w:p>
      <w:pPr>
        <w:shd w:fill="F5F5F5" w:val="clear"/>
        <w:spacing w:after="60" w:before="60"/>
        <w:ind w:left="360"/>
      </w:pPr>
      <w:r>
        <w:rPr>
          <w:rFonts w:ascii="Courier New" w:cs="Courier New" w:eastAsia="Courier New" w:hAnsi="Courier New"/>
          <w:sz w:val="18"/>
          <w:szCs w:val="18"/>
        </w:rPr>
        <w:t xml:space="preserve">async function invokeClaudeCLI&lt;T extends z.ZodType&gt;(</w:t>
      </w:r>
    </w:p>
    <w:p>
      <w:pPr>
        <w:shd w:fill="F5F5F5" w:val="clear"/>
        <w:spacing w:after="60" w:before="60"/>
        <w:ind w:left="360"/>
      </w:pPr>
      <w:r>
        <w:rPr>
          <w:rFonts w:ascii="Courier New" w:cs="Courier New" w:eastAsia="Courier New" w:hAnsi="Courier New"/>
          <w:sz w:val="18"/>
          <w:szCs w:val="18"/>
        </w:rPr>
        <w:t xml:space="preserve">  prompt: string, schema: T</w:t>
      </w:r>
    </w:p>
    <w:p>
      <w:pPr>
        <w:shd w:fill="F5F5F5" w:val="clear"/>
        <w:spacing w:after="60" w:before="60"/>
        <w:ind w:left="360"/>
      </w:pPr>
      <w:r>
        <w:rPr>
          <w:rFonts w:ascii="Courier New" w:cs="Courier New" w:eastAsia="Courier New" w:hAnsi="Courier New"/>
          <w:sz w:val="18"/>
          <w:szCs w:val="18"/>
        </w:rPr>
        <w:t xml:space="preserve">): Promise&lt;z.infer&lt;T&gt;&gt; {</w:t>
      </w:r>
    </w:p>
    <w:p>
      <w:pPr>
        <w:shd w:fill="F5F5F5" w:val="clear"/>
        <w:spacing w:after="60" w:before="60"/>
        <w:ind w:left="360"/>
      </w:pPr>
      <w:r>
        <w:rPr>
          <w:rFonts w:ascii="Courier New" w:cs="Courier New" w:eastAsia="Courier New" w:hAnsi="Courier New"/>
          <w:sz w:val="18"/>
          <w:szCs w:val="18"/>
        </w:rPr>
        <w:t xml:space="preserve">  const jsonSchema = JSON.stringify(z.toJSONSchema(schema));</w:t>
      </w:r>
    </w:p>
    <w:p>
      <w:pPr>
        <w:shd w:fill="F5F5F5" w:val="clear"/>
        <w:spacing w:after="60" w:before="60"/>
        <w:ind w:left="360"/>
      </w:pPr>
      <w:r>
        <w:rPr>
          <w:rFonts w:ascii="Courier New" w:cs="Courier New" w:eastAsia="Courier New" w:hAnsi="Courier New"/>
          <w:sz w:val="18"/>
          <w:szCs w:val="18"/>
        </w:rPr>
        <w:t xml:space="preserve">  const { stdout } = await execFileAsync("claude", [</w:t>
      </w:r>
    </w:p>
    <w:p>
      <w:pPr>
        <w:shd w:fill="F5F5F5" w:val="clear"/>
        <w:spacing w:after="60" w:before="60"/>
        <w:ind w:left="360"/>
      </w:pPr>
      <w:r>
        <w:rPr>
          <w:rFonts w:ascii="Courier New" w:cs="Courier New" w:eastAsia="Courier New" w:hAnsi="Courier New"/>
          <w:sz w:val="18"/>
          <w:szCs w:val="18"/>
        </w:rPr>
        <w:t xml:space="preserve">    "-p", prompt,</w:t>
      </w:r>
    </w:p>
    <w:p>
      <w:pPr>
        <w:shd w:fill="F5F5F5" w:val="clear"/>
        <w:spacing w:after="60" w:before="60"/>
        <w:ind w:left="360"/>
      </w:pPr>
      <w:r>
        <w:rPr>
          <w:rFonts w:ascii="Courier New" w:cs="Courier New" w:eastAsia="Courier New" w:hAnsi="Courier New"/>
          <w:sz w:val="18"/>
          <w:szCs w:val="18"/>
        </w:rPr>
        <w:t xml:space="preserve">    "--output-format", "json",</w:t>
      </w:r>
    </w:p>
    <w:p>
      <w:pPr>
        <w:shd w:fill="F5F5F5" w:val="clear"/>
        <w:spacing w:after="60" w:before="60"/>
        <w:ind w:left="360"/>
      </w:pPr>
      <w:r>
        <w:rPr>
          <w:rFonts w:ascii="Courier New" w:cs="Courier New" w:eastAsia="Courier New" w:hAnsi="Courier New"/>
          <w:sz w:val="18"/>
          <w:szCs w:val="18"/>
        </w:rPr>
        <w:t xml:space="preserve">    "--json-schema", jsonSchema,</w:t>
      </w:r>
    </w:p>
    <w:p>
      <w:pPr>
        <w:shd w:fill="F5F5F5" w:val="clear"/>
        <w:spacing w:after="60" w:before="60"/>
        <w:ind w:left="360"/>
      </w:pPr>
      <w:r>
        <w:rPr>
          <w:rFonts w:ascii="Courier New" w:cs="Courier New" w:eastAsia="Courier New" w:hAnsi="Courier New"/>
          <w:sz w:val="18"/>
          <w:szCs w:val="18"/>
        </w:rPr>
        <w:t xml:space="preserve">    "--max-turns", "10",</w:t>
      </w:r>
    </w:p>
    <w:p>
      <w:pPr>
        <w:shd w:fill="F5F5F5" w:val="clear"/>
        <w:spacing w:after="60" w:before="60"/>
        <w:ind w:left="360"/>
      </w:pPr>
      <w:r>
        <w:rPr>
          <w:rFonts w:ascii="Courier New" w:cs="Courier New" w:eastAsia="Courier New" w:hAnsi="Courier New"/>
          <w:sz w:val="18"/>
          <w:szCs w:val="18"/>
        </w:rPr>
        <w:t xml:space="preserve">  ], { timeout: 120_000, maxBuffer: 10 * 1024 * 1024 });</w:t>
      </w:r>
    </w:p>
    <w:p>
      <w:pPr>
        <w:shd w:fill="F5F5F5" w:val="clear"/>
        <w:spacing w:after="60" w:before="60"/>
        <w:ind w:left="360"/>
      </w:pPr>
      <w:r>
        <w:rPr>
          <w:rFonts w:ascii="Courier New" w:cs="Courier New" w:eastAsia="Courier New" w:hAnsi="Courier New"/>
          <w:sz w:val="18"/>
          <w:szCs w:val="18"/>
        </w:rPr>
        <w:t xml:space="preserve">  const envelope = JSON.parse(stdout);</w:t>
      </w:r>
    </w:p>
    <w:p>
      <w:pPr>
        <w:shd w:fill="F5F5F5" w:val="clear"/>
        <w:spacing w:after="60" w:before="60"/>
        <w:ind w:left="360"/>
      </w:pPr>
      <w:r>
        <w:rPr>
          <w:rFonts w:ascii="Courier New" w:cs="Courier New" w:eastAsia="Courier New" w:hAnsi="Courier New"/>
          <w:sz w:val="18"/>
          <w:szCs w:val="18"/>
        </w:rPr>
        <w:t xml:space="preserve">  if (envelope.is_error) throw new Error(envelope.result);</w:t>
      </w:r>
    </w:p>
    <w:p>
      <w:pPr>
        <w:shd w:fill="F5F5F5" w:val="clear"/>
        <w:spacing w:after="60" w:before="60"/>
        <w:ind w:left="360"/>
      </w:pPr>
      <w:r>
        <w:rPr>
          <w:rFonts w:ascii="Courier New" w:cs="Courier New" w:eastAsia="Courier New" w:hAnsi="Courier New"/>
          <w:sz w:val="18"/>
          <w:szCs w:val="18"/>
        </w:rPr>
        <w:t xml:space="preserve">  const data = typeof envelope.result === "string"</w:t>
      </w:r>
    </w:p>
    <w:p>
      <w:pPr>
        <w:shd w:fill="F5F5F5" w:val="clear"/>
        <w:spacing w:after="60" w:before="60"/>
        <w:ind w:left="360"/>
      </w:pPr>
      <w:r>
        <w:rPr>
          <w:rFonts w:ascii="Courier New" w:cs="Courier New" w:eastAsia="Courier New" w:hAnsi="Courier New"/>
          <w:sz w:val="18"/>
          <w:szCs w:val="18"/>
        </w:rPr>
        <w:t xml:space="preserve">    ? JSON.parse(envelope.result) : envelope.result;</w:t>
      </w:r>
    </w:p>
    <w:p>
      <w:pPr>
        <w:shd w:fill="F5F5F5" w:val="clear"/>
        <w:spacing w:after="60" w:before="60"/>
        <w:ind w:left="360"/>
      </w:pPr>
      <w:r>
        <w:rPr>
          <w:rFonts w:ascii="Courier New" w:cs="Courier New" w:eastAsia="Courier New" w:hAnsi="Courier New"/>
          <w:sz w:val="18"/>
          <w:szCs w:val="18"/>
        </w:rPr>
        <w:t xml:space="preserve">  return schema.parse(data);</w:t>
      </w:r>
    </w:p>
    <w:p>
      <w:pPr>
        <w:shd w:fill="F5F5F5" w:val="clear"/>
        <w:spacing w:after="60" w:before="60"/>
        <w:ind w:left="360"/>
      </w:pPr>
      <w:r>
        <w:rPr>
          <w:rFonts w:ascii="Courier New" w:cs="Courier New" w:eastAsia="Courier New" w:hAnsi="Courier New"/>
          <w:sz w:val="18"/>
          <w:szCs w:val="18"/>
        </w:rPr>
        <w:t xml:space="preserve">}</w:t>
      </w:r>
    </w:p>
    <w:p>
      <w:pPr>
        <w:pStyle w:val="Heading3"/>
      </w:pPr>
      <w:r>
        <w:rPr>
          <w:rFonts w:ascii="Arial" w:cs="Arial" w:eastAsia="Arial" w:hAnsi="Arial"/>
        </w:rPr>
        <w:t xml:space="preserve">24.1.3 Self-Correction Retry Loop</w:t>
      </w:r>
    </w:p>
    <w:p>
      <w:pPr>
        <w:spacing w:after="120"/>
      </w:pPr>
      <w:r>
        <w:rPr>
          <w:rFonts w:ascii="Arial" w:cs="Arial" w:eastAsia="Arial" w:hAnsi="Arial"/>
          <w:sz w:val="22"/>
          <w:szCs w:val="22"/>
        </w:rPr>
        <w:t xml:space="preserve">Even with schema enforcement, approximately 5% of CLI calls may return malformed output. The self-correction pattern feeds Zod error messages back to the LLM. Three retries achieves 95-100% success rate based on STROT framework research:</w:t>
      </w:r>
    </w:p>
    <w:p>
      <w:pPr>
        <w:shd w:fill="F5F5F5" w:val="clear"/>
        <w:spacing w:after="60" w:before="60"/>
        <w:ind w:left="360"/>
      </w:pPr>
      <w:r>
        <w:rPr>
          <w:rFonts w:ascii="Courier New" w:cs="Courier New" w:eastAsia="Courier New" w:hAnsi="Courier New"/>
          <w:sz w:val="18"/>
          <w:szCs w:val="18"/>
        </w:rPr>
        <w:t xml:space="preserve">async function callLLMWithValidation&lt;T extends z.ZodType&gt;(opts: {</w:t>
      </w:r>
    </w:p>
    <w:p>
      <w:pPr>
        <w:shd w:fill="F5F5F5" w:val="clear"/>
        <w:spacing w:after="60" w:before="60"/>
        <w:ind w:left="360"/>
      </w:pPr>
      <w:r>
        <w:rPr>
          <w:rFonts w:ascii="Courier New" w:cs="Courier New" w:eastAsia="Courier New" w:hAnsi="Courier New"/>
          <w:sz w:val="18"/>
          <w:szCs w:val="18"/>
        </w:rPr>
        <w:t xml:space="preserve">  schema: T; prompt: string; cli: "claude"|"codex"; maxRetries?: number</w:t>
      </w:r>
    </w:p>
    <w:p>
      <w:pPr>
        <w:shd w:fill="F5F5F5" w:val="clear"/>
        <w:spacing w:after="60" w:before="60"/>
        <w:ind w:left="360"/>
      </w:pPr>
      <w:r>
        <w:rPr>
          <w:rFonts w:ascii="Courier New" w:cs="Courier New" w:eastAsia="Courier New" w:hAnsi="Courier New"/>
          <w:sz w:val="18"/>
          <w:szCs w:val="18"/>
        </w:rPr>
        <w:t xml:space="preserve">}): Promise&lt;z.infer&lt;T&gt;&gt; {</w:t>
      </w:r>
    </w:p>
    <w:p>
      <w:pPr>
        <w:shd w:fill="F5F5F5" w:val="clear"/>
        <w:spacing w:after="60" w:before="60"/>
        <w:ind w:left="360"/>
      </w:pPr>
      <w:r>
        <w:rPr>
          <w:rFonts w:ascii="Courier New" w:cs="Courier New" w:eastAsia="Courier New" w:hAnsi="Courier New"/>
          <w:sz w:val="18"/>
          <w:szCs w:val="18"/>
        </w:rPr>
        <w:t xml:space="preserve">  let prompt = opts.prompt;</w:t>
      </w:r>
    </w:p>
    <w:p>
      <w:pPr>
        <w:shd w:fill="F5F5F5" w:val="clear"/>
        <w:spacing w:after="60" w:before="60"/>
        <w:ind w:left="360"/>
      </w:pPr>
      <w:r>
        <w:rPr>
          <w:rFonts w:ascii="Courier New" w:cs="Courier New" w:eastAsia="Courier New" w:hAnsi="Courier New"/>
          <w:sz w:val="18"/>
          <w:szCs w:val="18"/>
        </w:rPr>
        <w:t xml:space="preserve">  for (let attempt = 1; attempt &lt;= (opts.maxRetries ?? 3); attempt++) {</w:t>
      </w:r>
    </w:p>
    <w:p>
      <w:pPr>
        <w:shd w:fill="F5F5F5" w:val="clear"/>
        <w:spacing w:after="60" w:before="60"/>
        <w:ind w:left="360"/>
      </w:pPr>
      <w:r>
        <w:rPr>
          <w:rFonts w:ascii="Courier New" w:cs="Courier New" w:eastAsia="Courier New" w:hAnsi="Courier New"/>
          <w:sz w:val="18"/>
          <w:szCs w:val="18"/>
        </w:rPr>
        <w:t xml:space="preserve">    try {</w:t>
      </w:r>
    </w:p>
    <w:p>
      <w:pPr>
        <w:shd w:fill="F5F5F5" w:val="clear"/>
        <w:spacing w:after="60" w:before="60"/>
        <w:ind w:left="360"/>
      </w:pPr>
      <w:r>
        <w:rPr>
          <w:rFonts w:ascii="Courier New" w:cs="Courier New" w:eastAsia="Courier New" w:hAnsi="Courier New"/>
          <w:sz w:val="18"/>
          <w:szCs w:val="18"/>
        </w:rPr>
        <w:t xml:space="preserve">      const raw = opts.cli === "claude"</w:t>
      </w:r>
    </w:p>
    <w:p>
      <w:pPr>
        <w:shd w:fill="F5F5F5" w:val="clear"/>
        <w:spacing w:after="60" w:before="60"/>
        <w:ind w:left="360"/>
      </w:pPr>
      <w:r>
        <w:rPr>
          <w:rFonts w:ascii="Courier New" w:cs="Courier New" w:eastAsia="Courier New" w:hAnsi="Courier New"/>
          <w:sz w:val="18"/>
          <w:szCs w:val="18"/>
        </w:rPr>
        <w:t xml:space="preserve">        ? await invokeClaudeCLI(prompt, opts.schema)</w:t>
      </w:r>
    </w:p>
    <w:p>
      <w:pPr>
        <w:shd w:fill="F5F5F5" w:val="clear"/>
        <w:spacing w:after="60" w:before="60"/>
        <w:ind w:left="360"/>
      </w:pPr>
      <w:r>
        <w:rPr>
          <w:rFonts w:ascii="Courier New" w:cs="Courier New" w:eastAsia="Courier New" w:hAnsi="Courier New"/>
          <w:sz w:val="18"/>
          <w:szCs w:val="18"/>
        </w:rPr>
        <w:t xml:space="preserve">        : await invokeCodexCLI(prompt, opts.schema);</w:t>
      </w:r>
    </w:p>
    <w:p>
      <w:pPr>
        <w:shd w:fill="F5F5F5" w:val="clear"/>
        <w:spacing w:after="60" w:before="60"/>
        <w:ind w:left="360"/>
      </w:pPr>
      <w:r>
        <w:rPr>
          <w:rFonts w:ascii="Courier New" w:cs="Courier New" w:eastAsia="Courier New" w:hAnsi="Courier New"/>
          <w:sz w:val="18"/>
          <w:szCs w:val="18"/>
        </w:rPr>
        <w:t xml:space="preserve">      return opts.schema.parse(raw);</w:t>
      </w:r>
    </w:p>
    <w:p>
      <w:pPr>
        <w:shd w:fill="F5F5F5" w:val="clear"/>
        <w:spacing w:after="60" w:before="60"/>
        <w:ind w:left="360"/>
      </w:pPr>
      <w:r>
        <w:rPr>
          <w:rFonts w:ascii="Courier New" w:cs="Courier New" w:eastAsia="Courier New" w:hAnsi="Courier New"/>
          <w:sz w:val="18"/>
          <w:szCs w:val="18"/>
        </w:rPr>
        <w:t xml:space="preserve">    } catch (error) {</w:t>
      </w:r>
    </w:p>
    <w:p>
      <w:pPr>
        <w:shd w:fill="F5F5F5" w:val="clear"/>
        <w:spacing w:after="60" w:before="60"/>
        <w:ind w:left="360"/>
      </w:pPr>
      <w:r>
        <w:rPr>
          <w:rFonts w:ascii="Courier New" w:cs="Courier New" w:eastAsia="Courier New" w:hAnsi="Courier New"/>
          <w:sz w:val="18"/>
          <w:szCs w:val="18"/>
        </w:rPr>
        <w:t xml:space="preserve">      if (attempt &gt;= (opts.maxRetries ?? 3)) throw error;</w:t>
      </w:r>
    </w:p>
    <w:p>
      <w:pPr>
        <w:shd w:fill="F5F5F5" w:val="clear"/>
        <w:spacing w:after="60" w:before="60"/>
        <w:ind w:left="360"/>
      </w:pPr>
      <w:r>
        <w:rPr>
          <w:rFonts w:ascii="Courier New" w:cs="Courier New" w:eastAsia="Courier New" w:hAnsi="Courier New"/>
          <w:sz w:val="18"/>
          <w:szCs w:val="18"/>
        </w:rPr>
        <w:t xml:space="preserve">      const errMsg = error instanceof z.ZodError</w:t>
      </w:r>
    </w:p>
    <w:p>
      <w:pPr>
        <w:shd w:fill="F5F5F5" w:val="clear"/>
        <w:spacing w:after="60" w:before="60"/>
        <w:ind w:left="360"/>
      </w:pPr>
      <w:r>
        <w:rPr>
          <w:rFonts w:ascii="Courier New" w:cs="Courier New" w:eastAsia="Courier New" w:hAnsi="Courier New"/>
          <w:sz w:val="18"/>
          <w:szCs w:val="18"/>
        </w:rPr>
        <w:t xml:space="preserve">        ? error.issues.map(i =&gt;</w:t>
      </w:r>
    </w:p>
    <w:p>
      <w:pPr>
        <w:shd w:fill="F5F5F5" w:val="clear"/>
        <w:spacing w:after="60" w:before="60"/>
        <w:ind w:left="360"/>
      </w:pPr>
      <w:r>
        <w:rPr>
          <w:rFonts w:ascii="Courier New" w:cs="Courier New" w:eastAsia="Courier New" w:hAnsi="Courier New"/>
          <w:sz w:val="18"/>
          <w:szCs w:val="18"/>
        </w:rPr>
        <w:t xml:space="preserve">            `Path "${i.path.join(".")}": ${i.message}`).join("\n")</w:t>
      </w:r>
    </w:p>
    <w:p>
      <w:pPr>
        <w:shd w:fill="F5F5F5" w:val="clear"/>
        <w:spacing w:after="60" w:before="60"/>
        <w:ind w:left="360"/>
      </w:pPr>
      <w:r>
        <w:rPr>
          <w:rFonts w:ascii="Courier New" w:cs="Courier New" w:eastAsia="Courier New" w:hAnsi="Courier New"/>
          <w:sz w:val="18"/>
          <w:szCs w:val="18"/>
        </w:rPr>
        <w:t xml:space="preserve">        : `${error}`;</w:t>
      </w:r>
    </w:p>
    <w:p>
      <w:pPr>
        <w:shd w:fill="F5F5F5" w:val="clear"/>
        <w:spacing w:after="60" w:before="60"/>
        <w:ind w:left="360"/>
      </w:pPr>
      <w:r>
        <w:rPr>
          <w:rFonts w:ascii="Courier New" w:cs="Courier New" w:eastAsia="Courier New" w:hAnsi="Courier New"/>
          <w:sz w:val="18"/>
          <w:szCs w:val="18"/>
        </w:rPr>
        <w:t xml:space="preserve">      prompt = `${opts.prompt}\n\nCORRECTION (attempt ${attempt + 1}):</w:t>
      </w:r>
    </w:p>
    <w:p>
      <w:pPr>
        <w:shd w:fill="F5F5F5" w:val="clear"/>
        <w:spacing w:after="60" w:before="60"/>
        <w:ind w:left="360"/>
      </w:pPr>
      <w:r>
        <w:rPr>
          <w:rFonts w:ascii="Courier New" w:cs="Courier New" w:eastAsia="Courier New" w:hAnsi="Courier New"/>
          <w:sz w:val="18"/>
          <w:szCs w:val="18"/>
        </w:rPr>
        <w:t xml:space="preserve">        \n${errMsg}\nOutput ONLY valid JSON matching the schema.`;</w:t>
      </w:r>
    </w:p>
    <w:p>
      <w:pPr>
        <w:shd w:fill="F5F5F5" w:val="clear"/>
        <w:spacing w:after="60" w:before="60"/>
        <w:ind w:left="360"/>
      </w:pPr>
      <w:r>
        <w:rPr>
          <w:rFonts w:ascii="Courier New" w:cs="Courier New" w:eastAsia="Courier New" w:hAnsi="Courier New"/>
          <w:sz w:val="18"/>
          <w:szCs w:val="18"/>
        </w:rPr>
        <w:t xml:space="preserve">    }</w:t>
      </w:r>
    </w:p>
    <w:p>
      <w:pPr>
        <w:shd w:fill="F5F5F5" w:val="clear"/>
        <w:spacing w:after="60" w:before="60"/>
        <w:ind w:left="360"/>
      </w:pPr>
      <w:r>
        <w:rPr>
          <w:rFonts w:ascii="Courier New" w:cs="Courier New" w:eastAsia="Courier New" w:hAnsi="Courier New"/>
          <w:sz w:val="18"/>
          <w:szCs w:val="18"/>
        </w:rPr>
        <w:t xml:space="preserve">  }</w:t>
      </w:r>
    </w:p>
    <w:p>
      <w:pPr>
        <w:shd w:fill="F5F5F5" w:val="clear"/>
        <w:spacing w:after="60" w:before="60"/>
        <w:ind w:left="360"/>
      </w:pPr>
      <w:r>
        <w:rPr>
          <w:rFonts w:ascii="Courier New" w:cs="Courier New" w:eastAsia="Courier New" w:hAnsi="Courier New"/>
          <w:sz w:val="18"/>
          <w:szCs w:val="18"/>
        </w:rPr>
        <w:t xml:space="preserve">}</w:t>
      </w:r>
    </w:p>
    <w:p>
      <w:pPr>
        <w:pStyle w:val="Heading3"/>
      </w:pPr>
      <w:r>
        <w:rPr>
          <w:rFonts w:ascii="Arial" w:cs="Arial" w:eastAsia="Arial" w:hAnsi="Arial"/>
        </w:rPr>
        <w:t xml:space="preserve">24.1.4 JSON Extraction from Mixed CLI stdout</w:t>
      </w:r>
    </w:p>
    <w:p>
      <w:pPr>
        <w:spacing w:after="120"/>
      </w:pPr>
      <w:r>
        <w:rPr>
          <w:rFonts w:ascii="Arial" w:cs="Arial" w:eastAsia="Arial" w:hAnsi="Arial"/>
          <w:sz w:val="22"/>
          <w:szCs w:val="22"/>
        </w:rPr>
        <w:t xml:space="preserve">When CLI tools emit progress text alongside JSON, use a multi-strategy parser: try raw parse first, then extract from markdown code blocks, then find the largest valid JSON object or array in the output. This handles all observed CLI output formats.</w:t>
      </w:r>
    </w:p>
    <w:p>
      <w:pPr>
        <w:pStyle w:val="Heading3"/>
      </w:pPr>
      <w:r>
        <w:rPr>
          <w:rFonts w:ascii="Arial" w:cs="Arial" w:eastAsia="Arial" w:hAnsi="Arial"/>
        </w:rPr>
        <w:t xml:space="preserve">24.1.5 Schema Registry</w:t>
      </w:r>
    </w:p>
    <w:p>
      <w:pPr>
        <w:spacing w:after="120"/>
      </w:pPr>
      <w:r>
        <w:rPr>
          <w:rFonts w:ascii="Arial" w:cs="Arial" w:eastAsia="Arial" w:hAnsi="Arial"/>
          <w:sz w:val="22"/>
          <w:szCs w:val="22"/>
        </w:rPr>
        <w:t xml:space="preserve">Maintain a central /src/shared/schemas/ directory containing one Zod schema file per database table. Every agent imports schemas from this directory. No agent writes to PostgreSQL without passing through the corresponding Zod schema. Schema files are auto-generated from Supabase types on each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CLI Schema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--json-schema flag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Constrained decoding at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Falls through to Layer 2</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Runtime Validation</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Zod v4 .parse()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Type-safe validation before DB write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Triggers self-correction loop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Self-Correction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feedback prompt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fixes own output (3 attempts)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moves to DLQ (Section 24.3)</w:t>
            </w:r>
          </w:p>
        </w:tc>
      </w:tr>
    </w:tbl>
    <w:p>
      <w:r>
        <w:br w:type="page"/>
      </w:r>
    </w:p>
    <w:p>
      <w:pPr>
        <w:pStyle w:val="Heading2"/>
      </w:pPr>
      <w:r>
        <w:rPr>
          <w:rFonts w:ascii="Arial" w:cs="Arial" w:eastAsia="Arial" w:hAnsi="Arial"/>
        </w:rPr>
        <w:t xml:space="preserve">24.2 Rate Limit Management and Fallback Routing</w:t>
      </w:r>
    </w:p>
    <w:p>
      <w:pPr>
        <w:spacing w:after="120"/>
      </w:pPr>
      <w:r>
        <w:rPr>
          <w:rFonts w:ascii="Arial" w:cs="Arial" w:eastAsia="Arial" w:hAnsi="Arial"/>
          <w:sz w:val="22"/>
          <w:szCs w:val="22"/>
        </w:rPr>
        <w:t xml:space="preserve">The system relies on CLI tools with strict rate limits. Claude Code CLI and Codex CLI subscriptions are paid, but their APIs have per-minute and per-day caps. When generating content across multiple agents simultaneously, exhausting rate limits stalls the entire pipeline. The orchestrator needs application-wide token-bucket rate limiting with automatic failover across multiple providers.</w:t>
      </w:r>
    </w:p>
    <w:p>
      <w:pPr>
        <w:pStyle w:val="Heading3"/>
      </w:pPr>
      <w:r>
        <w:rPr>
          <w:rFonts w:ascii="Arial" w:cs="Arial" w:eastAsia="Arial" w:hAnsi="Arial"/>
        </w:rPr>
        <w:t xml:space="preserve">24.2.1 Bottleneck as the Rate Limiter</w:t>
      </w:r>
    </w:p>
    <w:p>
      <w:pPr>
        <w:spacing w:after="120"/>
      </w:pPr>
      <w:r>
        <w:rPr>
          <w:rFonts w:ascii="Arial" w:cs="Arial" w:eastAsia="Arial" w:hAnsi="Arial"/>
          <w:sz w:val="22"/>
          <w:szCs w:val="22"/>
        </w:rPr>
        <w:t xml:space="preserve">Bottleneck (npm install bottleneck) is the optimal library for CLI subprocess rate limiting: zero dependencies, approximately 8M weekly npm downloads, built-in reservoir for daily caps, minTime for per-request spacing, and maxConcurrent for subprocess limits. BullMQ requires Redis (overkill for bootstrap tier). p-queue lacks reservoir/daily cap support.</w:t>
      </w:r>
    </w:p>
    <w:p>
      <w:pPr>
        <w:spacing w:after="120"/>
      </w:pPr>
      <w:r>
        <w:rPr>
          <w:rFonts w:ascii="Arial" w:cs="Arial" w:eastAsia="Arial" w:hAnsi="Arial"/>
          <w:sz w:val="22"/>
          <w:szCs w:val="22"/>
        </w:rPr>
        <w:t xml:space="preserve">Provider-specific limiter configuration:</w:t>
      </w:r>
    </w:p>
    <w:p>
      <w:pPr>
        <w:shd w:fill="F5F5F5" w:val="clear"/>
        <w:spacing w:after="60" w:before="60"/>
        <w:ind w:left="360"/>
      </w:pPr>
      <w:r>
        <w:rPr>
          <w:rFonts w:ascii="Courier New" w:cs="Courier New" w:eastAsia="Courier New" w:hAnsi="Courier New"/>
          <w:sz w:val="18"/>
          <w:szCs w:val="18"/>
        </w:rPr>
        <w:t xml:space="preserve">import Bottleneck from "bottleneck";</w:t>
      </w:r>
    </w:p>
    <w:p>
      <w:pPr>
        <w:shd w:fill="F5F5F5" w:val="clear"/>
        <w:spacing w:after="60" w:before="60"/>
        <w:ind w:left="360"/>
      </w:pPr>
      <w:r>
        <w:rPr>
          <w:rFonts w:ascii="Courier New" w:cs="Courier New" w:eastAsia="Courier New" w:hAnsi="Courier New"/>
          <w:sz w:val="18"/>
          <w:szCs w:val="18"/>
        </w:rPr>
        <w:t xml:space="preserve"/>
      </w:r>
    </w:p>
    <w:p>
      <w:pPr>
        <w:shd w:fill="F5F5F5" w:val="clear"/>
        <w:spacing w:after="60" w:before="60"/>
        <w:ind w:left="360"/>
      </w:pPr>
      <w:r>
        <w:rPr>
          <w:rFonts w:ascii="Courier New" w:cs="Courier New" w:eastAsia="Courier New" w:hAnsi="Courier New"/>
          <w:sz w:val="18"/>
          <w:szCs w:val="18"/>
        </w:rPr>
        <w:t xml:space="preserve">// Claude CLI: ~5 req/min, ~40/day estimated</w:t>
      </w:r>
    </w:p>
    <w:p>
      <w:pPr>
        <w:shd w:fill="F5F5F5" w:val="clear"/>
        <w:spacing w:after="60" w:before="60"/>
        <w:ind w:left="360"/>
      </w:pPr>
      <w:r>
        <w:rPr>
          <w:rFonts w:ascii="Courier New" w:cs="Courier New" w:eastAsia="Courier New" w:hAnsi="Courier New"/>
          <w:sz w:val="18"/>
          <w:szCs w:val="18"/>
        </w:rPr>
        <w:t xml:space="preserve">const claudeLimiter = new Bottleneck({</w:t>
      </w:r>
    </w:p>
    <w:p>
      <w:pPr>
        <w:shd w:fill="F5F5F5" w:val="clear"/>
        <w:spacing w:after="60" w:before="60"/>
        <w:ind w:left="360"/>
      </w:pPr>
      <w:r>
        <w:rPr>
          <w:rFonts w:ascii="Courier New" w:cs="Courier New" w:eastAsia="Courier New" w:hAnsi="Courier New"/>
          <w:sz w:val="18"/>
          <w:szCs w:val="18"/>
        </w:rPr>
        <w:t xml:space="preserve">  maxConcurrent: 1,</w:t>
      </w:r>
    </w:p>
    <w:p>
      <w:pPr>
        <w:shd w:fill="F5F5F5" w:val="clear"/>
        <w:spacing w:after="60" w:before="60"/>
        <w:ind w:left="360"/>
      </w:pPr>
      <w:r>
        <w:rPr>
          <w:rFonts w:ascii="Courier New" w:cs="Courier New" w:eastAsia="Courier New" w:hAnsi="Courier New"/>
          <w:sz w:val="18"/>
          <w:szCs w:val="18"/>
        </w:rPr>
        <w:t xml:space="preserve">  minTime: 15_000,              // 15s between calls</w:t>
      </w:r>
    </w:p>
    <w:p>
      <w:pPr>
        <w:shd w:fill="F5F5F5" w:val="clear"/>
        <w:spacing w:after="60" w:before="60"/>
        <w:ind w:left="360"/>
      </w:pPr>
      <w:r>
        <w:rPr>
          <w:rFonts w:ascii="Courier New" w:cs="Courier New" w:eastAsia="Courier New" w:hAnsi="Courier New"/>
          <w:sz w:val="18"/>
          <w:szCs w:val="18"/>
        </w:rPr>
        <w:t xml:space="preserve">  reservoir: 40,</w:t>
      </w:r>
    </w:p>
    <w:p>
      <w:pPr>
        <w:shd w:fill="F5F5F5" w:val="clear"/>
        <w:spacing w:after="60" w:before="60"/>
        <w:ind w:left="360"/>
      </w:pPr>
      <w:r>
        <w:rPr>
          <w:rFonts w:ascii="Courier New" w:cs="Courier New" w:eastAsia="Courier New" w:hAnsi="Courier New"/>
          <w:sz w:val="18"/>
          <w:szCs w:val="18"/>
        </w:rPr>
        <w:t xml:space="preserve">  reservoirRefreshAmount: 40,</w:t>
      </w:r>
    </w:p>
    <w:p>
      <w:pPr>
        <w:shd w:fill="F5F5F5" w:val="clear"/>
        <w:spacing w:after="60" w:before="60"/>
        <w:ind w:left="360"/>
      </w:pPr>
      <w:r>
        <w:rPr>
          <w:rFonts w:ascii="Courier New" w:cs="Courier New" w:eastAsia="Courier New" w:hAnsi="Courier New"/>
          <w:sz w:val="18"/>
          <w:szCs w:val="18"/>
        </w:rPr>
        <w:t xml:space="preserve">  reservoirRefreshInterval: 24 * 60 * 60 * 1000,</w:t>
      </w:r>
    </w:p>
    <w:p>
      <w:pPr>
        <w:shd w:fill="F5F5F5" w:val="clear"/>
        <w:spacing w:after="60" w:before="60"/>
        <w:ind w:left="360"/>
      </w:pPr>
      <w:r>
        <w:rPr>
          <w:rFonts w:ascii="Courier New" w:cs="Courier New" w:eastAsia="Courier New" w:hAnsi="Courier New"/>
          <w:sz w:val="18"/>
          <w:szCs w:val="18"/>
        </w:rPr>
        <w:t xml:space="preserve">});</w:t>
      </w:r>
    </w:p>
    <w:p>
      <w:pPr>
        <w:shd w:fill="F5F5F5" w:val="clear"/>
        <w:spacing w:after="60" w:before="60"/>
        <w:ind w:left="360"/>
      </w:pPr>
      <w:r>
        <w:rPr>
          <w:rFonts w:ascii="Courier New" w:cs="Courier New" w:eastAsia="Courier New" w:hAnsi="Courier New"/>
          <w:sz w:val="18"/>
          <w:szCs w:val="18"/>
        </w:rPr>
        <w:t xml:space="preserve"/>
      </w:r>
    </w:p>
    <w:p>
      <w:pPr>
        <w:shd w:fill="F5F5F5" w:val="clear"/>
        <w:spacing w:after="60" w:before="60"/>
        <w:ind w:left="360"/>
      </w:pPr>
      <w:r>
        <w:rPr>
          <w:rFonts w:ascii="Courier New" w:cs="Courier New" w:eastAsia="Courier New" w:hAnsi="Courier New"/>
          <w:sz w:val="18"/>
          <w:szCs w:val="18"/>
        </w:rPr>
        <w:t xml:space="preserve">// Groq API: 30 RPM, 14,400/day free tier</w:t>
      </w:r>
    </w:p>
    <w:p>
      <w:pPr>
        <w:shd w:fill="F5F5F5" w:val="clear"/>
        <w:spacing w:after="60" w:before="60"/>
        <w:ind w:left="360"/>
      </w:pPr>
      <w:r>
        <w:rPr>
          <w:rFonts w:ascii="Courier New" w:cs="Courier New" w:eastAsia="Courier New" w:hAnsi="Courier New"/>
          <w:sz w:val="18"/>
          <w:szCs w:val="18"/>
        </w:rPr>
        <w:t xml:space="preserve">const groqLimiter = new Bottleneck({</w:t>
      </w:r>
    </w:p>
    <w:p>
      <w:pPr>
        <w:shd w:fill="F5F5F5" w:val="clear"/>
        <w:spacing w:after="60" w:before="60"/>
        <w:ind w:left="360"/>
      </w:pPr>
      <w:r>
        <w:rPr>
          <w:rFonts w:ascii="Courier New" w:cs="Courier New" w:eastAsia="Courier New" w:hAnsi="Courier New"/>
          <w:sz w:val="18"/>
          <w:szCs w:val="18"/>
        </w:rPr>
        <w:t xml:space="preserve">  maxConcurrent: 2,</w:t>
      </w:r>
    </w:p>
    <w:p>
      <w:pPr>
        <w:shd w:fill="F5F5F5" w:val="clear"/>
        <w:spacing w:after="60" w:before="60"/>
        <w:ind w:left="360"/>
      </w:pPr>
      <w:r>
        <w:rPr>
          <w:rFonts w:ascii="Courier New" w:cs="Courier New" w:eastAsia="Courier New" w:hAnsi="Courier New"/>
          <w:sz w:val="18"/>
          <w:szCs w:val="18"/>
        </w:rPr>
        <w:t xml:space="preserve">  minTime: 4_200,</w:t>
      </w:r>
    </w:p>
    <w:p>
      <w:pPr>
        <w:shd w:fill="F5F5F5" w:val="clear"/>
        <w:spacing w:after="60" w:before="60"/>
        <w:ind w:left="360"/>
      </w:pPr>
      <w:r>
        <w:rPr>
          <w:rFonts w:ascii="Courier New" w:cs="Courier New" w:eastAsia="Courier New" w:hAnsi="Courier New"/>
          <w:sz w:val="18"/>
          <w:szCs w:val="18"/>
        </w:rPr>
        <w:t xml:space="preserve">  reservoir: 14_400,</w:t>
      </w:r>
    </w:p>
    <w:p>
      <w:pPr>
        <w:shd w:fill="F5F5F5" w:val="clear"/>
        <w:spacing w:after="60" w:before="60"/>
        <w:ind w:left="360"/>
      </w:pPr>
      <w:r>
        <w:rPr>
          <w:rFonts w:ascii="Courier New" w:cs="Courier New" w:eastAsia="Courier New" w:hAnsi="Courier New"/>
          <w:sz w:val="18"/>
          <w:szCs w:val="18"/>
        </w:rPr>
        <w:t xml:space="preserve">  reservoirRefreshAmount: 14_400,</w:t>
      </w:r>
    </w:p>
    <w:p>
      <w:pPr>
        <w:shd w:fill="F5F5F5" w:val="clear"/>
        <w:spacing w:after="60" w:before="60"/>
        <w:ind w:left="360"/>
      </w:pPr>
      <w:r>
        <w:rPr>
          <w:rFonts w:ascii="Courier New" w:cs="Courier New" w:eastAsia="Courier New" w:hAnsi="Courier New"/>
          <w:sz w:val="18"/>
          <w:szCs w:val="18"/>
        </w:rPr>
        <w:t xml:space="preserve">  reservoirRefreshInterval: 24 * 60 * 60 * 1000,</w:t>
      </w:r>
    </w:p>
    <w:p>
      <w:pPr>
        <w:shd w:fill="F5F5F5" w:val="clear"/>
        <w:spacing w:after="60" w:before="60"/>
        <w:ind w:left="360"/>
      </w:pPr>
      <w:r>
        <w:rPr>
          <w:rFonts w:ascii="Courier New" w:cs="Courier New" w:eastAsia="Courier New" w:hAnsi="Courier New"/>
          <w:sz w:val="18"/>
          <w:szCs w:val="18"/>
        </w:rPr>
        <w:t xml:space="preserve">});</w:t>
      </w:r>
    </w:p>
    <w:p>
      <w:pPr>
        <w:pStyle w:val="Heading3"/>
      </w:pPr>
      <w:r>
        <w:rPr>
          <w:rFonts w:ascii="Arial" w:cs="Arial" w:eastAsia="Arial" w:hAnsi="Arial"/>
        </w:rPr>
        <w:t xml:space="preserve">24.2.2 Provider Fallback Cascade</w:t>
      </w:r>
    </w:p>
    <w:p>
      <w:pPr>
        <w:spacing w:after="120"/>
      </w:pPr>
      <w:r>
        <w:rPr>
          <w:rFonts w:ascii="Arial" w:cs="Arial" w:eastAsia="Arial" w:hAnsi="Arial"/>
          <w:sz w:val="22"/>
          <w:szCs w:val="22"/>
        </w:rPr>
        <w:t xml:space="preserve">The recommended fallback chain, ordered by quality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800"/>
        <w:gridCol w:w="2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Daily Limit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(Primary)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CLI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(subscription)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req/day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subprocess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Codex CLI</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(subscription)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 req/day</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 subprocess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API (Llama 3.1 8B)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(free 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14,400 req/day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API (OpenAI-compat)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OpenRouter (free models)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(free tier)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req/day</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HTTP API (OpenAI-compat)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(Emergency)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(free 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 req/day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API</w:t>
            </w:r>
          </w:p>
        </w:tc>
      </w:tr>
    </w:tbl>
    <w:p>
      <w:pPr>
        <w:spacing w:after="120"/>
      </w:pPr>
      <w:r>
        <w:rPr>
          <w:rFonts w:ascii="Arial" w:cs="Arial" w:eastAsia="Arial" w:hAnsi="Arial"/>
          <w:sz w:val="22"/>
          <w:szCs w:val="22"/>
        </w:rPr>
        <w:t xml:space="preserve">Together AI no longer offers a free trial (requires $5 minimum since July 2025). New accounts may receive signup credits.</w:t>
      </w:r>
    </w:p>
    <w:p>
      <w:pPr>
        <w:pStyle w:val="Heading3"/>
      </w:pPr>
      <w:r>
        <w:rPr>
          <w:rFonts w:ascii="Arial" w:cs="Arial" w:eastAsia="Arial" w:hAnsi="Arial"/>
        </w:rPr>
        <w:t xml:space="preserve">24.2.3 Circuit Breaker Pattern</w:t>
      </w:r>
    </w:p>
    <w:p>
      <w:pPr>
        <w:spacing w:after="120"/>
      </w:pPr>
      <w:r>
        <w:rPr>
          <w:rFonts w:ascii="Arial" w:cs="Arial" w:eastAsia="Arial" w:hAnsi="Arial"/>
          <w:sz w:val="22"/>
          <w:szCs w:val="22"/>
        </w:rPr>
        <w:t xml:space="preserve">Use the opossum npm package (Apache-2.0, Red Hat maintained) to wrap each provider. When a provider hits 3+ consecutive rate limit errors, the circuit opens automatically and requests route to the next provider. The circuit half-opens after 60 seconds to test recovery. Each provider gets its own Bottleneck limiter wrapped in an opossum circuit breaker.</w:t>
      </w:r>
    </w:p>
    <w:p>
      <w:pPr>
        <w:pStyle w:val="Heading3"/>
      </w:pPr>
      <w:r>
        <w:rPr>
          <w:rFonts w:ascii="Arial" w:cs="Arial" w:eastAsia="Arial" w:hAnsi="Arial"/>
        </w:rPr>
        <w:t xml:space="preserve">24.2.4 CLI Rate-Limit Detection</w:t>
      </w:r>
    </w:p>
    <w:p>
      <w:pPr>
        <w:spacing w:after="120"/>
      </w:pPr>
      <w:r>
        <w:rPr>
          <w:rFonts w:ascii="Arial" w:cs="Arial" w:eastAsia="Arial" w:hAnsi="Arial"/>
          <w:sz w:val="22"/>
          <w:szCs w:val="22"/>
        </w:rPr>
        <w:t xml:space="preserve">CLI tools do not return HTTP 429 codes. They emit error text to stderr. The orchestrator must parse stderr for rate limit patterns:</w:t>
      </w:r>
    </w:p>
    <w:p>
      <w:pPr>
        <w:shd w:fill="F5F5F5" w:val="clear"/>
        <w:spacing w:after="60" w:before="60"/>
        <w:ind w:left="360"/>
      </w:pPr>
      <w:r>
        <w:rPr>
          <w:rFonts w:ascii="Courier New" w:cs="Courier New" w:eastAsia="Courier New" w:hAnsi="Courier New"/>
          <w:sz w:val="18"/>
          <w:szCs w:val="18"/>
        </w:rPr>
        <w:t xml:space="preserve">function detectRateLimit(exitCode: number|null, stderr: string): boolean {</w:t>
      </w:r>
    </w:p>
    <w:p>
      <w:pPr>
        <w:shd w:fill="F5F5F5" w:val="clear"/>
        <w:spacing w:after="60" w:before="60"/>
        <w:ind w:left="360"/>
      </w:pPr>
      <w:r>
        <w:rPr>
          <w:rFonts w:ascii="Courier New" w:cs="Courier New" w:eastAsia="Courier New" w:hAnsi="Courier New"/>
          <w:sz w:val="18"/>
          <w:szCs w:val="18"/>
        </w:rPr>
        <w:t xml:space="preserve">  const patterns = [/rate.?limit/i, /429/, /too many requests/i,</w:t>
      </w:r>
    </w:p>
    <w:p>
      <w:pPr>
        <w:shd w:fill="F5F5F5" w:val="clear"/>
        <w:spacing w:after="60" w:before="60"/>
        <w:ind w:left="360"/>
      </w:pPr>
      <w:r>
        <w:rPr>
          <w:rFonts w:ascii="Courier New" w:cs="Courier New" w:eastAsia="Courier New" w:hAnsi="Courier New"/>
          <w:sz w:val="18"/>
          <w:szCs w:val="18"/>
        </w:rPr>
        <w:t xml:space="preserve">    /rate_limit_exceeded/i, /Please try again in/i];</w:t>
      </w:r>
    </w:p>
    <w:p>
      <w:pPr>
        <w:shd w:fill="F5F5F5" w:val="clear"/>
        <w:spacing w:after="60" w:before="60"/>
        <w:ind w:left="360"/>
      </w:pPr>
      <w:r>
        <w:rPr>
          <w:rFonts w:ascii="Courier New" w:cs="Courier New" w:eastAsia="Courier New" w:hAnsi="Courier New"/>
          <w:sz w:val="18"/>
          <w:szCs w:val="18"/>
        </w:rPr>
        <w:t xml:space="preserve">  return exitCode !== 0 &amp;&amp; patterns.some(p =&gt; p.test(stderr));</w:t>
      </w:r>
    </w:p>
    <w:p>
      <w:pPr>
        <w:shd w:fill="F5F5F5" w:val="clear"/>
        <w:spacing w:after="60" w:before="60"/>
        <w:ind w:left="360"/>
      </w:pPr>
      <w:r>
        <w:rPr>
          <w:rFonts w:ascii="Courier New" w:cs="Courier New" w:eastAsia="Courier New" w:hAnsi="Courier New"/>
          <w:sz w:val="18"/>
          <w:szCs w:val="18"/>
        </w:rPr>
        <w:t xml:space="preserve">}</w:t>
      </w:r>
    </w:p>
    <w:p>
      <w:pPr>
        <w:shd w:fill="F5F5F5" w:val="clear"/>
        <w:spacing w:after="60" w:before="60"/>
        <w:ind w:left="360"/>
      </w:pPr>
      <w:r>
        <w:rPr>
          <w:rFonts w:ascii="Courier New" w:cs="Courier New" w:eastAsia="Courier New" w:hAnsi="Courier New"/>
          <w:sz w:val="18"/>
          <w:szCs w:val="18"/>
        </w:rPr>
        <w:t xml:space="preserve"/>
      </w:r>
    </w:p>
    <w:p>
      <w:pPr>
        <w:shd w:fill="F5F5F5" w:val="clear"/>
        <w:spacing w:after="60" w:before="60"/>
        <w:ind w:left="360"/>
      </w:pPr>
      <w:r>
        <w:rPr>
          <w:rFonts w:ascii="Courier New" w:cs="Courier New" w:eastAsia="Courier New" w:hAnsi="Courier New"/>
          <w:sz w:val="18"/>
          <w:szCs w:val="18"/>
        </w:rPr>
        <w:t xml:space="preserve">function parseRetryAfter(stderr: string): number {</w:t>
      </w:r>
    </w:p>
    <w:p>
      <w:pPr>
        <w:shd w:fill="F5F5F5" w:val="clear"/>
        <w:spacing w:after="60" w:before="60"/>
        <w:ind w:left="360"/>
      </w:pPr>
      <w:r>
        <w:rPr>
          <w:rFonts w:ascii="Courier New" w:cs="Courier New" w:eastAsia="Courier New" w:hAnsi="Courier New"/>
          <w:sz w:val="18"/>
          <w:szCs w:val="18"/>
        </w:rPr>
        <w:t xml:space="preserve">  const match = stderr.match(/try again in ([\d.]+)\s*s/i);</w:t>
      </w:r>
    </w:p>
    <w:p>
      <w:pPr>
        <w:shd w:fill="F5F5F5" w:val="clear"/>
        <w:spacing w:after="60" w:before="60"/>
        <w:ind w:left="360"/>
      </w:pPr>
      <w:r>
        <w:rPr>
          <w:rFonts w:ascii="Courier New" w:cs="Courier New" w:eastAsia="Courier New" w:hAnsi="Courier New"/>
          <w:sz w:val="18"/>
          <w:szCs w:val="18"/>
        </w:rPr>
        <w:t xml:space="preserve">  return match ? Math.ceil(parseFloat(match[1]) * 1000) + 1000 : 30_000;</w:t>
      </w:r>
    </w:p>
    <w:p>
      <w:pPr>
        <w:shd w:fill="F5F5F5" w:val="clear"/>
        <w:spacing w:after="60" w:before="60"/>
        <w:ind w:left="36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Both Claude Code CLI and Codex CLI embed retry-after timing in error output. Parse this for precise retry delays rather than using fixed exponential backoff.</w:t>
      </w:r>
    </w:p>
    <w:p>
      <w:pPr>
        <w:pStyle w:val="Heading3"/>
      </w:pPr>
      <w:r>
        <w:rPr>
          <w:rFonts w:ascii="Arial" w:cs="Arial" w:eastAsia="Arial" w:hAnsi="Arial"/>
        </w:rPr>
        <w:t xml:space="preserve">24.2.5 Content Deployment Rate Limiter</w:t>
      </w:r>
    </w:p>
    <w:p>
      <w:pPr>
        <w:spacing w:after="120"/>
      </w:pPr>
      <w:r>
        <w:rPr>
          <w:rFonts w:ascii="Arial" w:cs="Arial" w:eastAsia="Arial" w:hAnsi="Arial"/>
          <w:sz w:val="22"/>
          <w:szCs w:val="22"/>
        </w:rPr>
        <w:t xml:space="preserve">Critical: Rate limit not just LLM calls but content deployment itself. A Bottleneck instance with reservoir: 3 and reservoirRefreshInterval: 7 days enforces the 3-cities-per-week maximum at the system level, preventing any agent from accidentally deploying content faster than the SEO strategy allows (see Section 24.4).</w:t>
      </w:r>
    </w:p>
    <w:p>
      <w:r>
        <w:br w:type="page"/>
      </w:r>
    </w:p>
    <w:p>
      <w:pPr>
        <w:pStyle w:val="Heading2"/>
      </w:pPr>
      <w:r>
        <w:rPr>
          <w:rFonts w:ascii="Arial" w:cs="Arial" w:eastAsia="Arial" w:hAnsi="Arial"/>
        </w:rPr>
        <w:t xml:space="preserve">24.3 Dead-Letter Queue (DLQ) Implementation</w:t>
      </w:r>
    </w:p>
    <w:p>
      <w:pPr>
        <w:spacing w:after="120"/>
      </w:pPr>
      <w:r>
        <w:rPr>
          <w:rFonts w:ascii="Arial" w:cs="Arial" w:eastAsia="Arial" w:hAnsi="Arial"/>
          <w:sz w:val="22"/>
          <w:szCs w:val="22"/>
        </w:rPr>
        <w:t xml:space="preserve">The orchestrator handles retries with backoff, but if an agent permanently fails a task (e.g., Agent 8 cannot find a single broken link prospect for a difficult city, or Agent 1 cannot pull keyword data for a niche ZIP code), the system needs a place to capture that failure. Without a DLQ, the orchestrator either infinitely retries a poisoned task or silently drops it. Both outcomes are unacceptable.</w:t>
      </w:r>
    </w:p>
    <w:p>
      <w:pPr>
        <w:pStyle w:val="Heading3"/>
      </w:pPr>
      <w:r>
        <w:rPr>
          <w:rFonts w:ascii="Arial" w:cs="Arial" w:eastAsia="Arial" w:hAnsi="Arial"/>
        </w:rPr>
        <w:t xml:space="preserve">24.3.1 DLQ Table Schema</w:t>
      </w:r>
    </w:p>
    <w:p>
      <w:pPr>
        <w:spacing w:after="120"/>
      </w:pPr>
      <w:r>
        <w:rPr>
          <w:rFonts w:ascii="Arial" w:cs="Arial" w:eastAsia="Arial" w:hAnsi="Arial"/>
          <w:sz w:val="22"/>
          <w:szCs w:val="22"/>
        </w:rPr>
        <w:t xml:space="preserve">Add this table to the Supabase schema alongside the existing agent_tasks table defined in Section 14.2:</w:t>
      </w:r>
    </w:p>
    <w:p>
      <w:pPr>
        <w:shd w:fill="F5F5F5" w:val="clear"/>
        <w:spacing w:after="60" w:before="60"/>
        <w:ind w:left="360"/>
      </w:pPr>
      <w:r>
        <w:rPr>
          <w:rFonts w:ascii="Courier New" w:cs="Courier New" w:eastAsia="Courier New" w:hAnsi="Courier New"/>
          <w:sz w:val="18"/>
          <w:szCs w:val="18"/>
        </w:rPr>
        <w:t xml:space="preserve">CREATE TABLE dead_letter_queue (</w:t>
      </w:r>
    </w:p>
    <w:p>
      <w:pPr>
        <w:shd w:fill="F5F5F5" w:val="clear"/>
        <w:spacing w:after="60" w:before="60"/>
        <w:ind w:left="360"/>
      </w:pPr>
      <w:r>
        <w:rPr>
          <w:rFonts w:ascii="Courier New" w:cs="Courier New" w:eastAsia="Courier New" w:hAnsi="Courier New"/>
          <w:sz w:val="18"/>
          <w:szCs w:val="18"/>
        </w:rPr>
        <w:t xml:space="preserve">  id               UUID PRIMARY KEY DEFAULT gen_random_uuid(),</w:t>
      </w:r>
    </w:p>
    <w:p>
      <w:pPr>
        <w:shd w:fill="F5F5F5" w:val="clear"/>
        <w:spacing w:after="60" w:before="60"/>
        <w:ind w:left="360"/>
      </w:pPr>
      <w:r>
        <w:rPr>
          <w:rFonts w:ascii="Courier New" w:cs="Courier New" w:eastAsia="Courier New" w:hAnsi="Courier New"/>
          <w:sz w:val="18"/>
          <w:szCs w:val="18"/>
        </w:rPr>
        <w:t xml:space="preserve">  original_task_id UUID NOT NULL,</w:t>
      </w:r>
    </w:p>
    <w:p>
      <w:pPr>
        <w:shd w:fill="F5F5F5" w:val="clear"/>
        <w:spacing w:after="60" w:before="60"/>
        <w:ind w:left="360"/>
      </w:pPr>
      <w:r>
        <w:rPr>
          <w:rFonts w:ascii="Courier New" w:cs="Courier New" w:eastAsia="Courier New" w:hAnsi="Courier New"/>
          <w:sz w:val="18"/>
          <w:szCs w:val="18"/>
        </w:rPr>
        <w:t xml:space="preserve">  task_type        TEXT NOT NULL,</w:t>
      </w:r>
    </w:p>
    <w:p>
      <w:pPr>
        <w:shd w:fill="F5F5F5" w:val="clear"/>
        <w:spacing w:after="60" w:before="60"/>
        <w:ind w:left="360"/>
      </w:pPr>
      <w:r>
        <w:rPr>
          <w:rFonts w:ascii="Courier New" w:cs="Courier New" w:eastAsia="Courier New" w:hAnsi="Courier New"/>
          <w:sz w:val="18"/>
          <w:szCs w:val="18"/>
        </w:rPr>
        <w:t xml:space="preserve">  agent_name       TEXT NOT NULL,</w:t>
      </w:r>
    </w:p>
    <w:p>
      <w:pPr>
        <w:shd w:fill="F5F5F5" w:val="clear"/>
        <w:spacing w:after="60" w:before="60"/>
        <w:ind w:left="360"/>
      </w:pPr>
      <w:r>
        <w:rPr>
          <w:rFonts w:ascii="Courier New" w:cs="Courier New" w:eastAsia="Courier New" w:hAnsi="Courier New"/>
          <w:sz w:val="18"/>
          <w:szCs w:val="18"/>
        </w:rPr>
        <w:t xml:space="preserve">  payload          JSONB NOT NULL,</w:t>
      </w:r>
    </w:p>
    <w:p>
      <w:pPr>
        <w:shd w:fill="F5F5F5" w:val="clear"/>
        <w:spacing w:after="60" w:before="60"/>
        <w:ind w:left="360"/>
      </w:pPr>
      <w:r>
        <w:rPr>
          <w:rFonts w:ascii="Courier New" w:cs="Courier New" w:eastAsia="Courier New" w:hAnsi="Courier New"/>
          <w:sz w:val="18"/>
          <w:szCs w:val="18"/>
        </w:rPr>
        <w:t xml:space="preserve">  error_message    TEXT NOT NULL,</w:t>
      </w:r>
    </w:p>
    <w:p>
      <w:pPr>
        <w:shd w:fill="F5F5F5" w:val="clear"/>
        <w:spacing w:after="60" w:before="60"/>
        <w:ind w:left="360"/>
      </w:pPr>
      <w:r>
        <w:rPr>
          <w:rFonts w:ascii="Courier New" w:cs="Courier New" w:eastAsia="Courier New" w:hAnsi="Courier New"/>
          <w:sz w:val="18"/>
          <w:szCs w:val="18"/>
        </w:rPr>
        <w:t xml:space="preserve">  error_stack      TEXT,</w:t>
      </w:r>
    </w:p>
    <w:p>
      <w:pPr>
        <w:shd w:fill="F5F5F5" w:val="clear"/>
        <w:spacing w:after="60" w:before="60"/>
        <w:ind w:left="360"/>
      </w:pPr>
      <w:r>
        <w:rPr>
          <w:rFonts w:ascii="Courier New" w:cs="Courier New" w:eastAsia="Courier New" w:hAnsi="Courier New"/>
          <w:sz w:val="18"/>
          <w:szCs w:val="18"/>
        </w:rPr>
        <w:t xml:space="preserve">  error_class      TEXT NOT NULL DEFAULT 'unknown'</w:t>
      </w:r>
    </w:p>
    <w:p>
      <w:pPr>
        <w:shd w:fill="F5F5F5" w:val="clear"/>
        <w:spacing w:after="60" w:before="60"/>
        <w:ind w:left="360"/>
      </w:pPr>
      <w:r>
        <w:rPr>
          <w:rFonts w:ascii="Courier New" w:cs="Courier New" w:eastAsia="Courier New" w:hAnsi="Courier New"/>
          <w:sz w:val="18"/>
          <w:szCs w:val="18"/>
        </w:rPr>
        <w:t xml:space="preserve">    CHECK (error_class IN ('transient','permanent','unknown')),</w:t>
      </w:r>
    </w:p>
    <w:p>
      <w:pPr>
        <w:shd w:fill="F5F5F5" w:val="clear"/>
        <w:spacing w:after="60" w:before="60"/>
        <w:ind w:left="360"/>
      </w:pPr>
      <w:r>
        <w:rPr>
          <w:rFonts w:ascii="Courier New" w:cs="Courier New" w:eastAsia="Courier New" w:hAnsi="Courier New"/>
          <w:sz w:val="18"/>
          <w:szCs w:val="18"/>
        </w:rPr>
        <w:t xml:space="preserve">  retry_count      INT NOT NULL DEFAULT 0,</w:t>
      </w:r>
    </w:p>
    <w:p>
      <w:pPr>
        <w:shd w:fill="F5F5F5" w:val="clear"/>
        <w:spacing w:after="60" w:before="60"/>
        <w:ind w:left="360"/>
      </w:pPr>
      <w:r>
        <w:rPr>
          <w:rFonts w:ascii="Courier New" w:cs="Courier New" w:eastAsia="Courier New" w:hAnsi="Courier New"/>
          <w:sz w:val="18"/>
          <w:szCs w:val="18"/>
        </w:rPr>
        <w:t xml:space="preserve">  max_retries      INT NOT NULL DEFAULT 3,</w:t>
      </w:r>
    </w:p>
    <w:p>
      <w:pPr>
        <w:shd w:fill="F5F5F5" w:val="clear"/>
        <w:spacing w:after="60" w:before="60"/>
        <w:ind w:left="360"/>
      </w:pPr>
      <w:r>
        <w:rPr>
          <w:rFonts w:ascii="Courier New" w:cs="Courier New" w:eastAsia="Courier New" w:hAnsi="Courier New"/>
          <w:sz w:val="18"/>
          <w:szCs w:val="18"/>
        </w:rPr>
        <w:t xml:space="preserve">  first_failed_at  TIMESTAMPTZ NOT NULL DEFAULT now(),</w:t>
      </w:r>
    </w:p>
    <w:p>
      <w:pPr>
        <w:shd w:fill="F5F5F5" w:val="clear"/>
        <w:spacing w:after="60" w:before="60"/>
        <w:ind w:left="360"/>
      </w:pPr>
      <w:r>
        <w:rPr>
          <w:rFonts w:ascii="Courier New" w:cs="Courier New" w:eastAsia="Courier New" w:hAnsi="Courier New"/>
          <w:sz w:val="18"/>
          <w:szCs w:val="18"/>
        </w:rPr>
        <w:t xml:space="preserve">  last_failed_at   TIMESTAMPTZ NOT NULL DEFAULT now(),</w:t>
      </w:r>
    </w:p>
    <w:p>
      <w:pPr>
        <w:shd w:fill="F5F5F5" w:val="clear"/>
        <w:spacing w:after="60" w:before="60"/>
        <w:ind w:left="360"/>
      </w:pPr>
      <w:r>
        <w:rPr>
          <w:rFonts w:ascii="Courier New" w:cs="Courier New" w:eastAsia="Courier New" w:hAnsi="Courier New"/>
          <w:sz w:val="18"/>
          <w:szCs w:val="18"/>
        </w:rPr>
        <w:t xml:space="preserve">  resolved_at      TIMESTAMPTZ,</w:t>
      </w:r>
    </w:p>
    <w:p>
      <w:pPr>
        <w:shd w:fill="F5F5F5" w:val="clear"/>
        <w:spacing w:after="60" w:before="60"/>
        <w:ind w:left="360"/>
      </w:pPr>
      <w:r>
        <w:rPr>
          <w:rFonts w:ascii="Courier New" w:cs="Courier New" w:eastAsia="Courier New" w:hAnsi="Courier New"/>
          <w:sz w:val="18"/>
          <w:szCs w:val="18"/>
        </w:rPr>
        <w:t xml:space="preserve">  resolution       TEXT CHECK (resolution IN</w:t>
      </w:r>
    </w:p>
    <w:p>
      <w:pPr>
        <w:shd w:fill="F5F5F5" w:val="clear"/>
        <w:spacing w:after="60" w:before="60"/>
        <w:ind w:left="360"/>
      </w:pPr>
      <w:r>
        <w:rPr>
          <w:rFonts w:ascii="Courier New" w:cs="Courier New" w:eastAsia="Courier New" w:hAnsi="Courier New"/>
          <w:sz w:val="18"/>
          <w:szCs w:val="18"/>
        </w:rPr>
        <w:t xml:space="preserve">    ('retried','skipped','manual','expired')),</w:t>
      </w:r>
    </w:p>
    <w:p>
      <w:pPr>
        <w:shd w:fill="F5F5F5" w:val="clear"/>
        <w:spacing w:after="60" w:before="60"/>
        <w:ind w:left="360"/>
      </w:pPr>
      <w:r>
        <w:rPr>
          <w:rFonts w:ascii="Courier New" w:cs="Courier New" w:eastAsia="Courier New" w:hAnsi="Courier New"/>
          <w:sz w:val="18"/>
          <w:szCs w:val="18"/>
        </w:rPr>
        <w:t xml:space="preserve">  notes            TEXT,</w:t>
      </w:r>
    </w:p>
    <w:p>
      <w:pPr>
        <w:shd w:fill="F5F5F5" w:val="clear"/>
        <w:spacing w:after="60" w:before="60"/>
        <w:ind w:left="360"/>
      </w:pPr>
      <w:r>
        <w:rPr>
          <w:rFonts w:ascii="Courier New" w:cs="Courier New" w:eastAsia="Courier New" w:hAnsi="Courier New"/>
          <w:sz w:val="18"/>
          <w:szCs w:val="18"/>
        </w:rPr>
        <w:t xml:space="preserve">  fingerprint      TEXT NOT NULL,</w:t>
      </w:r>
    </w:p>
    <w:p>
      <w:pPr>
        <w:shd w:fill="F5F5F5" w:val="clear"/>
        <w:spacing w:after="60" w:before="60"/>
        <w:ind w:left="360"/>
      </w:pPr>
      <w:r>
        <w:rPr>
          <w:rFonts w:ascii="Courier New" w:cs="Courier New" w:eastAsia="Courier New" w:hAnsi="Courier New"/>
          <w:sz w:val="18"/>
          <w:szCs w:val="18"/>
        </w:rPr>
        <w:t xml:space="preserve">  created_at       TIMESTAMPTZ NOT NULL DEFAULT now()</w:t>
      </w:r>
    </w:p>
    <w:p>
      <w:pPr>
        <w:shd w:fill="F5F5F5" w:val="clear"/>
        <w:spacing w:after="60" w:before="60"/>
        <w:ind w:left="360"/>
      </w:pPr>
      <w:r>
        <w:rPr>
          <w:rFonts w:ascii="Courier New" w:cs="Courier New" w:eastAsia="Courier New" w:hAnsi="Courier New"/>
          <w:sz w:val="18"/>
          <w:szCs w:val="18"/>
        </w:rPr>
        <w:t xml:space="preserve">);</w:t>
      </w:r>
    </w:p>
    <w:p>
      <w:pPr>
        <w:shd w:fill="F5F5F5" w:val="clear"/>
        <w:spacing w:after="60" w:before="60"/>
        <w:ind w:left="360"/>
      </w:pPr>
      <w:r>
        <w:rPr>
          <w:rFonts w:ascii="Courier New" w:cs="Courier New" w:eastAsia="Courier New" w:hAnsi="Courier New"/>
          <w:sz w:val="18"/>
          <w:szCs w:val="18"/>
        </w:rPr>
        <w:t xml:space="preserve"/>
      </w:r>
    </w:p>
    <w:p>
      <w:pPr>
        <w:shd w:fill="F5F5F5" w:val="clear"/>
        <w:spacing w:after="60" w:before="60"/>
        <w:ind w:left="360"/>
      </w:pPr>
      <w:r>
        <w:rPr>
          <w:rFonts w:ascii="Courier New" w:cs="Courier New" w:eastAsia="Courier New" w:hAnsi="Courier New"/>
          <w:sz w:val="18"/>
          <w:szCs w:val="18"/>
        </w:rPr>
        <w:t xml:space="preserve">CREATE INDEX idx_dlq_unresolved ON dead_letter_queue (resolved_at)</w:t>
      </w:r>
    </w:p>
    <w:p>
      <w:pPr>
        <w:shd w:fill="F5F5F5" w:val="clear"/>
        <w:spacing w:after="60" w:before="60"/>
        <w:ind w:left="360"/>
      </w:pPr>
      <w:r>
        <w:rPr>
          <w:rFonts w:ascii="Courier New" w:cs="Courier New" w:eastAsia="Courier New" w:hAnsi="Courier New"/>
          <w:sz w:val="18"/>
          <w:szCs w:val="18"/>
        </w:rPr>
        <w:t xml:space="preserve">  WHERE resolved_at IS NULL;</w:t>
      </w:r>
    </w:p>
    <w:p>
      <w:pPr>
        <w:shd w:fill="F5F5F5" w:val="clear"/>
        <w:spacing w:after="60" w:before="60"/>
        <w:ind w:left="360"/>
      </w:pPr>
      <w:r>
        <w:rPr>
          <w:rFonts w:ascii="Courier New" w:cs="Courier New" w:eastAsia="Courier New" w:hAnsi="Courier New"/>
          <w:sz w:val="18"/>
          <w:szCs w:val="18"/>
        </w:rPr>
        <w:t xml:space="preserve">CREATE INDEX idx_dlq_agent ON dead_letter_queue</w:t>
      </w:r>
    </w:p>
    <w:p>
      <w:pPr>
        <w:shd w:fill="F5F5F5" w:val="clear"/>
        <w:spacing w:after="60" w:before="60"/>
        <w:ind w:left="360"/>
      </w:pPr>
      <w:r>
        <w:rPr>
          <w:rFonts w:ascii="Courier New" w:cs="Courier New" w:eastAsia="Courier New" w:hAnsi="Courier New"/>
          <w:sz w:val="18"/>
          <w:szCs w:val="18"/>
        </w:rPr>
        <w:t xml:space="preserve">  (agent_name, last_failed_at DESC);</w:t>
      </w:r>
    </w:p>
    <w:p>
      <w:pPr>
        <w:shd w:fill="F5F5F5" w:val="clear"/>
        <w:spacing w:after="60" w:before="60"/>
        <w:ind w:left="360"/>
      </w:pPr>
      <w:r>
        <w:rPr>
          <w:rFonts w:ascii="Courier New" w:cs="Courier New" w:eastAsia="Courier New" w:hAnsi="Courier New"/>
          <w:sz w:val="18"/>
          <w:szCs w:val="18"/>
        </w:rPr>
        <w:t xml:space="preserve">CREATE INDEX idx_dlq_fingerprint ON dead_letter_queue (fingerprint);</w:t>
      </w:r>
    </w:p>
    <w:p>
      <w:pPr>
        <w:pStyle w:val="Heading3"/>
      </w:pPr>
      <w:r>
        <w:rPr>
          <w:rFonts w:ascii="Arial" w:cs="Arial" w:eastAsia="Arial" w:hAnsi="Arial"/>
        </w:rPr>
        <w:t xml:space="preserve">24.3.2 Error Classification</w:t>
      </w:r>
    </w:p>
    <w:p>
      <w:pPr>
        <w:spacing w:after="120"/>
      </w:pPr>
      <w:r>
        <w:rPr>
          <w:rFonts w:ascii="Arial" w:cs="Arial" w:eastAsia="Arial" w:hAnsi="Arial"/>
          <w:sz w:val="22"/>
          <w:szCs w:val="22"/>
        </w:rPr>
        <w:t xml:space="preserve">The DLQ manager classifies errors into three categories to determine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Pattern Examples</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Transient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rate_limit, timeout, ECONNREFUSED, 429, 503, socket hang up, ETIMEDOUT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with exponential backoff + jitter. Move to DLQ only after max_retries exhausted.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Permanent</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results found, invalid input, not found, 404, permission denied, schema validation failure</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Move to DLQ immediately. Do not retry. Flag for manual 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Unknown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error not matching transient or permanent patterns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up to max_retries, then move to DLQ as unknown for investigation.</w:t>
            </w:r>
          </w:p>
        </w:tc>
      </w:tr>
    </w:tbl>
    <w:p>
      <w:pPr>
        <w:pStyle w:val="Heading3"/>
      </w:pPr>
      <w:r>
        <w:rPr>
          <w:rFonts w:ascii="Arial" w:cs="Arial" w:eastAsia="Arial" w:hAnsi="Arial"/>
        </w:rPr>
        <w:t xml:space="preserve">24.3.3 Fingerprinting and Deduplication</w:t>
      </w:r>
    </w:p>
    <w:p>
      <w:pPr>
        <w:spacing w:after="120"/>
      </w:pPr>
      <w:r>
        <w:rPr>
          <w:rFonts w:ascii="Arial" w:cs="Arial" w:eastAsia="Arial" w:hAnsi="Arial"/>
          <w:sz w:val="22"/>
          <w:szCs w:val="22"/>
        </w:rPr>
        <w:t xml:space="preserve">The fingerprint column (SHA-256 hash of task_type + agent_name + JSON.stringify(payload), truncated to 16 chars) prevents duplicate DLQ entries for the same poisoned task. Before inserting a new DLQ record, check for an existing unresolved entry with the same fingerprint and update it instead. The partial index on resolved_at IS NULL keeps queries fast as the table grows.</w:t>
      </w:r>
    </w:p>
    <w:p>
      <w:pPr>
        <w:pStyle w:val="Heading3"/>
      </w:pPr>
      <w:r>
        <w:rPr>
          <w:rFonts w:ascii="Arial" w:cs="Arial" w:eastAsia="Arial" w:hAnsi="Arial"/>
        </w:rPr>
        <w:t xml:space="preserve">24.3.4 Orchestrator Integration</w:t>
      </w:r>
    </w:p>
    <w:p>
      <w:pPr>
        <w:spacing w:after="120"/>
      </w:pPr>
      <w:r>
        <w:rPr>
          <w:rFonts w:ascii="Arial" w:cs="Arial" w:eastAsia="Arial" w:hAnsi="Arial"/>
          <w:sz w:val="22"/>
          <w:szCs w:val="22"/>
        </w:rPr>
        <w:t xml:space="preserve">The orchestrator must check the DLQ before scheduling any task. This prevents re-enqueuing poisoned tasks:</w:t>
      </w:r>
    </w:p>
    <w:p>
      <w:pPr>
        <w:shd w:fill="F5F5F5" w:val="clear"/>
        <w:spacing w:after="60" w:before="60"/>
        <w:ind w:left="360"/>
      </w:pPr>
      <w:r>
        <w:rPr>
          <w:rFonts w:ascii="Courier New" w:cs="Courier New" w:eastAsia="Courier New" w:hAnsi="Courier New"/>
          <w:sz w:val="18"/>
          <w:szCs w:val="18"/>
        </w:rPr>
        <w:t xml:space="preserve">async function scheduleTask(taskType, agent, payload) {</w:t>
      </w:r>
    </w:p>
    <w:p>
      <w:pPr>
        <w:shd w:fill="F5F5F5" w:val="clear"/>
        <w:spacing w:after="60" w:before="60"/>
        <w:ind w:left="360"/>
      </w:pPr>
      <w:r>
        <w:rPr>
          <w:rFonts w:ascii="Courier New" w:cs="Courier New" w:eastAsia="Courier New" w:hAnsi="Courier New"/>
          <w:sz w:val="18"/>
          <w:szCs w:val="18"/>
        </w:rPr>
        <w:t xml:space="preserve">  if (await dlq.isInDLQ(taskType, agent, payload)) {</w:t>
      </w:r>
    </w:p>
    <w:p>
      <w:pPr>
        <w:shd w:fill="F5F5F5" w:val="clear"/>
        <w:spacing w:after="60" w:before="60"/>
        <w:ind w:left="360"/>
      </w:pPr>
      <w:r>
        <w:rPr>
          <w:rFonts w:ascii="Courier New" w:cs="Courier New" w:eastAsia="Courier New" w:hAnsi="Courier New"/>
          <w:sz w:val="18"/>
          <w:szCs w:val="18"/>
        </w:rPr>
        <w:t xml:space="preserve">    console.warn(`Task in DLQ - skipping: ${taskType}/${agent}`);</w:t>
      </w:r>
    </w:p>
    <w:p>
      <w:pPr>
        <w:shd w:fill="F5F5F5" w:val="clear"/>
        <w:spacing w:after="60" w:before="60"/>
        <w:ind w:left="360"/>
      </w:pPr>
      <w:r>
        <w:rPr>
          <w:rFonts w:ascii="Courier New" w:cs="Courier New" w:eastAsia="Courier New" w:hAnsi="Courier New"/>
          <w:sz w:val="18"/>
          <w:szCs w:val="18"/>
        </w:rPr>
        <w:t xml:space="preserve">    return; // Do not re-schedule poisoned tasks</w:t>
      </w:r>
    </w:p>
    <w:p>
      <w:pPr>
        <w:shd w:fill="F5F5F5" w:val="clear"/>
        <w:spacing w:after="60" w:before="60"/>
        <w:ind w:left="360"/>
      </w:pPr>
      <w:r>
        <w:rPr>
          <w:rFonts w:ascii="Courier New" w:cs="Courier New" w:eastAsia="Courier New" w:hAnsi="Courier New"/>
          <w:sz w:val="18"/>
          <w:szCs w:val="18"/>
        </w:rPr>
        <w:t xml:space="preserve">  }</w:t>
      </w:r>
    </w:p>
    <w:p>
      <w:pPr>
        <w:shd w:fill="F5F5F5" w:val="clear"/>
        <w:spacing w:after="60" w:before="60"/>
        <w:ind w:left="360"/>
      </w:pPr>
      <w:r>
        <w:rPr>
          <w:rFonts w:ascii="Courier New" w:cs="Courier New" w:eastAsia="Courier New" w:hAnsi="Courier New"/>
          <w:sz w:val="18"/>
          <w:szCs w:val="18"/>
        </w:rPr>
        <w:t xml:space="preserve">  // Proceed with normal scheduling...</w:t>
      </w:r>
    </w:p>
    <w:p>
      <w:pPr>
        <w:shd w:fill="F5F5F5" w:val="clear"/>
        <w:spacing w:after="60" w:before="60"/>
        <w:ind w:left="360"/>
      </w:pPr>
      <w:r>
        <w:rPr>
          <w:rFonts w:ascii="Courier New" w:cs="Courier New" w:eastAsia="Courier New" w:hAnsi="Courier New"/>
          <w:sz w:val="18"/>
          <w:szCs w:val="18"/>
        </w:rPr>
        <w:t xml:space="preserve">}</w:t>
      </w:r>
    </w:p>
    <w:p>
      <w:pPr>
        <w:pStyle w:val="Heading3"/>
      </w:pPr>
      <w:r>
        <w:rPr>
          <w:rFonts w:ascii="Arial" w:cs="Arial" w:eastAsia="Arial" w:hAnsi="Arial"/>
        </w:rPr>
        <w:t xml:space="preserve">24.3.5 DLQ Monitoring and Alerting</w:t>
      </w:r>
    </w:p>
    <w:p>
      <w:pPr>
        <w:spacing w:after="120"/>
      </w:pPr>
      <w:r>
        <w:rPr>
          <w:rFonts w:ascii="Arial" w:cs="Arial" w:eastAsia="Arial" w:hAnsi="Arial"/>
          <w:sz w:val="22"/>
          <w:szCs w:val="22"/>
        </w:rPr>
        <w:t xml:space="preserve">Add these alert rules to Agent 7 (Performance Monitor) and the Grafana dashboard defined in Section 10.9:</w:t>
      </w:r>
    </w:p>
    <w:p>
      <w:pPr>
        <w:pStyle w:val="ListParagraph"/>
        <w:numPr>
          <w:ilvl w:val="0"/>
          <w:numId w:val="2"/>
        </w:numPr>
      </w:pPr>
      <w:r>
        <w:rPr>
          <w:rFonts w:ascii="Arial" w:cs="Arial" w:eastAsia="Arial" w:hAnsi="Arial"/>
          <w:sz w:val="22"/>
          <w:szCs w:val="22"/>
        </w:rPr>
        <w:t xml:space="preserve">Daily alert: Count of unresolved DLQ items by agent and error class, sent to #callforge-alerts Slack channel</w:t>
      </w:r>
    </w:p>
    <w:p>
      <w:pPr>
        <w:pStyle w:val="ListParagraph"/>
        <w:numPr>
          <w:ilvl w:val="0"/>
          <w:numId w:val="2"/>
        </w:numPr>
      </w:pPr>
      <w:r>
        <w:rPr>
          <w:rFonts w:ascii="Arial" w:cs="Arial" w:eastAsia="Arial" w:hAnsi="Arial"/>
          <w:sz w:val="22"/>
          <w:szCs w:val="22"/>
        </w:rPr>
        <w:t xml:space="preserve">Critical alert: Any DLQ item unresolved for more than 24 hours</w:t>
      </w:r>
    </w:p>
    <w:p>
      <w:pPr>
        <w:pStyle w:val="ListParagraph"/>
        <w:numPr>
          <w:ilvl w:val="0"/>
          <w:numId w:val="2"/>
        </w:numPr>
      </w:pPr>
      <w:r>
        <w:rPr>
          <w:rFonts w:ascii="Arial" w:cs="Arial" w:eastAsia="Arial" w:hAnsi="Arial"/>
          <w:sz w:val="22"/>
          <w:szCs w:val="22"/>
        </w:rPr>
        <w:t xml:space="preserve">Weekly report: DLQ growth rate, resolution rate, most common error classes</w:t>
      </w:r>
    </w:p>
    <w:p>
      <w:pPr>
        <w:pStyle w:val="ListParagraph"/>
        <w:numPr>
          <w:ilvl w:val="0"/>
          <w:numId w:val="2"/>
        </w:numPr>
      </w:pPr>
      <w:r>
        <w:rPr>
          <w:rFonts w:ascii="Arial" w:cs="Arial" w:eastAsia="Arial" w:hAnsi="Arial"/>
          <w:sz w:val="22"/>
          <w:szCs w:val="22"/>
        </w:rPr>
        <w:t xml:space="preserve">Grafana panel: Active DLQ items table with severity coloring, agent filter, and manual retry button</w:t>
      </w:r>
    </w:p>
    <w:p>
      <w:pPr>
        <w:pStyle w:val="Heading3"/>
      </w:pPr>
      <w:r>
        <w:rPr>
          <w:rFonts w:ascii="Arial" w:cs="Arial" w:eastAsia="Arial" w:hAnsi="Arial"/>
        </w:rPr>
        <w:t xml:space="preserve">24.3.6 Exponential Backoff with Jitter</w:t>
      </w:r>
    </w:p>
    <w:p>
      <w:pPr>
        <w:spacing w:after="120"/>
      </w:pPr>
      <w:r>
        <w:rPr>
          <w:rFonts w:ascii="Arial" w:cs="Arial" w:eastAsia="Arial" w:hAnsi="Arial"/>
          <w:sz w:val="22"/>
          <w:szCs w:val="22"/>
        </w:rPr>
        <w:t xml:space="preserve">Standard retry timing before DLQ: attempt 0 is approximately 500-1500ms, attempt 1 is approximately 1000-3000ms, attempt 2 is approximately 2000-6000ms, attempt 3 is approximately 4000-12000ms. The jitter prevents thundering herd when multiple agents retry simultaneously.</w:t>
      </w:r>
    </w:p>
    <w:p>
      <w:r>
        <w:br w:type="page"/>
      </w:r>
    </w:p>
    <w:p>
      <w:pPr>
        <w:pStyle w:val="Heading2"/>
      </w:pPr>
      <w:r>
        <w:rPr>
          <w:rFonts w:ascii="Arial" w:cs="Arial" w:eastAsia="Arial" w:hAnsi="Arial"/>
        </w:rPr>
        <w:t xml:space="preserve">24.4 Google Sandbox and Content Velocity Controls</w:t>
      </w:r>
    </w:p>
    <w:p>
      <w:pPr>
        <w:spacing w:after="120"/>
      </w:pPr>
      <w:r>
        <w:rPr>
          <w:rFonts w:ascii="Arial" w:cs="Arial" w:eastAsia="Arial" w:hAnsi="Arial"/>
          <w:sz w:val="22"/>
          <w:szCs w:val="22"/>
        </w:rPr>
        <w:t xml:space="preserve">On a brand-new domain like extermanation.com, deploying 5-10 city pages in Phase 2 and scaling to 20-30 shortly after risks triggering Google's programmatic content detection. The August 2025 spam update explicitly targeted templated location pages, and the December 2025 core update flagged velocity spikes. This section defines the throttled rollout calendar and domain strategy.</w:t>
      </w:r>
    </w:p>
    <w:p>
      <w:pPr>
        <w:pStyle w:val="Heading3"/>
      </w:pPr>
      <w:r>
        <w:rPr>
          <w:rFonts w:ascii="Arial" w:cs="Arial" w:eastAsia="Arial" w:hAnsi="Arial"/>
        </w:rPr>
        <w:t xml:space="preserve">24.4.1 Sandbox Duration for Pest Control Niche</w:t>
      </w:r>
    </w:p>
    <w:p>
      <w:pPr>
        <w:spacing w:after="120"/>
      </w:pPr>
      <w:r>
        <w:rPr>
          <w:rFonts w:ascii="Arial" w:cs="Arial" w:eastAsia="Arial" w:hAnsi="Arial"/>
          <w:sz w:val="22"/>
          <w:szCs w:val="22"/>
        </w:rPr>
        <w:t xml:space="preserve">Google has never confirmed a formal sandbox, but practitioners consistently report new domains showing zero competitive movement for 3-6 months, then ranking almost overnight. For pest control (a competitive local service niche), expect 6-9 months minimum before competitive rankings materialize. Long-tail terms may surface at 3-4 months with strong execution. Key trust-building signals that accelerate escape: consistent quality publishing, high-quality backlinks, Google Business Profile citations, positive engagement metrics, brand mentions, and Core Web Vitals excellence.</w:t>
      </w:r>
    </w:p>
    <w:p>
      <w:pPr>
        <w:pStyle w:val="Heading3"/>
      </w:pPr>
      <w:r>
        <w:rPr>
          <w:rFonts w:ascii="Arial" w:cs="Arial" w:eastAsia="Arial" w:hAnsi="Arial"/>
        </w:rPr>
        <w:t xml:space="preserve">24.4.2 Throttled Rollout Calendar</w:t>
      </w:r>
    </w:p>
    <w:p>
      <w:pPr>
        <w:spacing w:after="120"/>
      </w:pPr>
      <w:r>
        <w:rPr>
          <w:rFonts w:ascii="Arial" w:cs="Arial" w:eastAsia="Arial" w:hAnsi="Arial"/>
          <w:sz w:val="22"/>
          <w:szCs w:val="22"/>
        </w:rPr>
        <w:t xml:space="preserve">This calendar replaces the Phase 2 timeline in Section 20. The orchestrator must enforce these velocity limits using a Bottleneck reservoir (see Section 24.2.5):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1560"/>
        <w:gridCol w:w="234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 Pages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Gate Condition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foundation: homepage, 5-8 service pages, about/contact, 3-5 blog posts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(initial setup)</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Weeks 2-6</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 pilot city pages. Begin GBP setup and citation building via Agent 8.</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 cities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 (foundational)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2-3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2-3 cities per week IF indexation rate exceeds 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Indexation &gt; 70%</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Months 4-6</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Scale to 20-30 cities at 3-5/week ONLY if all metrics are green.</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20-30 total</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Indexation &gt; 70%, no manual actions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6-9</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Organic traffic begins materializing. Content refresh cycle. Evaluate expansion.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positive</w:t>
            </w:r>
          </w:p>
        </w:tc>
      </w:tr>
    </w:tbl>
    <w:p>
      <w:pPr>
        <w:pStyle w:val="Heading3"/>
      </w:pPr>
      <w:r>
        <w:rPr>
          <w:rFonts w:ascii="Arial" w:cs="Arial" w:eastAsia="Arial" w:hAnsi="Arial"/>
        </w:rPr>
        <w:t xml:space="preserve">24.4.3 Content Uniqueness Requirements</w:t>
      </w:r>
    </w:p>
    <w:p>
      <w:pPr>
        <w:spacing w:after="120"/>
      </w:pPr>
      <w:r>
        <w:rPr>
          <w:rFonts w:ascii="Arial" w:cs="Arial" w:eastAsia="Arial" w:hAnsi="Arial"/>
          <w:sz w:val="22"/>
          <w:szCs w:val="22"/>
        </w:rPr>
        <w:t xml:space="preserve">Each city page must contain minimum 500 unique words and 5+ unique local data points from the APIs defined in Section 8.2. The uniqueness threshold is 60% unique content per page (up from the 30-40% minimum in Section 16.1). City-name-swapping templates will trigger penalties. Required unique elements per city page:</w:t>
      </w:r>
    </w:p>
    <w:p>
      <w:pPr>
        <w:pStyle w:val="ListParagraph"/>
        <w:numPr>
          <w:ilvl w:val="0"/>
          <w:numId w:val="2"/>
        </w:numPr>
      </w:pPr>
      <w:r>
        <w:rPr>
          <w:rFonts w:ascii="Arial" w:cs="Arial" w:eastAsia="Arial" w:hAnsi="Arial"/>
          <w:sz w:val="22"/>
          <w:szCs w:val="22"/>
        </w:rPr>
        <w:t xml:space="preserve">Local pest prevalence data specific to that metro (e.g., fire ants in Houston, termites in Atlanta, bed bugs in NYC)</w:t>
      </w:r>
    </w:p>
    <w:p>
      <w:pPr>
        <w:pStyle w:val="ListParagraph"/>
        <w:numPr>
          <w:ilvl w:val="0"/>
          <w:numId w:val="2"/>
        </w:numPr>
      </w:pPr>
      <w:r>
        <w:rPr>
          <w:rFonts w:ascii="Arial" w:cs="Arial" w:eastAsia="Arial" w:hAnsi="Arial"/>
          <w:sz w:val="22"/>
          <w:szCs w:val="22"/>
        </w:rPr>
        <w:t xml:space="preserve">Seasonal activity patterns calibrated to regional climate via WeatherAPI.com and Visual Crossing data</w:t>
      </w:r>
    </w:p>
    <w:p>
      <w:pPr>
        <w:pStyle w:val="ListParagraph"/>
        <w:numPr>
          <w:ilvl w:val="0"/>
          <w:numId w:val="2"/>
        </w:numPr>
      </w:pPr>
      <w:r>
        <w:rPr>
          <w:rFonts w:ascii="Arial" w:cs="Arial" w:eastAsia="Arial" w:hAnsi="Arial"/>
          <w:sz w:val="22"/>
          <w:szCs w:val="22"/>
        </w:rPr>
        <w:t xml:space="preserve">Area-specific prevention advice tailored to local housing types (US Census housing age data)</w:t>
      </w:r>
    </w:p>
    <w:p>
      <w:pPr>
        <w:pStyle w:val="ListParagraph"/>
        <w:numPr>
          <w:ilvl w:val="0"/>
          <w:numId w:val="2"/>
        </w:numPr>
      </w:pPr>
      <w:r>
        <w:rPr>
          <w:rFonts w:ascii="Arial" w:cs="Arial" w:eastAsia="Arial" w:hAnsi="Arial"/>
          <w:sz w:val="22"/>
          <w:szCs w:val="22"/>
        </w:rPr>
        <w:t xml:space="preserve">Neighborhood and district names, local landmarks, and geographic context</w:t>
      </w:r>
    </w:p>
    <w:p>
      <w:pPr>
        <w:pStyle w:val="ListParagraph"/>
        <w:numPr>
          <w:ilvl w:val="0"/>
          <w:numId w:val="2"/>
        </w:numPr>
      </w:pPr>
      <w:r>
        <w:rPr>
          <w:rFonts w:ascii="Arial" w:cs="Arial" w:eastAsia="Arial" w:hAnsi="Arial"/>
          <w:sz w:val="22"/>
          <w:szCs w:val="22"/>
        </w:rPr>
        <w:t xml:space="preserve">LocalBusiness and FAQ schema markup with city-specific structured data</w:t>
      </w:r>
    </w:p>
    <w:p>
      <w:pPr>
        <w:pStyle w:val="Heading3"/>
      </w:pPr>
      <w:r>
        <w:rPr>
          <w:rFonts w:ascii="Arial" w:cs="Arial" w:eastAsia="Arial" w:hAnsi="Arial"/>
        </w:rPr>
        <w:t xml:space="preserve">24.4.4 Indexation Monitoring as a Kill Switch</w:t>
      </w:r>
    </w:p>
    <w:p>
      <w:pPr>
        <w:spacing w:after="120"/>
      </w:pPr>
      <w:r>
        <w:rPr>
          <w:rFonts w:ascii="Arial" w:cs="Arial" w:eastAsia="Arial" w:hAnsi="Arial"/>
          <w:sz w:val="22"/>
          <w:szCs w:val="22"/>
        </w:rPr>
        <w:t xml:space="preserve">Agent 7 must monitor the indexation ratio (indexed pages / submitted pages) via the URL Inspection API (Section 10.1). If the ratio drops below 60% for two consecutive weeks, the orchestrator must halt all new city deployments and trigger a manual review. This is the earliest signal that Google is classifying pages as thin or doorway content.</w:t>
      </w:r>
    </w:p>
    <w:p>
      <w:pPr>
        <w:pStyle w:val="Heading3"/>
      </w:pPr>
      <w:r>
        <w:rPr>
          <w:rFonts w:ascii="Arial" w:cs="Arial" w:eastAsia="Arial" w:hAnsi="Arial"/>
        </w:rPr>
        <w:t xml:space="preserve">24.4.5 Aged Domain Strategy</w:t>
      </w:r>
    </w:p>
    <w:p>
      <w:pPr>
        <w:spacing w:after="120"/>
      </w:pPr>
      <w:r>
        <w:rPr>
          <w:rFonts w:ascii="Arial" w:cs="Arial" w:eastAsia="Arial" w:hAnsi="Arial"/>
          <w:sz w:val="22"/>
          <w:szCs w:val="22"/>
        </w:rPr>
        <w:t xml:space="preserve">Google's 2024-2025 expired domain abuse policies specifically target buying old domains to host unrelated content. For 20-30 city pages, the sandbox delay does not justify the $2,000-$5,000 cost and risk. Recommendation: proceed with extermanation.com as a new domain. The brand name is relevant and memorable, the page count is manageable, and the 6-9 month sandbox period is an acceptable timeline given that SEO content needs time to mature regardless. If an aged domain is pursued in the future, only target domains previously used for pest control or home services, verify clean history via Wayback Machine and Ahrefs, and budget for thorough vetting. Sources include GoDaddy Auctions, ExpiredDomains.net, and SerpDomains.</w:t>
      </w:r>
    </w:p>
    <w:p>
      <w:r>
        <w:br w:type="page"/>
      </w:r>
    </w:p>
    <w:p>
      <w:pPr>
        <w:pStyle w:val="Heading2"/>
      </w:pPr>
      <w:r>
        <w:rPr>
          <w:rFonts w:ascii="Arial" w:cs="Arial" w:eastAsia="Arial" w:hAnsi="Arial"/>
        </w:rPr>
        <w:t xml:space="preserve">24.5 Legal Compliance: TCPA, Call Recording, and Privacy Disclosures</w:t>
      </w:r>
    </w:p>
    <w:p>
      <w:pPr>
        <w:spacing w:after="120"/>
      </w:pPr>
      <w:r>
        <w:rPr>
          <w:rFonts w:ascii="Arial" w:cs="Arial" w:eastAsia="Arial" w:hAnsi="Arial"/>
          <w:sz w:val="22"/>
          <w:szCs w:val="22"/>
        </w:rPr>
        <w:t xml:space="preserve">CallForge uses Dynamic Number Insertion (DNI) to track callers and routes them to MarketCall. As the publisher generating the lead, the landing pages capture consumer intent. This creates three legal exposure areas: TCPA compliance for call recording, two-party consent state requirements, and privacy/disclosure obligations on landing pages.</w:t>
      </w:r>
    </w:p>
    <w:p>
      <w:pPr>
        <w:pStyle w:val="Heading3"/>
      </w:pPr>
      <w:r>
        <w:rPr>
          <w:rFonts w:ascii="Arial" w:cs="Arial" w:eastAsia="Arial" w:hAnsi="Arial"/>
        </w:rPr>
        <w:t xml:space="preserve">24.5.1 TCPA Risk Profile for Inbound Pay-Per-Call</w:t>
      </w:r>
    </w:p>
    <w:p>
      <w:pPr>
        <w:spacing w:after="120"/>
      </w:pPr>
      <w:r>
        <w:rPr>
          <w:rFonts w:ascii="Arial" w:cs="Arial" w:eastAsia="Arial" w:hAnsi="Arial"/>
          <w:sz w:val="22"/>
          <w:szCs w:val="22"/>
        </w:rPr>
        <w:t xml:space="preserve">CallForge benefits from a fundamental legal advantage: consumers initiate the call. The TCPA's core restrictions on autodialers, prerecorded messages, and prior express consent primarily target outbound unsolicited calls. Consumer-initiated inbound calls from general media advertisements (including websites) are exempt from TSR telemarketing rules.</w:t>
      </w:r>
    </w:p>
    <w:p>
      <w:pPr>
        <w:spacing w:after="120"/>
      </w:pPr>
      <w:r>
        <w:rPr>
          <w:rFonts w:ascii="Arial" w:cs="Arial" w:eastAsia="Arial" w:hAnsi="Arial"/>
          <w:b/>
          <w:bCs/>
          <w:sz w:val="22"/>
          <w:szCs w:val="22"/>
        </w:rPr>
        <w:t xml:space="preserve">Key 2025 development: </w:t>
      </w:r>
      <w:r>
        <w:rPr>
          <w:rFonts w:ascii="Arial" w:cs="Arial" w:eastAsia="Arial" w:hAnsi="Arial"/>
          <w:sz w:val="22"/>
          <w:szCs w:val="22"/>
        </w:rPr>
        <w:t xml:space="preserve">The FCC's one-to-one consent rule was vacated by the Eleventh Circuit in January 2025 (Insurance Marketing Coalition v. FCC). The FCC formally reinstated its prior standard in August 2025. What survived: consent revocation rules (effective April 2025) requiring businesses to honor revocations within 10 business days, and classification of AI-generated calls as robocalls (since February 2024).</w:t>
      </w:r>
    </w:p>
    <w:p>
      <w:pPr>
        <w:spacing w:after="120"/>
      </w:pPr>
      <w:r>
        <w:rPr>
          <w:rFonts w:ascii="Arial" w:cs="Arial" w:eastAsia="Arial" w:hAnsi="Arial"/>
          <w:b/>
          <w:bCs/>
          <w:sz w:val="22"/>
          <w:szCs w:val="22"/>
        </w:rPr>
        <w:t xml:space="preserve">Litigation trend: </w:t>
      </w:r>
      <w:r>
        <w:rPr>
          <w:rFonts w:ascii="Arial" w:cs="Arial" w:eastAsia="Arial" w:hAnsi="Arial"/>
          <w:sz w:val="22"/>
          <w:szCs w:val="22"/>
        </w:rPr>
        <w:t xml:space="preserve">2,788 TCPA cases in 2024 (67% increase). Average class action settlement: $6.6 million. Penalties: $500-$1,500 per violation.</w:t>
      </w:r>
    </w:p>
    <w:p>
      <w:pPr>
        <w:pStyle w:val="Heading3"/>
      </w:pPr>
      <w:r>
        <w:rPr>
          <w:rFonts w:ascii="Arial" w:cs="Arial" w:eastAsia="Arial" w:hAnsi="Arial"/>
        </w:rPr>
        <w:t xml:space="preserve">24.5.2 Two-Party Consent States</w:t>
      </w:r>
    </w:p>
    <w:p>
      <w:pPr>
        <w:spacing w:after="120"/>
      </w:pPr>
      <w:r>
        <w:rPr>
          <w:rFonts w:ascii="Arial" w:cs="Arial" w:eastAsia="Arial" w:hAnsi="Arial"/>
          <w:sz w:val="22"/>
          <w:szCs w:val="22"/>
        </w:rPr>
        <w:t xml:space="preserve">Twelve states require all-party consent for call recording: California, Connecticut, Delaware, Florida, Illinois, Maryland, Massachusetts, Montana, Nevada, New Hampshire, Pennsylvania, and Washington. For interstate calls, the stricter state's law applies. California's Supreme Court has enforced this even when the recording party was in a one-party state.</w:t>
      </w:r>
    </w:p>
    <w:p>
      <w:pPr>
        <w:spacing w:after="120"/>
      </w:pPr>
      <w:r>
        <w:rPr>
          <w:rFonts w:ascii="Arial" w:cs="Arial" w:eastAsia="Arial" w:hAnsi="Arial"/>
          <w:sz w:val="22"/>
          <w:szCs w:val="22"/>
        </w:rPr>
        <w:t xml:space="preserve">CallForge must implement two layers of recording disclosure:</w:t>
      </w:r>
    </w:p>
    <w:p>
      <w:pPr>
        <w:spacing w:after="120"/>
      </w:pPr>
      <w:r>
        <w:rPr>
          <w:rFonts w:ascii="Arial" w:cs="Arial" w:eastAsia="Arial" w:hAnsi="Arial"/>
          <w:b/>
          <w:bCs/>
          <w:sz w:val="22"/>
          <w:szCs w:val="22"/>
        </w:rPr>
        <w:t xml:space="preserve">Layer 1 - Landing Page Disclosure </w:t>
      </w:r>
      <w:r>
        <w:rPr>
          <w:rFonts w:ascii="Arial" w:cs="Arial" w:eastAsia="Arial" w:hAnsi="Arial"/>
          <w:sz w:val="22"/>
          <w:szCs w:val="22"/>
        </w:rPr>
        <w:t xml:space="preserve">(displayed near every phone number and click-to-call button):</w:t>
      </w:r>
    </w:p>
    <w:p>
      <w:pPr>
        <w:shd w:fill="F5F5F5" w:val="clear"/>
        <w:spacing w:after="60" w:before="60"/>
        <w:ind w:left="360"/>
      </w:pPr>
      <w:r>
        <w:rPr>
          <w:rFonts w:ascii="Courier New" w:cs="Courier New" w:eastAsia="Courier New" w:hAnsi="Courier New"/>
          <w:sz w:val="18"/>
          <w:szCs w:val="18"/>
        </w:rPr>
        <w:t xml:space="preserve">CALL RECORDING NOTICE: By calling this number, you consent</w:t>
      </w:r>
    </w:p>
    <w:p>
      <w:pPr>
        <w:shd w:fill="F5F5F5" w:val="clear"/>
        <w:spacing w:after="60" w:before="60"/>
        <w:ind w:left="360"/>
      </w:pPr>
      <w:r>
        <w:rPr>
          <w:rFonts w:ascii="Courier New" w:cs="Courier New" w:eastAsia="Courier New" w:hAnsi="Courier New"/>
          <w:sz w:val="18"/>
          <w:szCs w:val="18"/>
        </w:rPr>
        <w:t xml:space="preserve">to the recording and/or monitoring of your call for quality</w:t>
      </w:r>
    </w:p>
    <w:p>
      <w:pPr>
        <w:shd w:fill="F5F5F5" w:val="clear"/>
        <w:spacing w:after="60" w:before="60"/>
        <w:ind w:left="360"/>
      </w:pPr>
      <w:r>
        <w:rPr>
          <w:rFonts w:ascii="Courier New" w:cs="Courier New" w:eastAsia="Courier New" w:hAnsi="Courier New"/>
          <w:sz w:val="18"/>
          <w:szCs w:val="18"/>
        </w:rPr>
        <w:t xml:space="preserve">assurance and training purposes.</w:t>
      </w:r>
    </w:p>
    <w:p>
      <w:pPr>
        <w:spacing w:after="120"/>
      </w:pPr>
      <w:r>
        <w:rPr>
          <w:rFonts w:ascii="Arial" w:cs="Arial" w:eastAsia="Arial" w:hAnsi="Arial"/>
          <w:b/>
          <w:bCs/>
          <w:sz w:val="22"/>
          <w:szCs w:val="22"/>
        </w:rPr>
        <w:t xml:space="preserve">Layer 2 - IVR Pre-Call Audio </w:t>
      </w:r>
      <w:r>
        <w:rPr>
          <w:rFonts w:ascii="Arial" w:cs="Arial" w:eastAsia="Arial" w:hAnsi="Arial"/>
          <w:sz w:val="22"/>
          <w:szCs w:val="22"/>
        </w:rPr>
        <w:t xml:space="preserve">(critical for two-party consent states, configured in MarketCall):</w:t>
      </w:r>
    </w:p>
    <w:p>
      <w:pPr>
        <w:shd w:fill="F5F5F5" w:val="clear"/>
        <w:spacing w:after="60" w:before="60"/>
        <w:ind w:left="360"/>
      </w:pPr>
      <w:r>
        <w:rPr>
          <w:rFonts w:ascii="Courier New" w:cs="Courier New" w:eastAsia="Courier New" w:hAnsi="Courier New"/>
          <w:sz w:val="18"/>
          <w:szCs w:val="18"/>
        </w:rPr>
        <w:t xml:space="preserve">"Thank you for calling. This call may be recorded or</w:t>
      </w:r>
    </w:p>
    <w:p>
      <w:pPr>
        <w:shd w:fill="F5F5F5" w:val="clear"/>
        <w:spacing w:after="60" w:before="60"/>
        <w:ind w:left="360"/>
      </w:pPr>
      <w:r>
        <w:rPr>
          <w:rFonts w:ascii="Courier New" w:cs="Courier New" w:eastAsia="Courier New" w:hAnsi="Courier New"/>
          <w:sz w:val="18"/>
          <w:szCs w:val="18"/>
        </w:rPr>
        <w:t xml:space="preserve">monitored for quality assurance purposes. By remaining</w:t>
      </w:r>
    </w:p>
    <w:p>
      <w:pPr>
        <w:shd w:fill="F5F5F5" w:val="clear"/>
        <w:spacing w:after="60" w:before="60"/>
        <w:ind w:left="360"/>
      </w:pPr>
      <w:r>
        <w:rPr>
          <w:rFonts w:ascii="Courier New" w:cs="Courier New" w:eastAsia="Courier New" w:hAnsi="Courier New"/>
          <w:sz w:val="18"/>
          <w:szCs w:val="18"/>
        </w:rPr>
        <w:t xml:space="preserve">on the line, you consent to recording. If you do not</w:t>
      </w:r>
    </w:p>
    <w:p>
      <w:pPr>
        <w:shd w:fill="F5F5F5" w:val="clear"/>
        <w:spacing w:after="60" w:before="60"/>
        <w:ind w:left="360"/>
      </w:pPr>
      <w:r>
        <w:rPr>
          <w:rFonts w:ascii="Courier New" w:cs="Courier New" w:eastAsia="Courier New" w:hAnsi="Courier New"/>
          <w:sz w:val="18"/>
          <w:szCs w:val="18"/>
        </w:rPr>
        <w:t xml:space="preserve">wish to be recorded, please disconnect now."</w:t>
      </w:r>
    </w:p>
    <w:p>
      <w:pPr>
        <w:pStyle w:val="Heading3"/>
      </w:pPr>
      <w:r>
        <w:rPr>
          <w:rFonts w:ascii="Arial" w:cs="Arial" w:eastAsia="Arial" w:hAnsi="Arial"/>
        </w:rPr>
        <w:t xml:space="preserve">24.5.3 Required Landing Page Disclosures</w:t>
      </w:r>
    </w:p>
    <w:p>
      <w:pPr>
        <w:spacing w:after="120"/>
      </w:pPr>
      <w:r>
        <w:rPr>
          <w:rFonts w:ascii="Arial" w:cs="Arial" w:eastAsia="Arial" w:hAnsi="Arial"/>
          <w:sz w:val="22"/>
          <w:szCs w:val="22"/>
        </w:rPr>
        <w:t xml:space="preserve">Every landing page generated by Agent 3 must include four disclosure elements. These must be built into the Hugo/Netlify site templates before any city page goes live.</w:t>
      </w:r>
    </w:p>
    <w:p>
      <w:pPr>
        <w:spacing w:after="120"/>
      </w:pPr>
      <w:r>
        <w:rPr>
          <w:rFonts w:ascii="Arial" w:cs="Arial" w:eastAsia="Arial" w:hAnsi="Arial"/>
          <w:b/>
          <w:bCs/>
          <w:sz w:val="22"/>
          <w:szCs w:val="22"/>
        </w:rPr>
        <w:t xml:space="preserve">1. Footer Disclaimer </w:t>
      </w:r>
      <w:r>
        <w:rPr>
          <w:rFonts w:ascii="Arial" w:cs="Arial" w:eastAsia="Arial" w:hAnsi="Arial"/>
          <w:sz w:val="22"/>
          <w:szCs w:val="22"/>
        </w:rPr>
        <w:t xml:space="preserve">(minimum viable compliance, on every page):</w:t>
      </w:r>
    </w:p>
    <w:p>
      <w:pPr>
        <w:shd w:fill="F5F5F5" w:val="clear"/>
        <w:spacing w:after="60" w:before="60"/>
        <w:ind w:left="360"/>
      </w:pPr>
      <w:r>
        <w:rPr>
          <w:rFonts w:ascii="Courier New" w:cs="Courier New" w:eastAsia="Courier New" w:hAnsi="Courier New"/>
          <w:sz w:val="18"/>
          <w:szCs w:val="18"/>
        </w:rPr>
        <w:t xml:space="preserve">DISCLAIMER: [Extermanation/Site Name] is a free referral</w:t>
      </w:r>
    </w:p>
    <w:p>
      <w:pPr>
        <w:shd w:fill="F5F5F5" w:val="clear"/>
        <w:spacing w:after="60" w:before="60"/>
        <w:ind w:left="360"/>
      </w:pPr>
      <w:r>
        <w:rPr>
          <w:rFonts w:ascii="Courier New" w:cs="Courier New" w:eastAsia="Courier New" w:hAnsi="Courier New"/>
          <w:sz w:val="18"/>
          <w:szCs w:val="18"/>
        </w:rPr>
        <w:t xml:space="preserve">service connecting consumers with pest control professionals.</w:t>
      </w:r>
    </w:p>
    <w:p>
      <w:pPr>
        <w:shd w:fill="F5F5F5" w:val="clear"/>
        <w:spacing w:after="60" w:before="60"/>
        <w:ind w:left="360"/>
      </w:pPr>
      <w:r>
        <w:rPr>
          <w:rFonts w:ascii="Courier New" w:cs="Courier New" w:eastAsia="Courier New" w:hAnsi="Courier New"/>
          <w:sz w:val="18"/>
          <w:szCs w:val="18"/>
        </w:rPr>
        <w:t xml:space="preserve">We are NOT a pest control company. Calls placed through this</w:t>
      </w:r>
    </w:p>
    <w:p>
      <w:pPr>
        <w:shd w:fill="F5F5F5" w:val="clear"/>
        <w:spacing w:after="60" w:before="60"/>
        <w:ind w:left="360"/>
      </w:pPr>
      <w:r>
        <w:rPr>
          <w:rFonts w:ascii="Courier New" w:cs="Courier New" w:eastAsia="Courier New" w:hAnsi="Courier New"/>
          <w:sz w:val="18"/>
          <w:szCs w:val="18"/>
        </w:rPr>
        <w:t xml:space="preserve">website may be recorded for quality assurance. By calling the</w:t>
      </w:r>
    </w:p>
    <w:p>
      <w:pPr>
        <w:shd w:fill="F5F5F5" w:val="clear"/>
        <w:spacing w:after="60" w:before="60"/>
        <w:ind w:left="360"/>
      </w:pPr>
      <w:r>
        <w:rPr>
          <w:rFonts w:ascii="Courier New" w:cs="Courier New" w:eastAsia="Courier New" w:hAnsi="Courier New"/>
          <w:sz w:val="18"/>
          <w:szCs w:val="18"/>
        </w:rPr>
        <w:t xml:space="preserve">number on this page, you consent to potential call recording</w:t>
      </w:r>
    </w:p>
    <w:p>
      <w:pPr>
        <w:shd w:fill="F5F5F5" w:val="clear"/>
        <w:spacing w:after="60" w:before="60"/>
        <w:ind w:left="360"/>
      </w:pPr>
      <w:r>
        <w:rPr>
          <w:rFonts w:ascii="Courier New" w:cs="Courier New" w:eastAsia="Courier New" w:hAnsi="Courier New"/>
          <w:sz w:val="18"/>
          <w:szCs w:val="18"/>
        </w:rPr>
        <w:t xml:space="preserve">and acknowledge your call may be directed to a third-party</w:t>
      </w:r>
    </w:p>
    <w:p>
      <w:pPr>
        <w:shd w:fill="F5F5F5" w:val="clear"/>
        <w:spacing w:after="60" w:before="60"/>
        <w:ind w:left="360"/>
      </w:pPr>
      <w:r>
        <w:rPr>
          <w:rFonts w:ascii="Courier New" w:cs="Courier New" w:eastAsia="Courier New" w:hAnsi="Courier New"/>
          <w:sz w:val="18"/>
          <w:szCs w:val="18"/>
        </w:rPr>
        <w:t xml:space="preserve">service provider. Participating providers are independent</w:t>
      </w:r>
    </w:p>
    <w:p>
      <w:pPr>
        <w:shd w:fill="F5F5F5" w:val="clear"/>
        <w:spacing w:after="60" w:before="60"/>
        <w:ind w:left="360"/>
      </w:pPr>
      <w:r>
        <w:rPr>
          <w:rFonts w:ascii="Courier New" w:cs="Courier New" w:eastAsia="Courier New" w:hAnsi="Courier New"/>
          <w:sz w:val="18"/>
          <w:szCs w:val="18"/>
        </w:rPr>
        <w:t xml:space="preserve">businesses solely responsible for their services.</w:t>
      </w:r>
    </w:p>
    <w:p>
      <w:pPr>
        <w:shd w:fill="F5F5F5" w:val="clear"/>
        <w:spacing w:after="60" w:before="60"/>
        <w:ind w:left="360"/>
      </w:pPr>
      <w:r>
        <w:rPr>
          <w:rFonts w:ascii="Courier New" w:cs="Courier New" w:eastAsia="Courier New" w:hAnsi="Courier New"/>
          <w:sz w:val="18"/>
          <w:szCs w:val="18"/>
        </w:rPr>
        <w:t xml:space="preserve"/>
      </w:r>
    </w:p>
    <w:p>
      <w:pPr>
        <w:shd w:fill="F5F5F5" w:val="clear"/>
        <w:spacing w:after="60" w:before="60"/>
        <w:ind w:left="360"/>
      </w:pPr>
      <w:r>
        <w:rPr>
          <w:rFonts w:ascii="Courier New" w:cs="Courier New" w:eastAsia="Courier New" w:hAnsi="Courier New"/>
          <w:sz w:val="18"/>
          <w:szCs w:val="18"/>
        </w:rPr>
        <w:t xml:space="preserve">[Privacy Policy] | [Terms of Service] |</w:t>
      </w:r>
    </w:p>
    <w:p>
      <w:pPr>
        <w:shd w:fill="F5F5F5" w:val="clear"/>
        <w:spacing w:after="60" w:before="60"/>
        <w:ind w:left="360"/>
      </w:pPr>
      <w:r>
        <w:rPr>
          <w:rFonts w:ascii="Courier New" w:cs="Courier New" w:eastAsia="Courier New" w:hAnsi="Courier New"/>
          <w:sz w:val="18"/>
          <w:szCs w:val="18"/>
        </w:rPr>
        <w:t xml:space="preserve">[Do Not Sell My Personal Information]</w:t>
      </w:r>
    </w:p>
    <w:p>
      <w:pPr>
        <w:spacing w:after="120"/>
      </w:pPr>
      <w:r>
        <w:rPr>
          <w:rFonts w:ascii="Arial" w:cs="Arial" w:eastAsia="Arial" w:hAnsi="Arial"/>
          <w:b/>
          <w:bCs/>
          <w:sz w:val="22"/>
          <w:szCs w:val="22"/>
        </w:rPr>
        <w:t xml:space="preserve">2. Privacy Policy </w:t>
      </w:r>
      <w:r>
        <w:rPr>
          <w:rFonts w:ascii="Arial" w:cs="Arial" w:eastAsia="Arial" w:hAnsi="Arial"/>
          <w:sz w:val="22"/>
          <w:szCs w:val="22"/>
        </w:rPr>
        <w:t xml:space="preserve">(linked from footer, separate page) must cover:</w:t>
      </w:r>
    </w:p>
    <w:p>
      <w:pPr>
        <w:pStyle w:val="ListParagraph"/>
        <w:numPr>
          <w:ilvl w:val="0"/>
          <w:numId w:val="2"/>
        </w:numPr>
      </w:pPr>
      <w:r>
        <w:rPr>
          <w:rFonts w:ascii="Arial" w:cs="Arial" w:eastAsia="Arial" w:hAnsi="Arial"/>
          <w:sz w:val="22"/>
          <w:szCs w:val="22"/>
        </w:rPr>
        <w:t xml:space="preserve">DNI call tracking technology explanation and what data is collected (phone numbers, call duration, IP addresses, browsing data, UTM parameters)</w:t>
      </w:r>
    </w:p>
    <w:p>
      <w:pPr>
        <w:pStyle w:val="ListParagraph"/>
        <w:numPr>
          <w:ilvl w:val="0"/>
          <w:numId w:val="2"/>
        </w:numPr>
      </w:pPr>
      <w:r>
        <w:rPr>
          <w:rFonts w:ascii="Arial" w:cs="Arial" w:eastAsia="Arial" w:hAnsi="Arial"/>
          <w:sz w:val="22"/>
          <w:szCs w:val="22"/>
        </w:rPr>
        <w:t xml:space="preserve">Third-party sharing with MarketCall, advertisers, and analytics providers</w:t>
      </w:r>
    </w:p>
    <w:p>
      <w:pPr>
        <w:pStyle w:val="ListParagraph"/>
        <w:numPr>
          <w:ilvl w:val="0"/>
          <w:numId w:val="2"/>
        </w:numPr>
      </w:pPr>
      <w:r>
        <w:rPr>
          <w:rFonts w:ascii="Arial" w:cs="Arial" w:eastAsia="Arial" w:hAnsi="Arial"/>
          <w:sz w:val="22"/>
          <w:szCs w:val="22"/>
        </w:rPr>
        <w:t xml:space="preserve">Consumer rights by state (CCPA/CPRA for California, VCDPA for Virginia, CPA for Colorado, CTDPA for Connecticut)</w:t>
      </w:r>
    </w:p>
    <w:p>
      <w:pPr>
        <w:pStyle w:val="ListParagraph"/>
        <w:numPr>
          <w:ilvl w:val="0"/>
          <w:numId w:val="2"/>
        </w:numPr>
      </w:pPr>
      <w:r>
        <w:rPr>
          <w:rFonts w:ascii="Arial" w:cs="Arial" w:eastAsia="Arial" w:hAnsi="Arial"/>
          <w:sz w:val="22"/>
          <w:szCs w:val="22"/>
        </w:rPr>
        <w:t xml:space="preserve">Data retention periods (5-year consent record retention per TSR requirement since March 2024)</w:t>
      </w:r>
    </w:p>
    <w:p>
      <w:pPr>
        <w:pStyle w:val="ListParagraph"/>
        <w:numPr>
          <w:ilvl w:val="0"/>
          <w:numId w:val="2"/>
        </w:numPr>
      </w:pPr>
      <w:r>
        <w:rPr>
          <w:rFonts w:ascii="Arial" w:cs="Arial" w:eastAsia="Arial" w:hAnsi="Arial"/>
          <w:sz w:val="22"/>
          <w:szCs w:val="22"/>
        </w:rPr>
        <w:t xml:space="preserve">California CCPA/CPRA: requires 'Do Not Sell or Share My Personal Information' link if business meets CCPA thresholds</w:t>
      </w:r>
    </w:p>
    <w:p>
      <w:pPr>
        <w:spacing w:after="120"/>
      </w:pPr>
      <w:r>
        <w:rPr>
          <w:rFonts w:ascii="Arial" w:cs="Arial" w:eastAsia="Arial" w:hAnsi="Arial"/>
          <w:b/>
          <w:bCs/>
          <w:sz w:val="22"/>
          <w:szCs w:val="22"/>
        </w:rPr>
        <w:t xml:space="preserve">3. Terms of Service </w:t>
      </w:r>
      <w:r>
        <w:rPr>
          <w:rFonts w:ascii="Arial" w:cs="Arial" w:eastAsia="Arial" w:hAnsi="Arial"/>
          <w:sz w:val="22"/>
          <w:szCs w:val="22"/>
        </w:rPr>
        <w:t xml:space="preserve">(linked from footer, separate page) must state:</w:t>
      </w:r>
    </w:p>
    <w:p>
      <w:pPr>
        <w:pStyle w:val="ListParagraph"/>
        <w:numPr>
          <w:ilvl w:val="0"/>
          <w:numId w:val="2"/>
        </w:numPr>
      </w:pPr>
      <w:r>
        <w:rPr>
          <w:rFonts w:ascii="Arial" w:cs="Arial" w:eastAsia="Arial" w:hAnsi="Arial"/>
          <w:sz w:val="22"/>
          <w:szCs w:val="22"/>
        </w:rPr>
        <w:t xml:space="preserve">The site is a lead generation/referral service, not the service provider itself</w:t>
      </w:r>
    </w:p>
    <w:p>
      <w:pPr>
        <w:pStyle w:val="ListParagraph"/>
        <w:numPr>
          <w:ilvl w:val="0"/>
          <w:numId w:val="2"/>
        </w:numPr>
      </w:pPr>
      <w:r>
        <w:rPr>
          <w:rFonts w:ascii="Arial" w:cs="Arial" w:eastAsia="Arial" w:hAnsi="Arial"/>
          <w:sz w:val="22"/>
          <w:szCs w:val="22"/>
        </w:rPr>
        <w:t xml:space="preserve">Calls are routed to third-party businesses through MarketCall's network</w:t>
      </w:r>
    </w:p>
    <w:p>
      <w:pPr>
        <w:pStyle w:val="ListParagraph"/>
        <w:numPr>
          <w:ilvl w:val="0"/>
          <w:numId w:val="2"/>
        </w:numPr>
      </w:pPr>
      <w:r>
        <w:rPr>
          <w:rFonts w:ascii="Arial" w:cs="Arial" w:eastAsia="Arial" w:hAnsi="Arial"/>
          <w:sz w:val="22"/>
          <w:szCs w:val="22"/>
        </w:rPr>
        <w:t xml:space="preserve">No guarantee of service quality, pricing, or availability from connected providers</w:t>
      </w:r>
    </w:p>
    <w:p>
      <w:pPr>
        <w:pStyle w:val="ListParagraph"/>
        <w:numPr>
          <w:ilvl w:val="0"/>
          <w:numId w:val="2"/>
        </w:numPr>
      </w:pPr>
      <w:r>
        <w:rPr>
          <w:rFonts w:ascii="Arial" w:cs="Arial" w:eastAsia="Arial" w:hAnsi="Arial"/>
          <w:sz w:val="22"/>
          <w:szCs w:val="22"/>
        </w:rPr>
        <w:t xml:space="preserve">Consumer is under no obligation to use any connected provider</w:t>
      </w:r>
    </w:p>
    <w:p>
      <w:pPr>
        <w:spacing w:after="120"/>
      </w:pPr>
      <w:r>
        <w:rPr>
          <w:rFonts w:ascii="Arial" w:cs="Arial" w:eastAsia="Arial" w:hAnsi="Arial"/>
          <w:b/>
          <w:bCs/>
          <w:sz w:val="22"/>
          <w:szCs w:val="22"/>
        </w:rPr>
        <w:t xml:space="preserve">4. Call Recording Disclosure Badge </w:t>
      </w:r>
      <w:r>
        <w:rPr>
          <w:rFonts w:ascii="Arial" w:cs="Arial" w:eastAsia="Arial" w:hAnsi="Arial"/>
          <w:sz w:val="22"/>
          <w:szCs w:val="22"/>
        </w:rPr>
        <w:t xml:space="preserve">(displayed near every click-to-call CTA):</w:t>
      </w:r>
    </w:p>
    <w:p>
      <w:pPr>
        <w:spacing w:after="120"/>
      </w:pPr>
      <w:r>
        <w:rPr>
          <w:rFonts w:ascii="Arial" w:cs="Arial" w:eastAsia="Arial" w:hAnsi="Arial"/>
          <w:sz w:val="22"/>
          <w:szCs w:val="22"/>
        </w:rPr>
        <w:t xml:space="preserve">A small badge or text line immediately adjacent to every phone number and click-to-call button stating: 'Calls may be recorded for quality assurance.' This must be visible without scrolling whenever a CTA is visible.</w:t>
      </w:r>
    </w:p>
    <w:p>
      <w:pPr>
        <w:pStyle w:val="Heading3"/>
      </w:pPr>
      <w:r>
        <w:rPr>
          <w:rFonts w:ascii="Arial" w:cs="Arial" w:eastAsia="Arial" w:hAnsi="Arial"/>
        </w:rPr>
        <w:t xml:space="preserve">24.5.4 Liability Chain in Pay-Per-Call</w:t>
      </w:r>
    </w:p>
    <w:p>
      <w:pPr>
        <w:spacing w:after="120"/>
      </w:pPr>
      <w:r>
        <w:rPr>
          <w:rFonts w:ascii="Arial" w:cs="Arial" w:eastAsia="Arial" w:hAnsi="Arial"/>
          <w:sz w:val="22"/>
          <w:szCs w:val="22"/>
        </w:rPr>
        <w:t xml:space="preserve">Under TCPA case law, liability extends to any party on whose behalf a call was made. In Anthony v. Federal Savings Bank (September 2025), a bank faced $3.3 billion in potential exposure from lead generator calls. Georgia SB 73 (2024) establishes vicarious liability even without knowledge of violations.</w:t>
      </w:r>
    </w:p>
    <w:p>
      <w:pPr>
        <w:spacing w:after="120"/>
      </w:pPr>
      <w:r>
        <w:rPr>
          <w:rFonts w:ascii="Arial" w:cs="Arial" w:eastAsia="Arial" w:hAnsi="Arial"/>
          <w:b/>
          <w:bCs/>
          <w:sz w:val="22"/>
          <w:szCs w:val="22"/>
        </w:rPr>
        <w:t xml:space="preserve">CallForge's position (lower risk): </w:t>
      </w:r>
      <w:r>
        <w:rPr>
          <w:rFonts w:ascii="Arial" w:cs="Arial" w:eastAsia="Arial" w:hAnsi="Arial"/>
          <w:sz w:val="22"/>
          <w:szCs w:val="22"/>
        </w:rPr>
        <w:t xml:space="preserve">Consumer-initiated inbound calls, no ATDS/robocalling, TSR general media exemption applies, no DNC scrubbing needed for inbound.</w:t>
      </w:r>
    </w:p>
    <w:p>
      <w:pPr>
        <w:spacing w:after="120"/>
      </w:pPr>
      <w:r>
        <w:rPr>
          <w:rFonts w:ascii="Arial" w:cs="Arial" w:eastAsia="Arial" w:hAnsi="Arial"/>
          <w:b/>
          <w:bCs/>
          <w:sz w:val="22"/>
          <w:szCs w:val="22"/>
        </w:rPr>
        <w:t xml:space="preserve">CallForge's position (higher risk): </w:t>
      </w:r>
      <w:r>
        <w:rPr>
          <w:rFonts w:ascii="Arial" w:cs="Arial" w:eastAsia="Arial" w:hAnsi="Arial"/>
          <w:sz w:val="22"/>
          <w:szCs w:val="22"/>
        </w:rPr>
        <w:t xml:space="preserve">Call recording without proper disclosure (especially FL, CA, PA, WA), landing pages that obscure who the consumer is actually calling, data sharing with MarketCall potentially triggering CCPA 'sale' classification, potential state telemarketing registration requirements in 32-34 states.</w:t>
      </w:r>
    </w:p>
    <w:p>
      <w:pPr>
        <w:pStyle w:val="Heading3"/>
      </w:pPr>
      <w:r>
        <w:rPr>
          <w:rFonts w:ascii="Arial" w:cs="Arial" w:eastAsia="Arial" w:hAnsi="Arial"/>
        </w:rPr>
        <w:t xml:space="preserve">24.5.5 Contract Provisions with MarketCall</w:t>
      </w:r>
    </w:p>
    <w:p>
      <w:pPr>
        <w:spacing w:after="120"/>
      </w:pPr>
      <w:r>
        <w:rPr>
          <w:rFonts w:ascii="Arial" w:cs="Arial" w:eastAsia="Arial" w:hAnsi="Arial"/>
          <w:sz w:val="22"/>
          <w:szCs w:val="22"/>
        </w:rPr>
        <w:t xml:space="preserve">Essential contract provisions to negotiate with MarketCall before scaling:</w:t>
      </w:r>
    </w:p>
    <w:p>
      <w:pPr>
        <w:pStyle w:val="ListParagraph"/>
        <w:numPr>
          <w:ilvl w:val="0"/>
          <w:numId w:val="2"/>
        </w:numPr>
      </w:pPr>
      <w:r>
        <w:rPr>
          <w:rFonts w:ascii="Arial" w:cs="Arial" w:eastAsia="Arial" w:hAnsi="Arial"/>
          <w:sz w:val="22"/>
          <w:szCs w:val="22"/>
        </w:rPr>
        <w:t xml:space="preserve">Mutual indemnification for TCPA/state law violations</w:t>
      </w:r>
    </w:p>
    <w:p>
      <w:pPr>
        <w:pStyle w:val="ListParagraph"/>
        <w:numPr>
          <w:ilvl w:val="0"/>
          <w:numId w:val="2"/>
        </w:numPr>
      </w:pPr>
      <w:r>
        <w:rPr>
          <w:rFonts w:ascii="Arial" w:cs="Arial" w:eastAsia="Arial" w:hAnsi="Arial"/>
          <w:sz w:val="22"/>
          <w:szCs w:val="22"/>
        </w:rPr>
        <w:t xml:space="preserve">Compliance warranties that MarketCall's IVR and call handling meets two-party consent requirements</w:t>
      </w:r>
    </w:p>
    <w:p>
      <w:pPr>
        <w:pStyle w:val="ListParagraph"/>
        <w:numPr>
          <w:ilvl w:val="0"/>
          <w:numId w:val="2"/>
        </w:numPr>
      </w:pPr>
      <w:r>
        <w:rPr>
          <w:rFonts w:ascii="Arial" w:cs="Arial" w:eastAsia="Arial" w:hAnsi="Arial"/>
          <w:sz w:val="22"/>
          <w:szCs w:val="22"/>
        </w:rPr>
        <w:t xml:space="preserve">5-year consent record retention (TSR requirement since March 2024)</w:t>
      </w:r>
    </w:p>
    <w:p>
      <w:pPr>
        <w:pStyle w:val="ListParagraph"/>
        <w:numPr>
          <w:ilvl w:val="0"/>
          <w:numId w:val="2"/>
        </w:numPr>
      </w:pPr>
      <w:r>
        <w:rPr>
          <w:rFonts w:ascii="Arial" w:cs="Arial" w:eastAsia="Arial" w:hAnsi="Arial"/>
          <w:sz w:val="22"/>
          <w:szCs w:val="22"/>
        </w:rPr>
        <w:t xml:space="preserve">Audit rights to verify downstream call handling compliance</w:t>
      </w:r>
    </w:p>
    <w:p>
      <w:pPr>
        <w:pStyle w:val="ListParagraph"/>
        <w:numPr>
          <w:ilvl w:val="0"/>
          <w:numId w:val="2"/>
        </w:numPr>
      </w:pPr>
      <w:r>
        <w:rPr>
          <w:rFonts w:ascii="Arial" w:cs="Arial" w:eastAsia="Arial" w:hAnsi="Arial"/>
          <w:sz w:val="22"/>
          <w:szCs w:val="22"/>
        </w:rPr>
        <w:t xml:space="preserve">Right to terminate for compliance failures</w:t>
      </w:r>
    </w:p>
    <w:p>
      <w:pPr>
        <w:pStyle w:val="Heading3"/>
      </w:pPr>
      <w:r>
        <w:rPr>
          <w:rFonts w:ascii="Arial" w:cs="Arial" w:eastAsia="Arial" w:hAnsi="Arial"/>
        </w:rPr>
        <w:t xml:space="preserve">24.5.6 State Registration Consideration</w:t>
      </w:r>
    </w:p>
    <w:p>
      <w:pPr>
        <w:spacing w:after="120"/>
      </w:pPr>
      <w:r>
        <w:rPr>
          <w:rFonts w:ascii="Arial" w:cs="Arial" w:eastAsia="Arial" w:hAnsi="Arial"/>
          <w:sz w:val="22"/>
          <w:szCs w:val="22"/>
        </w:rPr>
        <w:t xml:space="preserve">Approximately 32-34 states plus DC require telemarketer registration. Several states (Delaware, Kentucky, New York, Pennsylvania, Vermont, West Virginia) define covered entities to include those who receive telephone calls from customers for commercial purposes, which potentially captures CallForge's inbound model. Consult a TCPA attorney to determine specific registration obligations before scaling to multiple states. Budget $2,000-5,000 for an initial legal review covering the first 10 target states.</w:t>
      </w:r>
    </w:p>
    <w:p>
      <w:pPr>
        <w:pStyle w:val="Heading3"/>
      </w:pPr>
      <w:r>
        <w:rPr>
          <w:rFonts w:ascii="Arial" w:cs="Arial" w:eastAsia="Arial" w:hAnsi="Arial"/>
        </w:rPr>
        <w:t xml:space="preserve">24.5.7 TCPA Insurance</w:t>
      </w:r>
    </w:p>
    <w:p>
      <w:pPr>
        <w:spacing w:after="120"/>
      </w:pPr>
      <w:r>
        <w:rPr>
          <w:rFonts w:ascii="Arial" w:cs="Arial" w:eastAsia="Arial" w:hAnsi="Arial"/>
          <w:sz w:val="22"/>
          <w:szCs w:val="22"/>
        </w:rPr>
        <w:t xml:space="preserve">TCPA insurance is extremely difficult to obtain. Most CGL/E&amp;O/D&amp;O policies now explicitly exclude TCPA claims. Work with specialty brokers like DOXA Insurance for dedicated coverage ($15,000-$50,000+ annually for $1M-$5M). Given the inbound-only model, this becomes a priority only after the system is generating meaningful revenue.</w:t>
      </w:r>
    </w:p>
    <w:p>
      <w:r>
        <w:br w:type="page"/>
      </w:r>
    </w:p>
    <w:p>
      <w:pPr>
        <w:pStyle w:val="Heading2"/>
      </w:pPr>
      <w:r>
        <w:rPr>
          <w:rFonts w:ascii="Arial" w:cs="Arial" w:eastAsia="Arial" w:hAnsi="Arial"/>
        </w:rPr>
        <w:t xml:space="preserve">24.6 Implementation Sequence for Production Hardening</w:t>
      </w:r>
    </w:p>
    <w:p>
      <w:pPr>
        <w:spacing w:after="120"/>
      </w:pPr>
      <w:r>
        <w:rPr>
          <w:rFonts w:ascii="Arial" w:cs="Arial" w:eastAsia="Arial" w:hAnsi="Arial"/>
          <w:sz w:val="22"/>
          <w:szCs w:val="22"/>
        </w:rPr>
        <w:t xml:space="preserve">These five subsystems are interdependent and must be implemented in a specific order relative to the Sprint 1 plan in Section 22.3: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 Timing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 Schema Registry + Self-Correction (24.1)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cascading agent failures from day one. Every DB write flows through 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1 (with data layer)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DLQ Schema + Manager (24.3)</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Must exist before any agent can fail gracefully. Deploy alongside agent_tasks table.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Sprint 1 (with data layer)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Bottleneck Rate Limiters + Fallback Router (24.2)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before agents begin making CLI calls. Configure per-provider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1 (with orchestrator)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Landing Page Legal Templates (24.5)</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Must be built into Hugo templates before any city page goes live.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Sprint 5 (with Agent 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Velocity Controls + Kill Switch (24.4)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throttled rollout calendar. Gate new deployments on indexation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5 (with Agent 3)</w:t>
            </w:r>
          </w:p>
        </w:tc>
      </w:tr>
    </w:tbl>
    <w:p>
      <w:pPr>
        <w:spacing w:after="120"/>
      </w:pPr>
      <w:r>
        <w:rPr>
          <w:rFonts w:ascii="Arial" w:cs="Arial" w:eastAsia="Arial" w:hAnsi="Arial"/>
          <w:sz w:val="22"/>
          <w:szCs w:val="22"/>
        </w:rPr>
        <w:t xml:space="preserve"/>
      </w:r>
    </w:p>
    <w:p>
      <w:pPr>
        <w:pStyle w:val="Heading3"/>
      </w:pPr>
      <w:r>
        <w:rPr>
          <w:rFonts w:ascii="Arial" w:cs="Arial" w:eastAsia="Arial" w:hAnsi="Arial"/>
        </w:rPr>
        <w:t xml:space="preserve">24.6.1 Updates to CLAUDE.md</w:t>
      </w:r>
    </w:p>
    <w:p>
      <w:pPr>
        <w:spacing w:after="120"/>
      </w:pPr>
      <w:r>
        <w:rPr>
          <w:rFonts w:ascii="Arial" w:cs="Arial" w:eastAsia="Arial" w:hAnsi="Arial"/>
          <w:sz w:val="22"/>
          <w:szCs w:val="22"/>
        </w:rPr>
        <w:t xml:space="preserve">Add the following to the CLAUDE.md Working Agreements section defined in Section 22.1:</w:t>
      </w:r>
    </w:p>
    <w:p>
      <w:pPr>
        <w:pStyle w:val="ListParagraph"/>
        <w:numPr>
          <w:ilvl w:val="0"/>
          <w:numId w:val="2"/>
        </w:numPr>
      </w:pPr>
      <w:r>
        <w:rPr>
          <w:rFonts w:ascii="Arial" w:cs="Arial" w:eastAsia="Arial" w:hAnsi="Arial"/>
          <w:sz w:val="22"/>
          <w:szCs w:val="22"/>
        </w:rPr>
        <w:t xml:space="preserve">Every database write must pass through the corresponding Zod schema in /src/shared/schemas/. No exceptions.</w:t>
      </w:r>
    </w:p>
    <w:p>
      <w:pPr>
        <w:pStyle w:val="ListParagraph"/>
        <w:numPr>
          <w:ilvl w:val="0"/>
          <w:numId w:val="2"/>
        </w:numPr>
      </w:pPr>
      <w:r>
        <w:rPr>
          <w:rFonts w:ascii="Arial" w:cs="Arial" w:eastAsia="Arial" w:hAnsi="Arial"/>
          <w:sz w:val="22"/>
          <w:szCs w:val="22"/>
        </w:rPr>
        <w:t xml:space="preserve">All LLM CLI invocations must use the callLLMWithValidation() wrapper, never raw execFile() calls.</w:t>
      </w:r>
    </w:p>
    <w:p>
      <w:pPr>
        <w:pStyle w:val="ListParagraph"/>
        <w:numPr>
          <w:ilvl w:val="0"/>
          <w:numId w:val="2"/>
        </w:numPr>
      </w:pPr>
      <w:r>
        <w:rPr>
          <w:rFonts w:ascii="Arial" w:cs="Arial" w:eastAsia="Arial" w:hAnsi="Arial"/>
          <w:sz w:val="22"/>
          <w:szCs w:val="22"/>
        </w:rPr>
        <w:t xml:space="preserve">The DLQ manager must be checked before scheduling any task in the orchestrator.</w:t>
      </w:r>
    </w:p>
    <w:p>
      <w:pPr>
        <w:pStyle w:val="ListParagraph"/>
        <w:numPr>
          <w:ilvl w:val="0"/>
          <w:numId w:val="2"/>
        </w:numPr>
      </w:pPr>
      <w:r>
        <w:rPr>
          <w:rFonts w:ascii="Arial" w:cs="Arial" w:eastAsia="Arial" w:hAnsi="Arial"/>
          <w:sz w:val="22"/>
          <w:szCs w:val="22"/>
        </w:rPr>
        <w:t xml:space="preserve">Content deployment velocity is capped at 3 cities per week, enforced by Bottleneck reservoir.</w:t>
      </w:r>
    </w:p>
    <w:p>
      <w:pPr>
        <w:pStyle w:val="ListParagraph"/>
        <w:numPr>
          <w:ilvl w:val="0"/>
          <w:numId w:val="2"/>
        </w:numPr>
      </w:pPr>
      <w:r>
        <w:rPr>
          <w:rFonts w:ascii="Arial" w:cs="Arial" w:eastAsia="Arial" w:hAnsi="Arial"/>
          <w:sz w:val="22"/>
          <w:szCs w:val="22"/>
        </w:rPr>
        <w:t xml:space="preserve">Every landing page template must include all four legal disclosure elements from Section 24.5.3.</w:t>
      </w:r>
    </w:p>
    <w:p>
      <w:pPr>
        <w:pStyle w:val="Heading3"/>
      </w:pPr>
      <w:r>
        <w:rPr>
          <w:rFonts w:ascii="Arial" w:cs="Arial" w:eastAsia="Arial" w:hAnsi="Arial"/>
        </w:rPr>
        <w:t xml:space="preserve">24.6.2 Updates to Risk Register</w:t>
      </w:r>
    </w:p>
    <w:p>
      <w:pPr>
        <w:spacing w:after="120"/>
      </w:pPr>
      <w:r>
        <w:rPr>
          <w:rFonts w:ascii="Arial" w:cs="Arial" w:eastAsia="Arial" w:hAnsi="Arial"/>
          <w:sz w:val="22"/>
          <w:szCs w:val="22"/>
        </w:rPr>
        <w:t xml:space="preserve">Add the following entries to the Risk Register in Section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hallucination corrupts shared data layer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3-layer Zod validation with self-correction loops (24.1). Corrupted writes never reach PostgreSQL.</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 rate limit exhaustion stalls pipeline</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Bottleneck rate limiters with 5-provider fallback cascade and opossum circuit breakers (24.2).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Poisoned task causes infinite retry loop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DLQ with error classification catches permanent failures after 3 retries. Orchestrator checks DLQ before scheduling (24.3).</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Google flags programmatic city pages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Critical</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Throttled rollout (1-3 cities for 45 days), 60% uniqueness threshold, indexation kill switch (24.4).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TCPA/state law violation from call recording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4-element landing page disclosure system, IVR pre-call audio, MarketCall contract provisions (24.5).</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End of Section 24. This section should be read in conjunction with the original PRD Sections 1-23 and the per-agent specification files in /docs/agents/.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CallForge PRD v8</w:t>
    </w:r>
    <w:r>
      <w:rPr>
        <w:rFonts w:ascii="Arial" w:cs="Arial" w:eastAsia="Arial" w:hAnsi="Arial"/>
        <w:color w:val="999999"/>
        <w:sz w:val="18"/>
        <w:szCs w:val="18"/>
      </w:rPr>
      <w:t xml:space="preserve">	Production Hardening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2026-02-24T03:03:13.370Z</dcterms:created>
  <dcterms:modified xsi:type="dcterms:W3CDTF">2026-02-24T03:03:13.371Z</dcterms:modified>
</cp:coreProperties>
</file>

<file path=docProps/custom.xml><?xml version="1.0" encoding="utf-8"?>
<Properties xmlns="http://schemas.openxmlformats.org/officeDocument/2006/custom-properties" xmlns:vt="http://schemas.openxmlformats.org/officeDocument/2006/docPropsVTypes"/>
</file>