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Product Testing Plan (PTP)</w:t>
      </w:r>
    </w:p>
    <w:p>
      <w:r>
        <w:br/>
      </w:r>
    </w:p>
    <w:p>
      <w:pPr>
        <w:pStyle w:val="Title"/>
        <w:jc w:val="center"/>
      </w:pPr>
      <w:r>
        <w:t>dc port</w:t>
      </w:r>
    </w:p>
    <w:p>
      <w:pPr>
        <w:jc w:val="center"/>
      </w:pPr>
      <w:r>
        <w:t>Type: Testing</w:t>
      </w:r>
    </w:p>
    <w:p>
      <w:pPr>
        <w:jc w:val="center"/>
      </w:pPr>
      <w:r>
        <w:t>Application: Automotive</w:t>
      </w:r>
    </w:p>
    <w:p>
      <w:pPr>
        <w:jc w:val="center"/>
      </w:pPr>
      <w:r>
        <w:t>Document Version: 1.0</w:t>
      </w:r>
    </w:p>
    <w:p>
      <w:pPr>
        <w:jc w:val="center"/>
      </w:pPr>
      <w:r>
        <w:t>Date: 2026-02-02</w:t>
      </w:r>
    </w:p>
    <w:p>
      <w:r>
        <w:br w:type="page"/>
      </w:r>
    </w:p>
    <w:p>
      <w:pPr>
        <w:pStyle w:val="Heading1"/>
      </w:pPr>
      <w:r>
        <w:t>1. Introduction</w:t>
      </w:r>
    </w:p>
    <w:p>
      <w:r>
        <w:t>This document outlines the Product Testing Plan for the dc port Testing. The purpose of this plan is to define the testing strategy and procedures to verify that the product meets all specified requirements for Automotive application.</w:t>
      </w:r>
    </w:p>
    <w:p>
      <w:pPr>
        <w:pStyle w:val="Heading2"/>
      </w:pPr>
      <w:r>
        <w:t>1.1 Component Details</w:t>
      </w:r>
    </w:p>
    <w:tbl>
      <w:tblPr>
        <w:tblStyle w:val="TableGrid"/>
        <w:tblW w:type="auto" w:w="0"/>
        <w:tblLook w:firstColumn="1" w:firstRow="1" w:lastColumn="0" w:lastRow="0" w:noHBand="0" w:noVBand="1" w:val="04A0"/>
      </w:tblPr>
      <w:tblGrid>
        <w:gridCol w:w="2880"/>
        <w:gridCol w:w="6480"/>
      </w:tblGrid>
      <w:tr>
        <w:tc>
          <w:tcPr>
            <w:tcW w:type="dxa" w:w="2880"/>
          </w:tcPr>
          <w:p>
            <w:r>
              <w:t>Component Name</w:t>
            </w:r>
          </w:p>
        </w:tc>
        <w:tc>
          <w:tcPr>
            <w:tcW w:type="dxa" w:w="6480"/>
          </w:tcPr>
          <w:p>
            <w:r>
              <w:t>dc port</w:t>
            </w:r>
          </w:p>
        </w:tc>
      </w:tr>
      <w:tr>
        <w:tc>
          <w:tcPr>
            <w:tcW w:type="dxa" w:w="2880"/>
          </w:tcPr>
          <w:p>
            <w:r>
              <w:t>Component Type</w:t>
            </w:r>
          </w:p>
        </w:tc>
        <w:tc>
          <w:tcPr>
            <w:tcW w:type="dxa" w:w="6480"/>
          </w:tcPr>
          <w:p>
            <w:r>
              <w:t>Testing</w:t>
            </w:r>
          </w:p>
        </w:tc>
      </w:tr>
      <w:tr>
        <w:tc>
          <w:tcPr>
            <w:tcW w:type="dxa" w:w="2880"/>
          </w:tcPr>
          <w:p>
            <w:r>
              <w:t>Application</w:t>
            </w:r>
          </w:p>
        </w:tc>
        <w:tc>
          <w:tcPr>
            <w:tcW w:type="dxa" w:w="6480"/>
          </w:tcPr>
          <w:p>
            <w:r>
              <w:t>Automotive</w:t>
            </w:r>
          </w:p>
        </w:tc>
      </w:tr>
      <w:tr>
        <w:tc>
          <w:tcPr>
            <w:tcW w:type="dxa" w:w="2880"/>
          </w:tcPr>
          <w:p>
            <w:r>
              <w:t>Test Level</w:t>
            </w:r>
          </w:p>
        </w:tc>
        <w:tc>
          <w:tcPr>
            <w:tcW w:type="dxa" w:w="6480"/>
          </w:tcPr>
          <w:p>
            <w:r>
              <w:t>Component</w:t>
            </w:r>
          </w:p>
        </w:tc>
      </w:tr>
      <w:tr>
        <w:tc>
          <w:tcPr>
            <w:tcW w:type="dxa" w:w="2880"/>
          </w:tcPr>
          <w:p>
            <w:r>
              <w:t>Variants</w:t>
            </w:r>
          </w:p>
        </w:tc>
        <w:tc>
          <w:tcPr>
            <w:tcW w:type="dxa" w:w="6480"/>
          </w:tcPr>
          <w:p>
            <w:r/>
          </w:p>
        </w:tc>
      </w:tr>
    </w:tbl>
    <w:p>
      <w:pPr>
        <w:pStyle w:val="Heading1"/>
      </w:pPr>
      <w:r>
        <w:t>2. Test Plan Matrix</w:t>
      </w:r>
    </w:p>
    <w:p>
      <w:r>
        <w:t>The following table details the required tests, procedures, and acceptance criteria.</w:t>
      </w:r>
    </w:p>
    <w:tbl>
      <w:tblPr>
        <w:tblStyle w:val="TableGrid"/>
        <w:tblW w:type="auto" w:w="0"/>
        <w:tblLook w:firstColumn="1" w:firstRow="1" w:lastColumn="0" w:lastRow="0" w:noHBand="0" w:noVBand="1" w:val="04A0"/>
      </w:tblPr>
      <w:tblGrid>
        <w:gridCol w:w="720"/>
        <w:gridCol w:w="2160"/>
        <w:gridCol w:w="3600"/>
        <w:gridCol w:w="2160"/>
        <w:gridCol w:w="720"/>
      </w:tblGrid>
      <w:tr>
        <w:tc>
          <w:tcPr>
            <w:tcW w:type="dxa" w:w="1728"/>
            <w:shd w:fill="366092"/>
          </w:tcPr>
          <w:p>
            <w:r>
              <w:rPr>
                <w:b/>
                <w:color w:val="FFFFFF"/>
              </w:rPr>
              <w:t>ID</w:t>
            </w:r>
          </w:p>
        </w:tc>
        <w:tc>
          <w:tcPr>
            <w:tcW w:type="dxa" w:w="1728"/>
            <w:shd w:fill="366092"/>
          </w:tcPr>
          <w:p>
            <w:r>
              <w:rPr>
                <w:b/>
                <w:color w:val="FFFFFF"/>
              </w:rPr>
              <w:t>Test Description</w:t>
            </w:r>
          </w:p>
        </w:tc>
        <w:tc>
          <w:tcPr>
            <w:tcW w:type="dxa" w:w="1728"/>
            <w:shd w:fill="366092"/>
          </w:tcPr>
          <w:p>
            <w:r>
              <w:rPr>
                <w:b/>
                <w:color w:val="FFFFFF"/>
              </w:rPr>
              <w:t>Test Procedure</w:t>
            </w:r>
          </w:p>
        </w:tc>
        <w:tc>
          <w:tcPr>
            <w:tcW w:type="dxa" w:w="1728"/>
            <w:shd w:fill="366092"/>
          </w:tcPr>
          <w:p>
            <w:r>
              <w:rPr>
                <w:b/>
                <w:color w:val="FFFFFF"/>
              </w:rPr>
              <w:t>Acceptance Criteria</w:t>
            </w:r>
          </w:p>
        </w:tc>
        <w:tc>
          <w:tcPr>
            <w:tcW w:type="dxa" w:w="1728"/>
            <w:shd w:fill="366092"/>
          </w:tcPr>
          <w:p>
            <w:r>
              <w:rPr>
                <w:b/>
                <w:color w:val="FFFFFF"/>
              </w:rPr>
              <w:t>Qty</w:t>
            </w:r>
          </w:p>
        </w:tc>
      </w:tr>
      <w:tr>
        <w:tc>
          <w:tcPr>
            <w:tcW w:type="dxa" w:w="720"/>
          </w:tcPr>
          <w:p>
            <w:r>
              <w:t>B1</w:t>
            </w:r>
          </w:p>
        </w:tc>
        <w:tc>
          <w:tcPr>
            <w:tcW w:type="dxa" w:w="2160"/>
          </w:tcPr>
          <w:p>
            <w:r>
              <w:t>Dust and Water Ingress Protection Test (IP54)</w:t>
            </w:r>
          </w:p>
        </w:tc>
        <w:tc>
          <w:tcPr>
            <w:tcW w:type="dxa" w:w="3600"/>
          </w:tcPr>
          <w:p>
            <w:r>
              <w:t>1. Pre-test Inspection: Perform a full functional check and insulation resistance measurement (&gt;100 MΩ at 500V DC). 2. Dust Test (IP5K): Place the DC port in its design-intended orientation inside a dust chamber. Use A2 fine test dust (Arizona dust) with a concentration of 2 kg/m³. Circulate dust for 8 hours. If the housing is categorized as 'category 1' (underpressure), apply a vacuum of 2 kPa to the enclosure. 3. Intermediate Inspection: Remove the device, wipe the exterior, and check for internal dust accumulation. 4. Water Test (IPX4): Subject the component to a water spray from all practical directions using a spray nozzle (10 L/min ± 5%) or oscillating tube for a duration of 10 minutes. 5. Post-test Evaluation: Dry the exterior surfaces. Perform a functional check (voltage output/continuity) and repeat the insulation resistance measurement. 6. Final Disassembly: Open the housing to inspect for any water or dust ingress that could impair safety or operation.</w:t>
            </w:r>
          </w:p>
        </w:tc>
        <w:tc>
          <w:tcPr>
            <w:tcW w:type="dxa" w:w="2160"/>
          </w:tcPr>
          <w:p>
            <w:r>
              <w:t>No ingress of dust or water shall be found in quantities that could interfere with the correct operation of the equipment or impair safety. Insulation resistance must remain &gt; 100 MΩ post-exposure. No functional degradation or short circuits allowed.</w:t>
            </w:r>
          </w:p>
        </w:tc>
        <w:tc>
          <w:tcPr>
            <w:tcW w:type="dxa" w:w="720"/>
          </w:tcPr>
          <w:p>
            <w:r>
              <w:t>5</w:t>
            </w:r>
          </w:p>
        </w:tc>
      </w:tr>
      <w:tr>
        <w:tc>
          <w:tcPr>
            <w:tcW w:type="dxa" w:w="720"/>
          </w:tcPr>
          <w:p>
            <w:r>
              <w:t>B2</w:t>
            </w:r>
          </w:p>
        </w:tc>
        <w:tc>
          <w:tcPr>
            <w:tcW w:type="dxa" w:w="2160"/>
          </w:tcPr>
          <w:p>
            <w:r>
              <w:t>Incoming Component Inspection and Packaging Integrity Verification</w:t>
            </w:r>
          </w:p>
        </w:tc>
        <w:tc>
          <w:tcPr>
            <w:tcW w:type="dxa" w:w="3600"/>
          </w:tcPr>
          <w:p>
            <w:r>
              <w:t>1. Receipt and Documentation: Upon arrival of the DC port components, document the condition of the shipping containers and external seals. 2. Unpacking: Carefully remove the primary and secondary packaging in a controlled ESD-safe environment. 3. Visual Inspection: Inspect the DC port for any signs of physical damage, contamination, or oxidation on the contact pins using 10x magnification. 4. Dimensional Verification: Measure critical mounting dimensions and connector interface geometry against the component drawing. 5. Functional Acceptance: Perform a basic continuity check between the DC input and output terminals. 6. Packaging Restoration: Re-apply any protective caps to the terminals. Place the component back into its original anti-static and moisture-barrier bags. 7. Resealing: Vacuum-seal or tape the packaging as per the original manufacturer's specification to ensure the environmental protection level (e.g., IPXX rating) is maintained. 8. Labeling: Apply an 'Inspected' status label to the exterior of the packaging.</w:t>
            </w:r>
          </w:p>
        </w:tc>
        <w:tc>
          <w:tcPr>
            <w:tcW w:type="dxa" w:w="2160"/>
          </w:tcPr>
          <w:p>
            <w:r>
              <w:t>The component must show no signs of physical or environmental degradation. All packaging must be restored to a state that provides equivalent protection to the original manufacturer's specifications, ensuring no ingress of dust or moisture.</w:t>
            </w:r>
          </w:p>
        </w:tc>
        <w:tc>
          <w:tcPr>
            <w:tcW w:type="dxa" w:w="720"/>
          </w:tcPr>
          <w:p>
            <w:r>
              <w:t>5</w:t>
            </w:r>
          </w:p>
        </w:tc>
      </w:tr>
      <w:tr>
        <w:tc>
          <w:tcPr>
            <w:tcW w:type="dxa" w:w="720"/>
          </w:tcPr>
          <w:p>
            <w:r>
              <w:t>B3</w:t>
            </w:r>
          </w:p>
        </w:tc>
        <w:tc>
          <w:tcPr>
            <w:tcW w:type="dxa" w:w="2160"/>
          </w:tcPr>
          <w:p>
            <w:r>
              <w:t>Shielding Continuity and Bonding Verification for DC Port Cabling</w:t>
            </w:r>
          </w:p>
        </w:tc>
        <w:tc>
          <w:tcPr>
            <w:tcW w:type="dxa" w:w="3600"/>
          </w:tcPr>
          <w:p>
            <w:r>
              <w:t>1. Preparation: Mount the DC port and its associated IT/data cabling onto a metallic test fixture representing the vehicle's structural bridges or cable trays. 2. Visual Inspection: Identify all points where IT cables are in proximity to metallic bridges without reliable insulation. 3. Bonding Measurement: Using a calibrated micro-ohmmeter (4-wire Kelvin method), measure the DC resistance between the cable screen/armoring and the metallic bridge at both ends of the bridge structure. 4. PEC Verification: Confirm the presence and termination of a Parallel Earth Conductor (PEC) as specified in the design documentation. 5. Environmental Stress: Subject the assembly to a 48-hour damp heat cycle (40°C, 93% RH) to simulate automotive operating environments and check for potential electrolytic corrosion. 6. Post-Test Measurement: Repeat the resistance measurement to ensure electrical continuity remains stable. 7. Corrosion Analysis: Inspect bonding points for signs of electrolytic corrosion, specifically at the interface of dissimilar metals.</w:t>
            </w:r>
          </w:p>
        </w:tc>
        <w:tc>
          <w:tcPr>
            <w:tcW w:type="dxa" w:w="2160"/>
          </w:tcPr>
          <w:p>
            <w:r>
              <w:t>1. Electrical resistance between cable screens/armoring and metallic bridges must be ≤ 10 mΩ at both ends. 2. A Parallel Earth Conductor (PEC) must be present and electrically connected. 3. No evidence of electrolytic corrosion that degrades the electrical connection. 4. Post-environmental resistance must not increase by more than 50% of the initial value.</w:t>
            </w:r>
          </w:p>
        </w:tc>
        <w:tc>
          <w:tcPr>
            <w:tcW w:type="dxa" w:w="720"/>
          </w:tcPr>
          <w:p>
            <w:r>
              <w:t>5</w:t>
            </w:r>
          </w:p>
        </w:tc>
      </w:tr>
      <w:tr>
        <w:tc>
          <w:tcPr>
            <w:tcW w:type="dxa" w:w="720"/>
          </w:tcPr>
          <w:p>
            <w:r>
              <w:t>B4</w:t>
            </w:r>
          </w:p>
        </w:tc>
        <w:tc>
          <w:tcPr>
            <w:tcW w:type="dxa" w:w="2160"/>
          </w:tcPr>
          <w:p>
            <w:r>
              <w:t>Climatic Sequence and Accelerated Aging Verification</w:t>
            </w:r>
          </w:p>
        </w:tc>
        <w:tc>
          <w:tcPr>
            <w:tcW w:type="dxa" w:w="3600"/>
          </w:tcPr>
          <w:p>
            <w:r>
              <w:t>1. Initial Measurement: Perform visual inspection, measure initial contact resistance (per 6.2.5), and insulation resistance (per 6.2.6).</w:t>
              <w:br/>
              <w:t>2. Dry Heat: Subject the component to +85°C for 16 hours (IEC 60068-2-2, Test Bb).</w:t>
              <w:br/>
              <w:t>3. Damp Heat, Cyclic: Subject to 2 cycles of 24 hours each, temperature between 25°C and 55°C at 93% relative humidity (IEC 60068-2-30, Test Db).</w:t>
              <w:br/>
              <w:t>4. Cold: Subject the component to -40°C for 2 hours (IEC 60068-2-1, Test Ab).</w:t>
              <w:br/>
              <w:t>5. Damp Heat, Steady State: Subject to 40°C and 93% RH for 4 days (IEC 60068-2-78, Test Cab).</w:t>
              <w:br/>
              <w:t>6. Recovery: Allow the component to stabilize at room temperature for 2 hours.</w:t>
              <w:br/>
              <w:t>7. Final Verification: Perform visual inspection for cracks or deformation. Measure final contact resistance (6.2.5), insulation resistance (6.2.6), and perform voltage proof test (6.2.2) at 3000V AC for 60s. Measure engaging and separating forces (6.3.4) and verify IP degree of protection (6.4.4).</w:t>
            </w:r>
          </w:p>
        </w:tc>
        <w:tc>
          <w:tcPr>
            <w:tcW w:type="dxa" w:w="2160"/>
          </w:tcPr>
          <w:p>
            <w:r>
              <w:t>1. Appearance: No visible damage, cracking, or corrosion.</w:t>
              <w:br/>
              <w:t>2. Contact Resistance: Change (ΔR) shall not exceed the limits specified in 6.2.5.</w:t>
              <w:br/>
              <w:t>3. Insulation Resistance: Shall meet the minimum requirements of 6.2.6 (&gt;100 MΩ).</w:t>
              <w:br/>
              <w:t>4. Voltage Proof: No breakdown or flashover during the 60s application (6.2.2).</w:t>
              <w:br/>
              <w:t>5. Forces: Engaging and separating forces must remain within the limits defined in 6.3.4.</w:t>
              <w:br/>
              <w:t>6. IP Degree: Must maintain the specified IP rating (e.g., IPXXB/IPXXD or IP67 as applicable) per 6.4.4.</w:t>
            </w:r>
          </w:p>
        </w:tc>
        <w:tc>
          <w:tcPr>
            <w:tcW w:type="dxa" w:w="720"/>
          </w:tcPr>
          <w:p>
            <w:r>
              <w:t>5</w:t>
            </w:r>
          </w:p>
        </w:tc>
      </w:tr>
      <w:tr>
        <w:tc>
          <w:tcPr>
            <w:tcW w:type="dxa" w:w="720"/>
          </w:tcPr>
          <w:p>
            <w:r>
              <w:t>B5</w:t>
            </w:r>
          </w:p>
        </w:tc>
        <w:tc>
          <w:tcPr>
            <w:tcW w:type="dxa" w:w="2160"/>
          </w:tcPr>
          <w:p>
            <w:r>
              <w:t>Climatic Aging and Performance Verification</w:t>
            </w:r>
          </w:p>
        </w:tc>
        <w:tc>
          <w:tcPr>
            <w:tcW w:type="dxa" w:w="3600"/>
          </w:tcPr>
          <w:p>
            <w:r>
              <w:t>1. Initial Inspection: Perform visual inspection and baseline measurements for contact resistance (per IEC 60512-2-1) and mating/unmating forces (per IEC 60512-13-2). 2. Thermal Aging: Place the DC port assembly in a calibrated climatic chamber. Subject the component to a constant temperature of 125°C ± 2°C for a duration of 1000 hours to simulate automotive service life. 3. Recovery: Remove the samples from the chamber and allow them to stabilize at standard laboratory atmospheric conditions (23°C ± 5°C, 45% to 75% RH) for a minimum of 2 hours. 4. Visual Assessment: Inspect for any signs of cracking, melting, or significant discoloration. 5. Insulation Resistance: Apply 500V DC between adjacent contacts and between contacts and the shell for 60 seconds (per clause 6.2.6). 6. Voltage Proof: Apply a test voltage of 2500V AC (50/60Hz) for 60 seconds to ensure no dielectric breakdown or flashover (per clause 6.2.2). 7. Contact Resistance: Measure the low-level contact resistance to ensure electrical path integrity (per clause 6.2.5). 8. Mechanical Force Test: Measure the force required to fully engage and separate the connector pair (per clause 6.3.4).</w:t>
            </w:r>
          </w:p>
        </w:tc>
        <w:tc>
          <w:tcPr>
            <w:tcW w:type="dxa" w:w="2160"/>
          </w:tcPr>
          <w:p>
            <w:r>
              <w:t>1. Appearance: No visible damage, cracks, or functional deformation. 2. Insulation Resistance: Shall exceed 1000 MΩ. 3. Voltage Proof: No breakdown or flashover during the 60s application. 4. Contact Resistance: Shall not exceed the maximum limit specified in the component datasheet (typically &lt; 5 mΩ increase from baseline). 5. Engaging/Separating Forces: Must remain within the specified range (e.g., Engaging &lt; 100N, Separating &gt; 15N and &lt; 100N).</w:t>
            </w:r>
          </w:p>
        </w:tc>
        <w:tc>
          <w:tcPr>
            <w:tcW w:type="dxa" w:w="720"/>
          </w:tcPr>
          <w:p>
            <w:r>
              <w:t>5</w:t>
            </w:r>
          </w:p>
        </w:tc>
      </w:tr>
    </w:tbl>
    <w:p>
      <w:pPr>
        <w:pStyle w:val="Heading1"/>
      </w:pPr>
      <w:r>
        <w:t>3. Requirement Traceability</w:t>
      </w:r>
    </w:p>
    <w:p>
      <w:r>
        <w:t>This section maps test cases to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366092"/>
          </w:tcPr>
          <w:p>
            <w:r>
              <w:rPr>
                <w:b/>
                <w:color w:val="FFFFFF"/>
              </w:rPr>
              <w:t>ID</w:t>
            </w:r>
          </w:p>
        </w:tc>
        <w:tc>
          <w:tcPr>
            <w:tcW w:type="dxa" w:w="2880"/>
            <w:shd w:fill="366092"/>
          </w:tcPr>
          <w:p>
            <w:r>
              <w:rPr>
                <w:b/>
                <w:color w:val="FFFFFF"/>
              </w:rPr>
              <w:t>Requirement ID</w:t>
            </w:r>
          </w:p>
        </w:tc>
        <w:tc>
          <w:tcPr>
            <w:tcW w:type="dxa" w:w="2880"/>
            <w:shd w:fill="366092"/>
          </w:tcPr>
          <w:p>
            <w:r>
              <w:rPr>
                <w:b/>
                <w:color w:val="FFFFFF"/>
              </w:rPr>
              <w:t>Source Standard</w:t>
            </w:r>
          </w:p>
        </w:tc>
      </w:tr>
      <w:tr>
        <w:tc>
          <w:tcPr>
            <w:tcW w:type="dxa" w:w="2880"/>
          </w:tcPr>
          <w:p>
            <w:r>
              <w:t>B1</w:t>
            </w:r>
          </w:p>
        </w:tc>
        <w:tc>
          <w:tcPr>
            <w:tcW w:type="dxa" w:w="2880"/>
          </w:tcPr>
          <w:p>
            <w:r>
              <w:t>BS_EN_50174_3_2013::4.8.3.1::req_4</w:t>
            </w:r>
          </w:p>
        </w:tc>
        <w:tc>
          <w:tcPr>
            <w:tcW w:type="dxa" w:w="2880"/>
          </w:tcPr>
          <w:p>
            <w:r>
              <w:t>BS EN 50174-3:2013 4.8.3.1</w:t>
            </w:r>
          </w:p>
        </w:tc>
      </w:tr>
      <w:tr>
        <w:tc>
          <w:tcPr>
            <w:tcW w:type="dxa" w:w="2880"/>
          </w:tcPr>
          <w:p>
            <w:r>
              <w:t>B2</w:t>
            </w:r>
          </w:p>
        </w:tc>
        <w:tc>
          <w:tcPr>
            <w:tcW w:type="dxa" w:w="2880"/>
          </w:tcPr>
          <w:p>
            <w:r>
              <w:t>BS_EN_50174_3_2013::5.3.1.1::req_2</w:t>
            </w:r>
          </w:p>
        </w:tc>
        <w:tc>
          <w:tcPr>
            <w:tcW w:type="dxa" w:w="2880"/>
          </w:tcPr>
          <w:p>
            <w:r>
              <w:t>BS EN 50174-3:2013 5.3.1.1</w:t>
            </w:r>
          </w:p>
        </w:tc>
      </w:tr>
      <w:tr>
        <w:tc>
          <w:tcPr>
            <w:tcW w:type="dxa" w:w="2880"/>
          </w:tcPr>
          <w:p>
            <w:r>
              <w:t>B3</w:t>
            </w:r>
          </w:p>
        </w:tc>
        <w:tc>
          <w:tcPr>
            <w:tcW w:type="dxa" w:w="2880"/>
          </w:tcPr>
          <w:p>
            <w:r>
              <w:t>BS_EN_50174_3_2013::7.5.4.3::req_1</w:t>
            </w:r>
          </w:p>
        </w:tc>
        <w:tc>
          <w:tcPr>
            <w:tcW w:type="dxa" w:w="2880"/>
          </w:tcPr>
          <w:p>
            <w:r>
              <w:t>BS EN 50174-3:2013 7.5.4.3</w:t>
            </w:r>
          </w:p>
        </w:tc>
      </w:tr>
      <w:tr>
        <w:tc>
          <w:tcPr>
            <w:tcW w:type="dxa" w:w="2880"/>
          </w:tcPr>
          <w:p>
            <w:r>
              <w:t>B4</w:t>
            </w:r>
          </w:p>
        </w:tc>
        <w:tc>
          <w:tcPr>
            <w:tcW w:type="dxa" w:w="2880"/>
          </w:tcPr>
          <w:p>
            <w:r>
              <w:t>IEC_61076_8_103_2023::6.2.4::req_0</w:t>
            </w:r>
          </w:p>
        </w:tc>
        <w:tc>
          <w:tcPr>
            <w:tcW w:type="dxa" w:w="2880"/>
          </w:tcPr>
          <w:p>
            <w:r>
              <w:t>IEC 61076-8-103:2023 6.2.4</w:t>
            </w:r>
          </w:p>
        </w:tc>
      </w:tr>
      <w:tr>
        <w:tc>
          <w:tcPr>
            <w:tcW w:type="dxa" w:w="2880"/>
          </w:tcPr>
          <w:p>
            <w:r>
              <w:t>B5</w:t>
            </w:r>
          </w:p>
        </w:tc>
        <w:tc>
          <w:tcPr>
            <w:tcW w:type="dxa" w:w="2880"/>
          </w:tcPr>
          <w:p>
            <w:r>
              <w:t>IEC_61076_8_103_2023::6.5.5::req_0</w:t>
            </w:r>
          </w:p>
        </w:tc>
        <w:tc>
          <w:tcPr>
            <w:tcW w:type="dxa" w:w="2880"/>
          </w:tcPr>
          <w:p>
            <w:r>
              <w:t>IEC 61076-8-103:2023 6.5.5</w:t>
            </w:r>
          </w:p>
        </w:tc>
      </w:tr>
    </w:tbl>
    <w:p>
      <w:pPr>
        <w:pStyle w:val="Heading1"/>
      </w:pPr>
      <w:r>
        <w:t>4. References</w:t>
      </w:r>
    </w:p>
    <w:p>
      <w:pPr>
        <w:pStyle w:val="ListBullet"/>
      </w:pPr>
      <w:r>
        <w:t>BS EN 50174-3:2013</w:t>
      </w:r>
    </w:p>
    <w:p>
      <w:pPr>
        <w:pStyle w:val="ListBullet"/>
      </w:pPr>
      <w:r>
        <w:t>IEC 61076-8-103:2023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PTP-GEN System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CONFIDENTIAL - dc 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