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Design Verification Plan (DVP)</w:t>
      </w:r>
    </w:p>
    <w:p>
      <w:pPr>
        <w:jc w:val="center"/>
      </w:pPr>
      <w:r>
        <w:t>Automotive LED Module</w:t>
      </w:r>
    </w:p>
    <w:p>
      <w:pPr>
        <w:jc w:val="center"/>
      </w:pPr>
      <w:r>
        <w:t>Type: LED Light Source</w:t>
      </w:r>
    </w:p>
    <w:p>
      <w:pPr>
        <w:jc w:val="center"/>
      </w:pPr>
      <w:r>
        <w:t>Application: Headlamp</w:t>
      </w:r>
    </w:p>
    <w:p>
      <w:pPr>
        <w:jc w:val="center"/>
      </w:pPr>
      <w:r>
        <w:t>Date: 2026-02-01</w:t>
      </w:r>
    </w:p>
    <w:p>
      <w:r>
        <w:br w:type="page"/>
      </w:r>
    </w:p>
    <w:p>
      <w:pPr>
        <w:pStyle w:val="Heading1"/>
      </w:pPr>
      <w:r>
        <w:t>1. Introduction</w:t>
      </w:r>
    </w:p>
    <w:p>
      <w:r>
        <w:t>This document outlines the Design Verification Plan for the Automotive LED Module LED Light Source. The purpose of this plan is to verify that the component meets all specified requirements for Headlamp application.</w:t>
      </w:r>
    </w:p>
    <w:p>
      <w:pPr>
        <w:pStyle w:val="Heading2"/>
      </w:pPr>
      <w:r>
        <w:t>1.1 Component Details</w:t>
      </w:r>
    </w:p>
    <w:tbl>
      <w:tblPr>
        <w:tblStyle w:val="TableGrid"/>
        <w:tblW w:type="auto" w:w="0"/>
        <w:tblLook w:firstColumn="1" w:firstRow="1" w:lastColumn="0" w:lastRow="0" w:noHBand="0" w:noVBand="1" w:val="04A0"/>
      </w:tblPr>
      <w:tblGrid>
        <w:gridCol w:w="4320"/>
        <w:gridCol w:w="4320"/>
      </w:tblGrid>
      <w:tr>
        <w:tc>
          <w:tcPr>
            <w:tcW w:type="dxa" w:w="4320"/>
          </w:tcPr>
          <w:p>
            <w:r>
              <w:t>Component Name</w:t>
            </w:r>
          </w:p>
        </w:tc>
        <w:tc>
          <w:tcPr>
            <w:tcW w:type="dxa" w:w="4320"/>
          </w:tcPr>
          <w:p>
            <w:r>
              <w:t>Automotive LED Module</w:t>
            </w:r>
          </w:p>
        </w:tc>
      </w:tr>
      <w:tr>
        <w:tc>
          <w:tcPr>
            <w:tcW w:type="dxa" w:w="4320"/>
          </w:tcPr>
          <w:p>
            <w:r>
              <w:t>Component Type</w:t>
            </w:r>
          </w:p>
        </w:tc>
        <w:tc>
          <w:tcPr>
            <w:tcW w:type="dxa" w:w="4320"/>
          </w:tcPr>
          <w:p>
            <w:r>
              <w:t>LED Light Source</w:t>
            </w:r>
          </w:p>
        </w:tc>
      </w:tr>
      <w:tr>
        <w:tc>
          <w:tcPr>
            <w:tcW w:type="dxa" w:w="4320"/>
          </w:tcPr>
          <w:p>
            <w:r>
              <w:t>Application</w:t>
            </w:r>
          </w:p>
        </w:tc>
        <w:tc>
          <w:tcPr>
            <w:tcW w:type="dxa" w:w="4320"/>
          </w:tcPr>
          <w:p>
            <w:r>
              <w:t>Headlamp</w:t>
            </w:r>
          </w:p>
        </w:tc>
      </w:tr>
      <w:tr>
        <w:tc>
          <w:tcPr>
            <w:tcW w:type="dxa" w:w="4320"/>
          </w:tcPr>
          <w:p>
            <w:r>
              <w:t>Test Level</w:t>
            </w:r>
          </w:p>
        </w:tc>
        <w:tc>
          <w:tcPr>
            <w:tcW w:type="dxa" w:w="4320"/>
          </w:tcPr>
          <w:p>
            <w:r>
              <w:t>Component</w:t>
            </w:r>
          </w:p>
        </w:tc>
      </w:tr>
      <w:tr>
        <w:tc>
          <w:tcPr>
            <w:tcW w:type="dxa" w:w="4320"/>
          </w:tcPr>
          <w:p>
            <w:r>
              <w:t>Variants</w:t>
            </w:r>
          </w:p>
        </w:tc>
        <w:tc>
          <w:tcPr>
            <w:tcW w:type="dxa" w:w="4320"/>
          </w:tcPr>
          <w:p>
            <w:r>
              <w:t>Standard</w:t>
            </w:r>
          </w:p>
        </w:tc>
      </w:tr>
    </w:tbl>
    <w:p>
      <w:pPr>
        <w:pStyle w:val="Heading1"/>
      </w:pPr>
      <w:r>
        <w:t>2. Test Plan Matrix</w:t>
      </w:r>
    </w:p>
    <w:p>
      <w:r>
        <w:t>The following table details the required tests, procedures, and acceptance criteria.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Test ID</w:t>
            </w:r>
          </w:p>
        </w:tc>
        <w:tc>
          <w:tcPr>
            <w:tcW w:type="dxa" w:w="1728"/>
          </w:tcPr>
          <w:p>
            <w:r>
              <w:rPr>
                <w:b/>
              </w:rPr>
              <w:t>Description</w:t>
            </w:r>
          </w:p>
        </w:tc>
        <w:tc>
          <w:tcPr>
            <w:tcW w:type="dxa" w:w="1728"/>
          </w:tcPr>
          <w:p>
            <w:r>
              <w:rPr>
                <w:b/>
              </w:rPr>
              <w:t>Procedure</w:t>
            </w:r>
          </w:p>
        </w:tc>
        <w:tc>
          <w:tcPr>
            <w:tcW w:type="dxa" w:w="1728"/>
          </w:tcPr>
          <w:p>
            <w:r>
              <w:rPr>
                <w:b/>
              </w:rPr>
              <w:t>Acceptance Criteria</w:t>
            </w:r>
          </w:p>
        </w:tc>
        <w:tc>
          <w:tcPr>
            <w:tcW w:type="dxa" w:w="1728"/>
          </w:tcPr>
          <w:p>
            <w:r>
              <w:rPr>
                <w:b/>
              </w:rPr>
              <w:t>Qty</w:t>
            </w:r>
          </w:p>
        </w:tc>
      </w:tr>
      <w:tr>
        <w:tc>
          <w:tcPr>
            <w:tcW w:type="dxa" w:w="1728"/>
          </w:tcPr>
          <w:p>
            <w:r/>
          </w:p>
        </w:tc>
        <w:tc>
          <w:tcPr>
            <w:tcW w:type="dxa" w:w="1728"/>
          </w:tcPr>
          <w:p>
            <w:r>
              <w:t>Verification of the LED module's cable management system to ensure no water or contaminant collection occurs and that all joints prevent liquid/gas ingress under environmental stress.</w:t>
            </w:r>
          </w:p>
        </w:tc>
        <w:tc>
          <w:tcPr>
            <w:tcW w:type="dxa" w:w="1728"/>
          </w:tcPr>
          <w:p>
            <w:r/>
          </w:p>
        </w:tc>
        <w:tc>
          <w:tcPr>
            <w:tcW w:type="dxa" w:w="1728"/>
          </w:tcPr>
          <w:p>
            <w:r>
              <w:t>No water or contaminant liquids shall be collected within the cable management system. No ingress of water or liquids into the connector housings or internal LED electronics. All joints must remain intact and prevent the passage of fluids. Post-test functional check must show no degradation in light output or electrical performance.</w:t>
            </w:r>
          </w:p>
        </w:tc>
        <w:tc>
          <w:tcPr>
            <w:tcW w:type="dxa" w:w="1728"/>
          </w:tcPr>
          <w:p>
            <w:r/>
          </w:p>
        </w:tc>
      </w:tr>
      <w:tr>
        <w:tc>
          <w:tcPr>
            <w:tcW w:type="dxa" w:w="1728"/>
          </w:tcPr>
          <w:p>
            <w:r/>
          </w:p>
        </w:tc>
        <w:tc>
          <w:tcPr>
            <w:tcW w:type="dxa" w:w="1728"/>
          </w:tcPr>
          <w:p>
            <w:r>
              <w:t>Evaluates the environmental protection of the LED module's cable entry and conduit interface against high-pressure and high-temperature water ingress, simulating extreme cleaning and environmental conditions.</w:t>
            </w:r>
          </w:p>
        </w:tc>
        <w:tc>
          <w:tcPr>
            <w:tcW w:type="dxa" w:w="1728"/>
          </w:tcPr>
          <w:p>
            <w:r/>
          </w:p>
        </w:tc>
        <w:tc>
          <w:tcPr>
            <w:tcW w:type="dxa" w:w="1728"/>
          </w:tcPr>
          <w:p>
            <w:r>
              <w:t>No water ingress shall be visible inside the LED module housing or within the transmission media (cable/conduit interface). The component must maintain full luminous flux within ±10% of pre-test values. Insulation resistance must remain &gt; 100 MΩ at 500V DC.</w:t>
            </w:r>
          </w:p>
        </w:tc>
        <w:tc>
          <w:tcPr>
            <w:tcW w:type="dxa" w:w="1728"/>
          </w:tcPr>
          <w:p>
            <w:r/>
          </w:p>
        </w:tc>
      </w:tr>
      <w:tr>
        <w:tc>
          <w:tcPr>
            <w:tcW w:type="dxa" w:w="1728"/>
          </w:tcPr>
          <w:p>
            <w:r/>
          </w:p>
        </w:tc>
        <w:tc>
          <w:tcPr>
            <w:tcW w:type="dxa" w:w="1728"/>
          </w:tcPr>
          <w:p>
            <w:r>
              <w:t>Verification of the LED module's thermal stability and safety when operated in environments requiring specific ventilation and environmental controls as per battery installation standards.</w:t>
            </w:r>
          </w:p>
        </w:tc>
        <w:tc>
          <w:tcPr>
            <w:tcW w:type="dxa" w:w="1728"/>
          </w:tcPr>
          <w:p>
            <w:r/>
          </w:p>
        </w:tc>
        <w:tc>
          <w:tcPr>
            <w:tcW w:type="dxa" w:w="1728"/>
          </w:tcPr>
          <w:p>
            <w:r>
              <w:t>The LED module shall remain fully functional throughout the test. There shall be no evidence of melting, deformation, or hazardous outgassing. Luminous flux maintenance shall be &gt;90% of the initial value. The module must not present any ignition risk (sparking) in the simulated ventilated environment.</w:t>
            </w:r>
          </w:p>
        </w:tc>
        <w:tc>
          <w:tcPr>
            <w:tcW w:type="dxa" w:w="1728"/>
          </w:tcPr>
          <w:p>
            <w:r/>
          </w:p>
        </w:tc>
      </w:tr>
      <w:tr>
        <w:tc>
          <w:tcPr>
            <w:tcW w:type="dxa" w:w="1728"/>
          </w:tcPr>
          <w:p>
            <w:r/>
          </w:p>
        </w:tc>
        <w:tc>
          <w:tcPr>
            <w:tcW w:type="dxa" w:w="1728"/>
          </w:tcPr>
          <w:p>
            <w:r>
              <w:t>Evaluates the LED module's sealing integrity and material resistance to environmental degradation when subjected to thermal shock and water immersion, simulating extreme environmental exposure.</w:t>
            </w:r>
          </w:p>
        </w:tc>
        <w:tc>
          <w:tcPr>
            <w:tcW w:type="dxa" w:w="1728"/>
          </w:tcPr>
          <w:p>
            <w:r/>
          </w:p>
        </w:tc>
        <w:tc>
          <w:tcPr>
            <w:tcW w:type="dxa" w:w="1728"/>
          </w:tcPr>
          <w:p>
            <w:r>
              <w:t>No visible water ingress inside the sealed LED cavity or electronic housing. No evidence of material degradation, swelling, or cracking. Post-test luminous flux must be within ±10% of the initial measurement. No functional failures or short circuits allowed.</w:t>
            </w:r>
          </w:p>
        </w:tc>
        <w:tc>
          <w:tcPr>
            <w:tcW w:type="dxa" w:w="1728"/>
          </w:tcPr>
          <w:p>
            <w:r/>
          </w:p>
        </w:tc>
      </w:tr>
      <w:tr>
        <w:tc>
          <w:tcPr>
            <w:tcW w:type="dxa" w:w="1728"/>
          </w:tcPr>
          <w:p>
            <w:r/>
          </w:p>
        </w:tc>
        <w:tc>
          <w:tcPr>
            <w:tcW w:type="dxa" w:w="1728"/>
          </w:tcPr>
          <w:p>
            <w:r>
              <w:t>Evaluates the mechanical integrity and environmental resistance of the LED module's internal cabling and connectors when subjected to thermal stress and mechanical tension, simulating headlamp installation and operation.</w:t>
            </w:r>
          </w:p>
        </w:tc>
        <w:tc>
          <w:tcPr>
            <w:tcW w:type="dxa" w:w="1728"/>
          </w:tcPr>
          <w:p>
            <w:r/>
          </w:p>
        </w:tc>
        <w:tc>
          <w:tcPr>
            <w:tcW w:type="dxa" w:w="1728"/>
          </w:tcPr>
          <w:p>
            <w:r>
              <w:t>No visible damage to cable insulation or pathway interfaces. No electrical discontinuity during or after mechanical loading. Cable retention force must exceed 100N without terminal damage or separation from the LED module housing.</w:t>
            </w:r>
          </w:p>
        </w:tc>
        <w:tc>
          <w:tcPr>
            <w:tcW w:type="dxa" w:w="1728"/>
          </w:tcPr>
          <w:p>
            <w:r/>
          </w:p>
        </w:tc>
      </w:tr>
    </w:tbl>
    <w:p>
      <w:pPr>
        <w:pStyle w:val="Heading1"/>
      </w:pPr>
      <w:r>
        <w:t>3. Requirement Traceability</w:t>
      </w:r>
    </w:p>
    <w:p>
      <w:r>
        <w:t>This section maps test cases to source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t>Test ID</w:t>
            </w:r>
          </w:p>
        </w:tc>
        <w:tc>
          <w:tcPr>
            <w:tcW w:type="dxa" w:w="2880"/>
          </w:tcPr>
          <w:p>
            <w:r>
              <w:t>Requirement ID</w:t>
            </w:r>
          </w:p>
        </w:tc>
        <w:tc>
          <w:tcPr>
            <w:tcW w:type="dxa" w:w="2880"/>
          </w:tcPr>
          <w:p>
            <w:r>
              <w:t>Source Standard</w:t>
            </w:r>
          </w:p>
        </w:tc>
      </w:tr>
      <w:tr>
        <w:tc>
          <w:tcPr>
            <w:tcW w:type="dxa" w:w="2880"/>
          </w:tcPr>
          <w:p>
            <w:r/>
          </w:p>
        </w:tc>
        <w:tc>
          <w:tcPr>
            <w:tcW w:type="dxa" w:w="2880"/>
          </w:tcPr>
          <w:p>
            <w:r>
              <w:t>BS_EN_50174_3_2013::5.3.4.2.1::req_4</w:t>
            </w:r>
          </w:p>
        </w:tc>
        <w:tc>
          <w:tcPr>
            <w:tcW w:type="dxa" w:w="2880"/>
          </w:tcPr>
          <w:p>
            <w:r>
              <w:t>BS EN 50174-3:2013 5.3.4.2.1</w:t>
            </w:r>
          </w:p>
        </w:tc>
      </w:tr>
      <w:tr>
        <w:tc>
          <w:tcPr>
            <w:tcW w:type="dxa" w:w="2880"/>
          </w:tcPr>
          <w:p>
            <w:r/>
          </w:p>
        </w:tc>
        <w:tc>
          <w:tcPr>
            <w:tcW w:type="dxa" w:w="2880"/>
          </w:tcPr>
          <w:p>
            <w:r>
              <w:t>BS_EN_50174_3_2013::4.3.4.3.1::req_0</w:t>
            </w:r>
          </w:p>
        </w:tc>
        <w:tc>
          <w:tcPr>
            <w:tcW w:type="dxa" w:w="2880"/>
          </w:tcPr>
          <w:p>
            <w:r>
              <w:t>BS EN 50174-3:2013 4.3.4.3.1</w:t>
            </w:r>
          </w:p>
        </w:tc>
      </w:tr>
      <w:tr>
        <w:tc>
          <w:tcPr>
            <w:tcW w:type="dxa" w:w="2880"/>
          </w:tcPr>
          <w:p>
            <w:r/>
          </w:p>
        </w:tc>
        <w:tc>
          <w:tcPr>
            <w:tcW w:type="dxa" w:w="2880"/>
          </w:tcPr>
          <w:p>
            <w:r>
              <w:t>BS_EN_50174_3_2013::4.1.5::req_0</w:t>
            </w:r>
          </w:p>
        </w:tc>
        <w:tc>
          <w:tcPr>
            <w:tcW w:type="dxa" w:w="2880"/>
          </w:tcPr>
          <w:p>
            <w:r>
              <w:t>BS EN 50174-3:2013 4.1.5</w:t>
            </w:r>
          </w:p>
        </w:tc>
      </w:tr>
      <w:tr>
        <w:tc>
          <w:tcPr>
            <w:tcW w:type="dxa" w:w="2880"/>
          </w:tcPr>
          <w:p>
            <w:r/>
          </w:p>
        </w:tc>
        <w:tc>
          <w:tcPr>
            <w:tcW w:type="dxa" w:w="2880"/>
          </w:tcPr>
          <w:p>
            <w:r>
              <w:t>BS_EN_50174_3_2013::4.4.3.1::req_0</w:t>
            </w:r>
          </w:p>
        </w:tc>
        <w:tc>
          <w:tcPr>
            <w:tcW w:type="dxa" w:w="2880"/>
          </w:tcPr>
          <w:p>
            <w:r>
              <w:t>BS EN 50174-3:2013 4.4.3.1</w:t>
            </w:r>
          </w:p>
        </w:tc>
      </w:tr>
      <w:tr>
        <w:tc>
          <w:tcPr>
            <w:tcW w:type="dxa" w:w="2880"/>
          </w:tcPr>
          <w:p>
            <w:r/>
          </w:p>
        </w:tc>
        <w:tc>
          <w:tcPr>
            <w:tcW w:type="dxa" w:w="2880"/>
          </w:tcPr>
          <w:p>
            <w:r>
              <w:t>BS_EN_50174_3_2013::4.7.1.1::req_0</w:t>
            </w:r>
          </w:p>
        </w:tc>
        <w:tc>
          <w:tcPr>
            <w:tcW w:type="dxa" w:w="2880"/>
          </w:tcPr>
          <w:p>
            <w:r>
              <w:t>BS EN 50174-3:2013 4.7.1.1</w:t>
            </w:r>
          </w:p>
        </w:tc>
      </w:tr>
    </w:tbl>
    <w:p>
      <w:pPr>
        <w:pStyle w:val="Heading1"/>
      </w:pPr>
      <w:r>
        <w:t>4. References</w:t>
      </w:r>
    </w:p>
    <w:p>
      <w:pPr>
        <w:pStyle w:val="ListBullet"/>
      </w:pPr>
      <w:r>
        <w:t>BS EN 50174-3:2013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