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Design Verification Plan (DVP)</w:t>
      </w:r>
    </w:p>
    <w:p>
      <w:r>
        <w:br/>
      </w:r>
    </w:p>
    <w:p>
      <w:pPr>
        <w:pStyle w:val="Title"/>
        <w:jc w:val="center"/>
      </w:pPr>
      <w:r>
        <w:t>Automotive LED Module</w:t>
      </w:r>
    </w:p>
    <w:p>
      <w:pPr>
        <w:jc w:val="center"/>
      </w:pPr>
      <w:r>
        <w:t>Type: LED Light Source</w:t>
      </w:r>
    </w:p>
    <w:p>
      <w:pPr>
        <w:jc w:val="center"/>
      </w:pPr>
      <w:r>
        <w:t>Application: Headlamp</w:t>
      </w:r>
    </w:p>
    <w:p>
      <w:pPr>
        <w:jc w:val="center"/>
      </w:pPr>
      <w:r>
        <w:t>Document Version: 1.0</w:t>
      </w:r>
    </w:p>
    <w:p>
      <w:pPr>
        <w:jc w:val="center"/>
      </w:pPr>
      <w:r>
        <w:t>Date: 2026-02-01</w:t>
      </w:r>
    </w:p>
    <w:p>
      <w:r>
        <w:br w:type="page"/>
      </w:r>
    </w:p>
    <w:p>
      <w:pPr>
        <w:pStyle w:val="Heading1"/>
      </w:pPr>
      <w:r>
        <w:t>1. Introduction</w:t>
      </w:r>
    </w:p>
    <w:p>
      <w:r>
        <w:t>This document outlines the Design Verification Plan for the Automotive LED Module LED Light Source. The purpose of this plan is to verify that the component meets all specified requirements for Headlamp application.</w:t>
      </w:r>
    </w:p>
    <w:p>
      <w:pPr>
        <w:pStyle w:val="Heading2"/>
      </w:pPr>
      <w:r>
        <w:t>1.1 Component Details</w:t>
      </w:r>
    </w:p>
    <w:tbl>
      <w:tblPr>
        <w:tblStyle w:val="TableGrid"/>
        <w:tblW w:type="auto" w:w="0"/>
        <w:tblLook w:firstColumn="1" w:firstRow="1" w:lastColumn="0" w:lastRow="0" w:noHBand="0" w:noVBand="1" w:val="04A0"/>
      </w:tblPr>
      <w:tblGrid>
        <w:gridCol w:w="2880"/>
        <w:gridCol w:w="6480"/>
      </w:tblGrid>
      <w:tr>
        <w:tc>
          <w:tcPr>
            <w:tcW w:type="dxa" w:w="2880"/>
          </w:tcPr>
          <w:p>
            <w:r>
              <w:t>Component Name</w:t>
            </w:r>
          </w:p>
        </w:tc>
        <w:tc>
          <w:tcPr>
            <w:tcW w:type="dxa" w:w="6480"/>
          </w:tcPr>
          <w:p>
            <w:r>
              <w:t>Automotive LED Module</w:t>
            </w:r>
          </w:p>
        </w:tc>
      </w:tr>
      <w:tr>
        <w:tc>
          <w:tcPr>
            <w:tcW w:type="dxa" w:w="2880"/>
          </w:tcPr>
          <w:p>
            <w:r>
              <w:t>Component Type</w:t>
            </w:r>
          </w:p>
        </w:tc>
        <w:tc>
          <w:tcPr>
            <w:tcW w:type="dxa" w:w="6480"/>
          </w:tcPr>
          <w:p>
            <w:r>
              <w:t>LED Light Source</w:t>
            </w:r>
          </w:p>
        </w:tc>
      </w:tr>
      <w:tr>
        <w:tc>
          <w:tcPr>
            <w:tcW w:type="dxa" w:w="2880"/>
          </w:tcPr>
          <w:p>
            <w:r>
              <w:t>Application</w:t>
            </w:r>
          </w:p>
        </w:tc>
        <w:tc>
          <w:tcPr>
            <w:tcW w:type="dxa" w:w="6480"/>
          </w:tcPr>
          <w:p>
            <w:r>
              <w:t>Headlamp</w:t>
            </w:r>
          </w:p>
        </w:tc>
      </w:tr>
      <w:tr>
        <w:tc>
          <w:tcPr>
            <w:tcW w:type="dxa" w:w="2880"/>
          </w:tcPr>
          <w:p>
            <w:r>
              <w:t>Test Level</w:t>
            </w:r>
          </w:p>
        </w:tc>
        <w:tc>
          <w:tcPr>
            <w:tcW w:type="dxa" w:w="6480"/>
          </w:tcPr>
          <w:p>
            <w:r>
              <w:t>Component</w:t>
            </w:r>
          </w:p>
        </w:tc>
      </w:tr>
      <w:tr>
        <w:tc>
          <w:tcPr>
            <w:tcW w:type="dxa" w:w="2880"/>
          </w:tcPr>
          <w:p>
            <w:r>
              <w:t>Variants</w:t>
            </w:r>
          </w:p>
        </w:tc>
        <w:tc>
          <w:tcPr>
            <w:tcW w:type="dxa" w:w="6480"/>
          </w:tcPr>
          <w:p>
            <w:r>
              <w:t>Standard</w:t>
            </w:r>
          </w:p>
        </w:tc>
      </w:tr>
    </w:tbl>
    <w:p>
      <w:pPr>
        <w:pStyle w:val="Heading1"/>
      </w:pPr>
      <w:r>
        <w:t>2. Test Plan Matrix</w:t>
      </w:r>
    </w:p>
    <w:p>
      <w:r>
        <w:t>The following table details the required tests, procedures, and acceptance criteria.</w:t>
      </w:r>
    </w:p>
    <w:tbl>
      <w:tblPr>
        <w:tblStyle w:val="TableGrid"/>
        <w:tblW w:type="auto" w:w="0"/>
        <w:tblLook w:firstColumn="1" w:firstRow="1" w:lastColumn="0" w:lastRow="0" w:noHBand="0" w:noVBand="1" w:val="04A0"/>
      </w:tblPr>
      <w:tblGrid>
        <w:gridCol w:w="720"/>
        <w:gridCol w:w="2160"/>
        <w:gridCol w:w="3600"/>
        <w:gridCol w:w="2160"/>
        <w:gridCol w:w="720"/>
      </w:tblGrid>
      <w:tr>
        <w:tc>
          <w:tcPr>
            <w:tcW w:type="dxa" w:w="1728"/>
            <w:shd w:fill="366092"/>
          </w:tcPr>
          <w:p>
            <w:r>
              <w:rPr>
                <w:b/>
                <w:color w:val="FFFFFF"/>
              </w:rPr>
              <w:t>ID</w:t>
            </w:r>
          </w:p>
        </w:tc>
        <w:tc>
          <w:tcPr>
            <w:tcW w:type="dxa" w:w="1728"/>
            <w:shd w:fill="366092"/>
          </w:tcPr>
          <w:p>
            <w:r>
              <w:rPr>
                <w:b/>
                <w:color w:val="FFFFFF"/>
              </w:rPr>
              <w:t>Test Description</w:t>
            </w:r>
          </w:p>
        </w:tc>
        <w:tc>
          <w:tcPr>
            <w:tcW w:type="dxa" w:w="1728"/>
            <w:shd w:fill="366092"/>
          </w:tcPr>
          <w:p>
            <w:r>
              <w:rPr>
                <w:b/>
                <w:color w:val="FFFFFF"/>
              </w:rPr>
              <w:t>Test Procedure</w:t>
            </w:r>
          </w:p>
        </w:tc>
        <w:tc>
          <w:tcPr>
            <w:tcW w:type="dxa" w:w="1728"/>
            <w:shd w:fill="366092"/>
          </w:tcPr>
          <w:p>
            <w:r>
              <w:rPr>
                <w:b/>
                <w:color w:val="FFFFFF"/>
              </w:rPr>
              <w:t>Acceptance Criteria</w:t>
            </w:r>
          </w:p>
        </w:tc>
        <w:tc>
          <w:tcPr>
            <w:tcW w:type="dxa" w:w="1728"/>
            <w:shd w:fill="366092"/>
          </w:tcPr>
          <w:p>
            <w:r>
              <w:rPr>
                <w:b/>
                <w:color w:val="FFFFFF"/>
              </w:rPr>
              <w:t>Qty</w:t>
            </w:r>
          </w:p>
        </w:tc>
      </w:tr>
      <w:tr>
        <w:tc>
          <w:tcPr>
            <w:tcW w:type="dxa" w:w="720"/>
          </w:tcPr>
          <w:p>
            <w:r>
              <w:t>B1</w:t>
            </w:r>
          </w:p>
        </w:tc>
        <w:tc>
          <w:tcPr>
            <w:tcW w:type="dxa" w:w="2160"/>
          </w:tcPr>
          <w:p>
            <w:r>
              <w:t>Environmental Ingress and Cable Management Drainage Verification</w:t>
            </w:r>
          </w:p>
        </w:tc>
        <w:tc>
          <w:tcPr>
            <w:tcW w:type="dxa" w:w="3600"/>
          </w:tcPr>
          <w:p>
            <w:r>
              <w:t>1. Mount the LED module in its design-intent vehicle orientation, including the production-level wiring harness and cable management system (conduits/clips). 2. Subject the component to IPX9K high-pressure steam jet cleaning: Water temperature 80 ± 5°C, Pressure 8,000–10,000 kPa, Flow rate 14–16 L/min. 3. Apply the spray at four angles (0°, 30°, 60°, 90°) relative to the cable entry points and joints for 30 seconds per position. 4. Following the pressure test, perform a low-pressure water flow test (simulating heavy rain) for 10 minutes to verify drainage. 5. Visually inspect the cable management channels for any signs of liquid pooling or collection. 6. Disassemble the connector interface and cable entry points to inspect for internal ingress of water or contaminants.</w:t>
            </w:r>
          </w:p>
        </w:tc>
        <w:tc>
          <w:tcPr>
            <w:tcW w:type="dxa" w:w="2160"/>
          </w:tcPr>
          <w:p>
            <w:r>
              <w:t>1. No water or contaminant ingress allowed within the LED enclosure or electrical connector interfaces. 2. No evidence of liquid collection or pooling within the cable management system (must drain completely). 3. No degradation in electrical insulation resistance or photometric performance post-test.</w:t>
            </w:r>
          </w:p>
        </w:tc>
        <w:tc>
          <w:tcPr>
            <w:tcW w:type="dxa" w:w="720"/>
          </w:tcPr>
          <w:p>
            <w:r>
              <w:t>5</w:t>
            </w:r>
          </w:p>
        </w:tc>
      </w:tr>
      <w:tr>
        <w:tc>
          <w:tcPr>
            <w:tcW w:type="dxa" w:w="720"/>
          </w:tcPr>
          <w:p>
            <w:r>
              <w:t>B2</w:t>
            </w:r>
          </w:p>
        </w:tc>
        <w:tc>
          <w:tcPr>
            <w:tcW w:type="dxa" w:w="2160"/>
          </w:tcPr>
          <w:p>
            <w:r>
              <w:t>Environmental Water Ingress and Pressure Integrity Test</w:t>
            </w:r>
          </w:p>
        </w:tc>
        <w:tc>
          <w:tcPr>
            <w:tcW w:type="dxa" w:w="3600"/>
          </w:tcPr>
          <w:p>
            <w:r>
              <w:t>1. Secure the Automotive LED Module in a fixture representing its vehicle mounting orientation. 2. Install the specified wiring harness and conduit system as per the manufacturer's installation manual, ensuring all seals are seated. 3. Subject the cable-to-module interface and conduit entry points to a high-pressure steam jet cleaning test (IPX9K). 4. Water parameters: Temperature 80 ± 5 °C; Flow rate 14–16 L/min; Pressure 8,000–10,000 kPa. 5. Apply the jet at angles of 0°, 30°, 60°, and 90° relative to the conduit entry point. 6. Duration: 30 seconds per position. 7. Following the spray, perform a functional check of the LED module. 8. Disassemble the conduit and connector interface to inspect for any signs of water penetration into the transmission media or internal housing.</w:t>
            </w:r>
          </w:p>
        </w:tc>
        <w:tc>
          <w:tcPr>
            <w:tcW w:type="dxa" w:w="2160"/>
          </w:tcPr>
          <w:p>
            <w:r>
              <w:t>No water ingress shall be visible inside the LED module housing or the sealed connector interface. The LED module must maintain full luminous flux performance post-test. Insulation resistance must remain &gt; 100 MΩ at 500V DC.</w:t>
            </w:r>
          </w:p>
        </w:tc>
        <w:tc>
          <w:tcPr>
            <w:tcW w:type="dxa" w:w="720"/>
          </w:tcPr>
          <w:p>
            <w:r>
              <w:t>5</w:t>
            </w:r>
          </w:p>
        </w:tc>
      </w:tr>
      <w:tr>
        <w:tc>
          <w:tcPr>
            <w:tcW w:type="dxa" w:w="720"/>
          </w:tcPr>
          <w:p>
            <w:r>
              <w:t>B3</w:t>
            </w:r>
          </w:p>
        </w:tc>
        <w:tc>
          <w:tcPr>
            <w:tcW w:type="dxa" w:w="2160"/>
          </w:tcPr>
          <w:p>
            <w:r>
              <w:t>Water Immersion and Material Compatibility Test</w:t>
            </w:r>
          </w:p>
        </w:tc>
        <w:tc>
          <w:tcPr>
            <w:tcW w:type="dxa" w:w="3600"/>
          </w:tcPr>
          <w:p>
            <w:r>
              <w:t>1. Perform initial functional and photometric measurements (Luminous Flux, Color Coordinates). 2. Place the LED module in a climatic chamber and heat to its maximum operating temperature (+85°C) for 1 hour to stabilize internal pressure. 3. Immediately submerge the module into a water tank containing deionized water at a temperature of 23°C ± 5°C. 4. The depth of immersion shall be 1 meter measured from the bottom of the device to the water surface. 5. Maintain immersion for a duration of 30 minutes. 6. Remove the device, dry the exterior surfaces thoroughly, and perform a visual inspection for any signs of water ingress or material swelling/degradation. 7. Conduct a final functional check and insulation resistance test.</w:t>
            </w:r>
          </w:p>
        </w:tc>
        <w:tc>
          <w:tcPr>
            <w:tcW w:type="dxa" w:w="2160"/>
          </w:tcPr>
          <w:p>
            <w:r>
              <w:t>No visible water ingress inside the LED module housing; No evidence of material degradation, cracking, or loss of adhesion; Luminous flux must remain within ±10% of initial values; Insulation resistance &gt; 100 MΩ at 500V DC.</w:t>
            </w:r>
          </w:p>
        </w:tc>
        <w:tc>
          <w:tcPr>
            <w:tcW w:type="dxa" w:w="720"/>
          </w:tcPr>
          <w:p>
            <w:r>
              <w:t>5</w:t>
            </w:r>
          </w:p>
        </w:tc>
      </w:tr>
      <w:tr>
        <w:tc>
          <w:tcPr>
            <w:tcW w:type="dxa" w:w="720"/>
          </w:tcPr>
          <w:p>
            <w:r>
              <w:t>B4</w:t>
            </w:r>
          </w:p>
        </w:tc>
        <w:tc>
          <w:tcPr>
            <w:tcW w:type="dxa" w:w="2160"/>
          </w:tcPr>
          <w:p>
            <w:r>
              <w:t>Cable Mechanical Strength and Thermal Aging Test</w:t>
            </w:r>
          </w:p>
        </w:tc>
        <w:tc>
          <w:tcPr>
            <w:tcW w:type="dxa" w:w="3600"/>
          </w:tcPr>
          <w:p>
            <w:r>
              <w:t>1. Perform initial visual inspection and functional check of the LED module. 2. Subject the cable assembly and module to thermal aging in a climatic chamber at 105°C (simulating headlamp internal ambient) for 120 hours. 3. Following aging, stabilize the component at 23°C ± 5°C for 4 hours. 4. Secure the LED module housing in a rigid fixture. 5. Apply a static axial pull force of 110N to the cable harness for a duration of 60 seconds using a calibrated tensile tester. 6. During the pull test, monitor electrical continuity using a high-speed data logger (sampling rate &gt; 1kHz) to detect micro-interruptions. 7. Perform a final visual inspection of the cable insulation, strain relief, and connector interface.</w:t>
            </w:r>
          </w:p>
        </w:tc>
        <w:tc>
          <w:tcPr>
            <w:tcW w:type="dxa" w:w="2160"/>
          </w:tcPr>
          <w:p>
            <w:r>
              <w:t>No physical separation of cables from the module or connector. No damage to cable insulation or pathway interface. No electrical micro-interruptions &gt; 1µs. Post-test luminous flux must be within ±10% of initial values.</w:t>
            </w:r>
          </w:p>
        </w:tc>
        <w:tc>
          <w:tcPr>
            <w:tcW w:type="dxa" w:w="720"/>
          </w:tcPr>
          <w:p>
            <w:r>
              <w:t>5</w:t>
            </w:r>
          </w:p>
        </w:tc>
      </w:tr>
    </w:tbl>
    <w:p>
      <w:pPr>
        <w:pStyle w:val="Heading1"/>
      </w:pPr>
      <w:r>
        <w:t>3. Requirement Traceability</w:t>
      </w:r>
    </w:p>
    <w:p>
      <w:r>
        <w:t>This section maps test cases to source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366092"/>
          </w:tcPr>
          <w:p>
            <w:r>
              <w:rPr>
                <w:b/>
                <w:color w:val="FFFFFF"/>
              </w:rPr>
              <w:t>Test ID</w:t>
            </w:r>
          </w:p>
        </w:tc>
        <w:tc>
          <w:tcPr>
            <w:tcW w:type="dxa" w:w="2880"/>
            <w:shd w:fill="366092"/>
          </w:tcPr>
          <w:p>
            <w:r>
              <w:rPr>
                <w:b/>
                <w:color w:val="FFFFFF"/>
              </w:rPr>
              <w:t>Requirement ID</w:t>
            </w:r>
          </w:p>
        </w:tc>
        <w:tc>
          <w:tcPr>
            <w:tcW w:type="dxa" w:w="2880"/>
            <w:shd w:fill="366092"/>
          </w:tcPr>
          <w:p>
            <w:r>
              <w:rPr>
                <w:b/>
                <w:color w:val="FFFFFF"/>
              </w:rPr>
              <w:t>Source Standard</w:t>
            </w:r>
          </w:p>
        </w:tc>
      </w:tr>
      <w:tr>
        <w:tc>
          <w:tcPr>
            <w:tcW w:type="dxa" w:w="2880"/>
          </w:tcPr>
          <w:p>
            <w:r>
              <w:t>B1</w:t>
            </w:r>
          </w:p>
        </w:tc>
        <w:tc>
          <w:tcPr>
            <w:tcW w:type="dxa" w:w="2880"/>
          </w:tcPr>
          <w:p>
            <w:r>
              <w:t>BS_EN_50174_3_2013::5.3.4.2.1::req_4</w:t>
            </w:r>
          </w:p>
        </w:tc>
        <w:tc>
          <w:tcPr>
            <w:tcW w:type="dxa" w:w="2880"/>
          </w:tcPr>
          <w:p>
            <w:r>
              <w:t>BS EN 50174-3:2013 5.3.4.2.1</w:t>
            </w:r>
          </w:p>
        </w:tc>
      </w:tr>
      <w:tr>
        <w:tc>
          <w:tcPr>
            <w:tcW w:type="dxa" w:w="2880"/>
          </w:tcPr>
          <w:p>
            <w:r>
              <w:t>B2</w:t>
            </w:r>
          </w:p>
        </w:tc>
        <w:tc>
          <w:tcPr>
            <w:tcW w:type="dxa" w:w="2880"/>
          </w:tcPr>
          <w:p>
            <w:r>
              <w:t>BS_EN_50174_3_2013::4.3.4.3.1::req_0</w:t>
            </w:r>
          </w:p>
        </w:tc>
        <w:tc>
          <w:tcPr>
            <w:tcW w:type="dxa" w:w="2880"/>
          </w:tcPr>
          <w:p>
            <w:r>
              <w:t>BS EN 50174-3:2013 4.3.4.3.1</w:t>
            </w:r>
          </w:p>
        </w:tc>
      </w:tr>
      <w:tr>
        <w:tc>
          <w:tcPr>
            <w:tcW w:type="dxa" w:w="2880"/>
          </w:tcPr>
          <w:p>
            <w:r>
              <w:t>B3</w:t>
            </w:r>
          </w:p>
        </w:tc>
        <w:tc>
          <w:tcPr>
            <w:tcW w:type="dxa" w:w="2880"/>
          </w:tcPr>
          <w:p>
            <w:r>
              <w:t>BS_EN_50174_3_2013::4.4.3.1::req_0</w:t>
            </w:r>
          </w:p>
        </w:tc>
        <w:tc>
          <w:tcPr>
            <w:tcW w:type="dxa" w:w="2880"/>
          </w:tcPr>
          <w:p>
            <w:r>
              <w:t>BS EN 50174-3:2013 4.4.3.1</w:t>
            </w:r>
          </w:p>
        </w:tc>
      </w:tr>
      <w:tr>
        <w:tc>
          <w:tcPr>
            <w:tcW w:type="dxa" w:w="2880"/>
          </w:tcPr>
          <w:p>
            <w:r>
              <w:t>B4</w:t>
            </w:r>
          </w:p>
        </w:tc>
        <w:tc>
          <w:tcPr>
            <w:tcW w:type="dxa" w:w="2880"/>
          </w:tcPr>
          <w:p>
            <w:r>
              <w:t>BS_EN_50174_3_2013::4.7.1.1::req_0</w:t>
            </w:r>
          </w:p>
        </w:tc>
        <w:tc>
          <w:tcPr>
            <w:tcW w:type="dxa" w:w="2880"/>
          </w:tcPr>
          <w:p>
            <w:r>
              <w:t>BS EN 50174-3:2013 4.7.1.1</w:t>
            </w:r>
          </w:p>
        </w:tc>
      </w:tr>
    </w:tbl>
    <w:p>
      <w:pPr>
        <w:pStyle w:val="Heading1"/>
      </w:pPr>
      <w:r>
        <w:t>4. References</w:t>
      </w:r>
    </w:p>
    <w:p>
      <w:pPr>
        <w:pStyle w:val="ListBullet"/>
      </w:pPr>
      <w:r>
        <w:t>BS EN 50174-3:2013</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DVP-GEN System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CONFIDENTIAL - Automotive LED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