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Product Testing Plan (PTP)</w:t>
      </w:r>
    </w:p>
    <w:p>
      <w:r>
        <w:br/>
      </w:r>
    </w:p>
    <w:p>
      <w:pPr>
        <w:pStyle w:val="Title"/>
        <w:jc w:val="center"/>
      </w:pPr>
      <w:r>
        <w:t>DC Port</w:t>
      </w:r>
    </w:p>
    <w:p>
      <w:pPr>
        <w:jc w:val="center"/>
      </w:pPr>
      <w:r>
        <w:t>Type: DC Port</w:t>
      </w:r>
    </w:p>
    <w:p>
      <w:pPr>
        <w:jc w:val="center"/>
      </w:pPr>
      <w:r>
        <w:t>Application: Automotive</w:t>
      </w:r>
    </w:p>
    <w:p>
      <w:pPr>
        <w:jc w:val="center"/>
      </w:pPr>
      <w:r>
        <w:t>Document Version: 1.0</w:t>
      </w:r>
    </w:p>
    <w:p>
      <w:pPr>
        <w:jc w:val="center"/>
      </w:pPr>
      <w:r>
        <w:t>Date: 2026-02-01</w:t>
      </w:r>
    </w:p>
    <w:p>
      <w:r>
        <w:br w:type="page"/>
      </w:r>
    </w:p>
    <w:p>
      <w:pPr>
        <w:pStyle w:val="Heading1"/>
      </w:pPr>
      <w:r>
        <w:t>1. Introduction</w:t>
      </w:r>
    </w:p>
    <w:p>
      <w:r>
        <w:t>This document outlines the Product Testing Plan for the DC Port DC Port. The purpose of this plan is to define the testing strategy and procedures to verify that the product meets all specified requirements for Automotive application.</w:t>
      </w:r>
    </w:p>
    <w:p>
      <w:pPr>
        <w:pStyle w:val="Heading2"/>
      </w:pPr>
      <w:r>
        <w:t>1.1 Component Details</w:t>
      </w:r>
    </w:p>
    <w:tbl>
      <w:tblPr>
        <w:tblStyle w:val="TableGrid"/>
        <w:tblW w:type="auto" w:w="0"/>
        <w:tblLook w:firstColumn="1" w:firstRow="1" w:lastColumn="0" w:lastRow="0" w:noHBand="0" w:noVBand="1" w:val="04A0"/>
      </w:tblPr>
      <w:tblGrid>
        <w:gridCol w:w="2880"/>
        <w:gridCol w:w="6480"/>
      </w:tblGrid>
      <w:tr>
        <w:tc>
          <w:tcPr>
            <w:tcW w:type="dxa" w:w="2880"/>
          </w:tcPr>
          <w:p>
            <w:r>
              <w:t>Component Name</w:t>
            </w:r>
          </w:p>
        </w:tc>
        <w:tc>
          <w:tcPr>
            <w:tcW w:type="dxa" w:w="6480"/>
          </w:tcPr>
          <w:p>
            <w:r>
              <w:t>DC Port</w:t>
            </w:r>
          </w:p>
        </w:tc>
      </w:tr>
      <w:tr>
        <w:tc>
          <w:tcPr>
            <w:tcW w:type="dxa" w:w="2880"/>
          </w:tcPr>
          <w:p>
            <w:r>
              <w:t>Component Type</w:t>
            </w:r>
          </w:p>
        </w:tc>
        <w:tc>
          <w:tcPr>
            <w:tcW w:type="dxa" w:w="6480"/>
          </w:tcPr>
          <w:p>
            <w:r>
              <w:t>DC Port</w:t>
            </w:r>
          </w:p>
        </w:tc>
      </w:tr>
      <w:tr>
        <w:tc>
          <w:tcPr>
            <w:tcW w:type="dxa" w:w="2880"/>
          </w:tcPr>
          <w:p>
            <w:r>
              <w:t>Application</w:t>
            </w:r>
          </w:p>
        </w:tc>
        <w:tc>
          <w:tcPr>
            <w:tcW w:type="dxa" w:w="6480"/>
          </w:tcPr>
          <w:p>
            <w:r>
              <w:t>Automotive</w:t>
            </w:r>
          </w:p>
        </w:tc>
      </w:tr>
      <w:tr>
        <w:tc>
          <w:tcPr>
            <w:tcW w:type="dxa" w:w="2880"/>
          </w:tcPr>
          <w:p>
            <w:r>
              <w:t>Test Level</w:t>
            </w:r>
          </w:p>
        </w:tc>
        <w:tc>
          <w:tcPr>
            <w:tcW w:type="dxa" w:w="6480"/>
          </w:tcPr>
          <w:p>
            <w:r>
              <w:t>Component</w:t>
            </w:r>
          </w:p>
        </w:tc>
      </w:tr>
      <w:tr>
        <w:tc>
          <w:tcPr>
            <w:tcW w:type="dxa" w:w="2880"/>
          </w:tcPr>
          <w:p>
            <w:r>
              <w:t>Variants</w:t>
            </w:r>
          </w:p>
        </w:tc>
        <w:tc>
          <w:tcPr>
            <w:tcW w:type="dxa" w:w="6480"/>
          </w:tcPr>
          <w:p>
            <w:r>
              <w:t>Standard</w:t>
            </w:r>
          </w:p>
        </w:tc>
      </w:tr>
    </w:tbl>
    <w:p>
      <w:pPr>
        <w:pStyle w:val="Heading1"/>
      </w:pPr>
      <w:r>
        <w:t>2. Test Plan Matrix</w:t>
      </w:r>
    </w:p>
    <w:p>
      <w:r>
        <w:t>The following table details the required tests, procedures, and acceptance criteria.</w:t>
      </w:r>
    </w:p>
    <w:tbl>
      <w:tblPr>
        <w:tblStyle w:val="TableGrid"/>
        <w:tblW w:type="auto" w:w="0"/>
        <w:tblLook w:firstColumn="1" w:firstRow="1" w:lastColumn="0" w:lastRow="0" w:noHBand="0" w:noVBand="1" w:val="04A0"/>
      </w:tblPr>
      <w:tblGrid>
        <w:gridCol w:w="720"/>
        <w:gridCol w:w="2160"/>
        <w:gridCol w:w="3600"/>
        <w:gridCol w:w="2160"/>
        <w:gridCol w:w="720"/>
      </w:tblGrid>
      <w:tr>
        <w:tc>
          <w:tcPr>
            <w:tcW w:type="dxa" w:w="1728"/>
            <w:shd w:fill="366092"/>
          </w:tcPr>
          <w:p>
            <w:r>
              <w:rPr>
                <w:b/>
                <w:color w:val="FFFFFF"/>
              </w:rPr>
              <w:t>ID</w:t>
            </w:r>
          </w:p>
        </w:tc>
        <w:tc>
          <w:tcPr>
            <w:tcW w:type="dxa" w:w="1728"/>
            <w:shd w:fill="366092"/>
          </w:tcPr>
          <w:p>
            <w:r>
              <w:rPr>
                <w:b/>
                <w:color w:val="FFFFFF"/>
              </w:rPr>
              <w:t>Test Description</w:t>
            </w:r>
          </w:p>
        </w:tc>
        <w:tc>
          <w:tcPr>
            <w:tcW w:type="dxa" w:w="1728"/>
            <w:shd w:fill="366092"/>
          </w:tcPr>
          <w:p>
            <w:r>
              <w:rPr>
                <w:b/>
                <w:color w:val="FFFFFF"/>
              </w:rPr>
              <w:t>Test Procedure</w:t>
            </w:r>
          </w:p>
        </w:tc>
        <w:tc>
          <w:tcPr>
            <w:tcW w:type="dxa" w:w="1728"/>
            <w:shd w:fill="366092"/>
          </w:tcPr>
          <w:p>
            <w:r>
              <w:rPr>
                <w:b/>
                <w:color w:val="FFFFFF"/>
              </w:rPr>
              <w:t>Acceptance Criteria</w:t>
            </w:r>
          </w:p>
        </w:tc>
        <w:tc>
          <w:tcPr>
            <w:tcW w:type="dxa" w:w="1728"/>
            <w:shd w:fill="366092"/>
          </w:tcPr>
          <w:p>
            <w:r>
              <w:rPr>
                <w:b/>
                <w:color w:val="FFFFFF"/>
              </w:rPr>
              <w:t>Qty</w:t>
            </w:r>
          </w:p>
        </w:tc>
      </w:tr>
      <w:tr>
        <w:tc>
          <w:tcPr>
            <w:tcW w:type="dxa" w:w="720"/>
          </w:tcPr>
          <w:p>
            <w:r>
              <w:t>B1</w:t>
            </w:r>
          </w:p>
        </w:tc>
        <w:tc>
          <w:tcPr>
            <w:tcW w:type="dxa" w:w="2160"/>
          </w:tcPr>
          <w:p>
            <w:r>
              <w:t>Electromagnetic Immunity Verification for DC Port Interface</w:t>
            </w:r>
          </w:p>
        </w:tc>
        <w:tc>
          <w:tcPr>
            <w:tcW w:type="dxa" w:w="3600"/>
          </w:tcPr>
          <w:p>
            <w:r>
              <w:t>1. Set up the DC Port in an Anechoic Chamber according to ISO 11452-2 standards, utilizing the specified cable management system and representative cabling. 2. Connect a monitoring system to the DC Port output to observe voltage stability and signal integrity. 3. Subject the component to Radiated Electromagnetic Fields in the frequency range of 80 MHz to 2.0 GHz at a field strength of 100 V/m (80% AM, 1 kHz). 4. Perform a frequency sweep with a step size of 1% and a dwell time of 2 seconds at each frequency. 5. Apply Conducted Transients per ISO 7637-2 (Pulses 1, 2a, 3a, 3b) to the DC input lines while the port is under a 100% rated load. 6. Monitor for any functional deviations, resets, or permanent damage to the port or the simulated connected equipment.</w:t>
            </w:r>
          </w:p>
        </w:tc>
        <w:tc>
          <w:tcPr>
            <w:tcW w:type="dxa" w:w="2160"/>
          </w:tcPr>
          <w:p>
            <w:r>
              <w:t>The DC Port must maintain Class A performance (no deviation) during radiated immunity testing. During conducted transient testing, the port must meet Class B (self-recovery allowed) for Pulse 1 and Class A for Pulses 2a, 3a, and 3b. Output voltage ripple must not exceed ±5% of nominal during exposure.</w:t>
            </w:r>
          </w:p>
        </w:tc>
        <w:tc>
          <w:tcPr>
            <w:tcW w:type="dxa" w:w="720"/>
          </w:tcPr>
          <w:p>
            <w:r>
              <w:t>5</w:t>
            </w:r>
          </w:p>
        </w:tc>
      </w:tr>
      <w:tr>
        <w:tc>
          <w:tcPr>
            <w:tcW w:type="dxa" w:w="720"/>
          </w:tcPr>
          <w:p>
            <w:r>
              <w:t>B2</w:t>
            </w:r>
          </w:p>
        </w:tc>
        <w:tc>
          <w:tcPr>
            <w:tcW w:type="dxa" w:w="2160"/>
          </w:tcPr>
          <w:p>
            <w:r>
              <w:t>Electromagnetic Immunity Verification (Bulk Current Injection)</w:t>
            </w:r>
          </w:p>
        </w:tc>
        <w:tc>
          <w:tcPr>
            <w:tcW w:type="dxa" w:w="3600"/>
          </w:tcPr>
          <w:p>
            <w:r>
              <w:t>1. Position the DC Port (DUT) in a shielded semi-anechoic chamber on a non-conductive table 50mm above the copper ground plane. 2. Connect the DUT to a regulated 13.5V DC power supply via a Line Impedance Stabilization Network (LISN). 3. Connect the DC Port output to a resistive load bank simulating maximum rated current draw. 4. Place the Bulk Current Injection (BCI) probe 100mm from the DUT connector on the wiring harness. 5. Perform a closed-loop frequency sweep from 1 MHz to 400 MHz. 6. Apply a test level of 100 mA (Severity Level III) using 80% Amplitude Modulation (AM) with a 1 kHz sine wave. 7. Use a logarithmic frequency step size (typically 1% or 2%). 8. Monitor the DUT output voltage, thermal state, and communication bus (if applicable) for any deviations or errors during the injection.</w:t>
            </w:r>
          </w:p>
        </w:tc>
        <w:tc>
          <w:tcPr>
            <w:tcW w:type="dxa" w:w="2160"/>
          </w:tcPr>
          <w:p>
            <w:r>
              <w:t>The DUT shall exhibit Status Class A behavior: No deviation in output voltage exceeding ±5% of nominal; no unintended resets or shutdowns; no permanent degradation of performance after the test.</w:t>
            </w:r>
          </w:p>
        </w:tc>
        <w:tc>
          <w:tcPr>
            <w:tcW w:type="dxa" w:w="720"/>
          </w:tcPr>
          <w:p>
            <w:r>
              <w:t>5</w:t>
            </w:r>
          </w:p>
        </w:tc>
      </w:tr>
      <w:tr>
        <w:tc>
          <w:tcPr>
            <w:tcW w:type="dxa" w:w="720"/>
          </w:tcPr>
          <w:p>
            <w:r>
              <w:t>B3</w:t>
            </w:r>
          </w:p>
        </w:tc>
        <w:tc>
          <w:tcPr>
            <w:tcW w:type="dxa" w:w="2160"/>
          </w:tcPr>
          <w:p>
            <w:r>
              <w:t>DC Port EMI and Safety Segregation Verification</w:t>
            </w:r>
          </w:p>
        </w:tc>
        <w:tc>
          <w:tcPr>
            <w:tcW w:type="dxa" w:w="3600"/>
          </w:tcPr>
          <w:p>
            <w:r>
              <w:t>1. Visual Inspection: Verify the physical layout of the DC Port internal wiring and terminal arrangement. Ensure that high-voltage DC+ and DC- terminals are physically segregated from communication pins (CP, PP) and auxiliary power pins. 2. Clearance and Creepage Measurement: Measure the shortest distance through air (clearance) and along the surface of the insulation (creepage) between the DC power circuit and the signal circuit. 3. Insulation Resistance Test: Apply 500V DC between the DC power terminals and the signal terminals for 60 seconds. Record the resistance. 4. Dielectric Withstand Test: Apply a high-voltage potential (e.g., 2500V AC) between the DC power circuit and the signal circuit for 60 seconds to ensure no dielectric breakdown occurs. 5. EMI Coupling Verification: While the DC Port is operating at maximum rated current (e.g., 200A), monitor the signal integrity on the communication lines using an oscilloscope to ensure induced noise from the DC lines does not exceed 100mV peak-to-peak.</w:t>
            </w:r>
          </w:p>
        </w:tc>
        <w:tc>
          <w:tcPr>
            <w:tcW w:type="dxa" w:w="2160"/>
          </w:tcPr>
          <w:p>
            <w:r>
              <w:t>1. Physical segregation distances must meet the minimum design specification (e.g., &gt; 10mm). 2. Insulation resistance must be &gt; 100 MΩ. 3. No dielectric breakdown or flashover during high-voltage testing. 4. Signal integrity on communication lines must remain within specified limits (no EMI-induced errors).</w:t>
            </w:r>
          </w:p>
        </w:tc>
        <w:tc>
          <w:tcPr>
            <w:tcW w:type="dxa" w:w="720"/>
          </w:tcPr>
          <w:p>
            <w:r>
              <w:t>5</w:t>
            </w:r>
          </w:p>
        </w:tc>
      </w:tr>
      <w:tr>
        <w:tc>
          <w:tcPr>
            <w:tcW w:type="dxa" w:w="720"/>
          </w:tcPr>
          <w:p>
            <w:r>
              <w:t>B4</w:t>
            </w:r>
          </w:p>
        </w:tc>
        <w:tc>
          <w:tcPr>
            <w:tcW w:type="dxa" w:w="2160"/>
          </w:tcPr>
          <w:p>
            <w:r>
              <w:t>Electromagnetic Coupling and Immunity Evaluation for DC Port Cabling</w:t>
            </w:r>
          </w:p>
        </w:tc>
        <w:tc>
          <w:tcPr>
            <w:tcW w:type="dxa" w:w="3600"/>
          </w:tcPr>
          <w:p>
            <w:r>
              <w:t>1. Setup the DC Port and its associated wiring harness in a shielded semi-anechoic chamber according to CISPR 25 test bench configurations. 2. Connect the DC Port to a stabilized power supply and a programmable electronic load set to 80% of the rated current. 3. Perform Bulk Current Injection (BCI) on the DC Port harness using the substitution method. 4. Sweep frequencies from 1 MHz to 400 MHz with a step size of 1% and a dwell time of 2 seconds. 5. Apply 1kHz 80% Amplitude Modulation (AM) and Pulse Modulation (PM) as specified in ISO 11452-4. 6. Monitor the DC output voltage for ripples, spikes, or dropouts using a high-speed oscilloscope. 7. Perform Radiated Immunity testing from 400 MHz to 2 GHz using an antenna at a distance of 1 meter, monitoring for any functional degradation or thermal anomalies at the port interface.</w:t>
            </w:r>
          </w:p>
        </w:tc>
        <w:tc>
          <w:tcPr>
            <w:tcW w:type="dxa" w:w="2160"/>
          </w:tcPr>
          <w:p>
            <w:r>
              <w:t>The DC Port must maintain Functional Status Class A: No change in output voltage exceeding ±5% of nominal; no unintended resets or communication errors; no physical damage or overheating of the cabling interface.</w:t>
            </w:r>
          </w:p>
        </w:tc>
        <w:tc>
          <w:tcPr>
            <w:tcW w:type="dxa" w:w="720"/>
          </w:tcPr>
          <w:p>
            <w:r>
              <w:t>5</w:t>
            </w:r>
          </w:p>
        </w:tc>
      </w:tr>
    </w:tbl>
    <w:p>
      <w:pPr>
        <w:pStyle w:val="Heading1"/>
      </w:pPr>
      <w:r>
        <w:t>3. Requirement Traceability</w:t>
      </w:r>
    </w:p>
    <w:p>
      <w:r>
        <w:t>This section maps test cases to source requirements.</w:t>
      </w:r>
    </w:p>
    <w:tbl>
      <w:tblPr>
        <w:tblStyle w:val="TableGrid"/>
        <w:tblW w:type="auto" w:w="0"/>
        <w:tblLook w:firstColumn="1" w:firstRow="1" w:lastColumn="0" w:lastRow="0" w:noHBand="0" w:noVBand="1" w:val="04A0"/>
      </w:tblPr>
      <w:tblGrid>
        <w:gridCol w:w="2880"/>
        <w:gridCol w:w="2880"/>
        <w:gridCol w:w="2880"/>
      </w:tblGrid>
      <w:tr>
        <w:tc>
          <w:tcPr>
            <w:tcW w:type="dxa" w:w="2880"/>
            <w:shd w:fill="366092"/>
          </w:tcPr>
          <w:p>
            <w:r>
              <w:rPr>
                <w:b/>
                <w:color w:val="FFFFFF"/>
              </w:rPr>
              <w:t>ID</w:t>
            </w:r>
          </w:p>
        </w:tc>
        <w:tc>
          <w:tcPr>
            <w:tcW w:type="dxa" w:w="2880"/>
            <w:shd w:fill="366092"/>
          </w:tcPr>
          <w:p>
            <w:r>
              <w:rPr>
                <w:b/>
                <w:color w:val="FFFFFF"/>
              </w:rPr>
              <w:t>Requirement ID</w:t>
            </w:r>
          </w:p>
        </w:tc>
        <w:tc>
          <w:tcPr>
            <w:tcW w:type="dxa" w:w="2880"/>
            <w:shd w:fill="366092"/>
          </w:tcPr>
          <w:p>
            <w:r>
              <w:rPr>
                <w:b/>
                <w:color w:val="FFFFFF"/>
              </w:rPr>
              <w:t>Source Standard</w:t>
            </w:r>
          </w:p>
        </w:tc>
      </w:tr>
      <w:tr>
        <w:tc>
          <w:tcPr>
            <w:tcW w:type="dxa" w:w="2880"/>
          </w:tcPr>
          <w:p>
            <w:r>
              <w:t>B1</w:t>
            </w:r>
          </w:p>
        </w:tc>
        <w:tc>
          <w:tcPr>
            <w:tcW w:type="dxa" w:w="2880"/>
          </w:tcPr>
          <w:p>
            <w:r>
              <w:t>BS_EN_50174_3_2013::4.4.1.2::req_3</w:t>
            </w:r>
          </w:p>
        </w:tc>
        <w:tc>
          <w:tcPr>
            <w:tcW w:type="dxa" w:w="2880"/>
          </w:tcPr>
          <w:p>
            <w:r>
              <w:t>BS EN 50174-3:2013 4.4.1.2</w:t>
            </w:r>
          </w:p>
        </w:tc>
      </w:tr>
      <w:tr>
        <w:tc>
          <w:tcPr>
            <w:tcW w:type="dxa" w:w="2880"/>
          </w:tcPr>
          <w:p>
            <w:r>
              <w:t>B2</w:t>
            </w:r>
          </w:p>
        </w:tc>
        <w:tc>
          <w:tcPr>
            <w:tcW w:type="dxa" w:w="2880"/>
          </w:tcPr>
          <w:p>
            <w:r>
              <w:t>BS_EN_50174_3_2013::7.5.4.2::req_0</w:t>
            </w:r>
          </w:p>
        </w:tc>
        <w:tc>
          <w:tcPr>
            <w:tcW w:type="dxa" w:w="2880"/>
          </w:tcPr>
          <w:p>
            <w:r>
              <w:t>BS EN 50174-3:2013 7.5.4.2</w:t>
            </w:r>
          </w:p>
        </w:tc>
      </w:tr>
      <w:tr>
        <w:tc>
          <w:tcPr>
            <w:tcW w:type="dxa" w:w="2880"/>
          </w:tcPr>
          <w:p>
            <w:r>
              <w:t>B3</w:t>
            </w:r>
          </w:p>
        </w:tc>
        <w:tc>
          <w:tcPr>
            <w:tcW w:type="dxa" w:w="2880"/>
          </w:tcPr>
          <w:p>
            <w:r>
              <w:t>BS_EN_50174_3_2013::6.1::req_0</w:t>
            </w:r>
          </w:p>
        </w:tc>
        <w:tc>
          <w:tcPr>
            <w:tcW w:type="dxa" w:w="2880"/>
          </w:tcPr>
          <w:p>
            <w:r>
              <w:t>BS EN 50174-3:2013 6.1</w:t>
            </w:r>
          </w:p>
        </w:tc>
      </w:tr>
      <w:tr>
        <w:tc>
          <w:tcPr>
            <w:tcW w:type="dxa" w:w="2880"/>
          </w:tcPr>
          <w:p>
            <w:r>
              <w:t>B4</w:t>
            </w:r>
          </w:p>
        </w:tc>
        <w:tc>
          <w:tcPr>
            <w:tcW w:type="dxa" w:w="2880"/>
          </w:tcPr>
          <w:p>
            <w:r>
              <w:t>BS_EN_50174_3_2013::A.1.1::req_0</w:t>
            </w:r>
          </w:p>
        </w:tc>
        <w:tc>
          <w:tcPr>
            <w:tcW w:type="dxa" w:w="2880"/>
          </w:tcPr>
          <w:p>
            <w:r>
              <w:t>BS EN 50174-3:2013 A.1.1</w:t>
            </w:r>
          </w:p>
        </w:tc>
      </w:tr>
    </w:tbl>
    <w:p>
      <w:pPr>
        <w:pStyle w:val="Heading1"/>
      </w:pPr>
      <w:r>
        <w:t>4. References</w:t>
      </w:r>
    </w:p>
    <w:p>
      <w:pPr>
        <w:pStyle w:val="ListBullet"/>
      </w:pPr>
      <w:r>
        <w:t>BS EN 50174-3:2013</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PTP-GEN System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CONFIDENTIAL - DC 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