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Product Testing Plan (PTP)</w:t>
      </w:r>
    </w:p>
    <w:p>
      <w:r>
        <w:br/>
      </w:r>
    </w:p>
    <w:p>
      <w:pPr>
        <w:pStyle w:val="Title"/>
        <w:jc w:val="center"/>
      </w:pPr>
      <w:r>
        <w:t>DC Port</w:t>
      </w:r>
    </w:p>
    <w:p>
      <w:pPr>
        <w:jc w:val="center"/>
      </w:pPr>
      <w:r>
        <w:t>Type: DC Port</w:t>
      </w:r>
    </w:p>
    <w:p>
      <w:pPr>
        <w:jc w:val="center"/>
      </w:pPr>
      <w:r>
        <w:t>Application: Automotive</w:t>
      </w:r>
    </w:p>
    <w:p>
      <w:pPr>
        <w:jc w:val="center"/>
      </w:pPr>
      <w:r>
        <w:t>Document Version: 1.0</w:t>
      </w:r>
    </w:p>
    <w:p>
      <w:pPr>
        <w:jc w:val="center"/>
      </w:pPr>
      <w:r>
        <w:t>Date: 2026-02-01</w:t>
      </w:r>
    </w:p>
    <w:p>
      <w:r>
        <w:br w:type="page"/>
      </w:r>
    </w:p>
    <w:p>
      <w:pPr>
        <w:pStyle w:val="Heading1"/>
      </w:pPr>
      <w:r>
        <w:t>1. Introduction</w:t>
      </w:r>
    </w:p>
    <w:p>
      <w:r>
        <w:t>This document outlines the Product Testing Plan for the DC Port DC Port. The purpose of this plan is to define the testing strategy and procedures to verify that the product meets all specified requirements for Automotive application.</w:t>
      </w:r>
    </w:p>
    <w:p>
      <w:pPr>
        <w:pStyle w:val="Heading2"/>
      </w:pPr>
      <w:r>
        <w:t>1.1 Component Details</w:t>
      </w:r>
    </w:p>
    <w:tbl>
      <w:tblPr>
        <w:tblStyle w:val="TableGrid"/>
        <w:tblW w:type="auto" w:w="0"/>
        <w:tblLook w:firstColumn="1" w:firstRow="1" w:lastColumn="0" w:lastRow="0" w:noHBand="0" w:noVBand="1" w:val="04A0"/>
      </w:tblPr>
      <w:tblGrid>
        <w:gridCol w:w="2880"/>
        <w:gridCol w:w="6480"/>
      </w:tblGrid>
      <w:tr>
        <w:tc>
          <w:tcPr>
            <w:tcW w:type="dxa" w:w="2880"/>
          </w:tcPr>
          <w:p>
            <w:r>
              <w:t>Component Name</w:t>
            </w:r>
          </w:p>
        </w:tc>
        <w:tc>
          <w:tcPr>
            <w:tcW w:type="dxa" w:w="6480"/>
          </w:tcPr>
          <w:p>
            <w:r>
              <w:t>DC Port</w:t>
            </w:r>
          </w:p>
        </w:tc>
      </w:tr>
      <w:tr>
        <w:tc>
          <w:tcPr>
            <w:tcW w:type="dxa" w:w="2880"/>
          </w:tcPr>
          <w:p>
            <w:r>
              <w:t>Component Type</w:t>
            </w:r>
          </w:p>
        </w:tc>
        <w:tc>
          <w:tcPr>
            <w:tcW w:type="dxa" w:w="6480"/>
          </w:tcPr>
          <w:p>
            <w:r>
              <w:t>DC Port</w:t>
            </w:r>
          </w:p>
        </w:tc>
      </w:tr>
      <w:tr>
        <w:tc>
          <w:tcPr>
            <w:tcW w:type="dxa" w:w="2880"/>
          </w:tcPr>
          <w:p>
            <w:r>
              <w:t>Application</w:t>
            </w:r>
          </w:p>
        </w:tc>
        <w:tc>
          <w:tcPr>
            <w:tcW w:type="dxa" w:w="6480"/>
          </w:tcPr>
          <w:p>
            <w:r>
              <w:t>Automotive</w:t>
            </w:r>
          </w:p>
        </w:tc>
      </w:tr>
      <w:tr>
        <w:tc>
          <w:tcPr>
            <w:tcW w:type="dxa" w:w="2880"/>
          </w:tcPr>
          <w:p>
            <w:r>
              <w:t>Test Level</w:t>
            </w:r>
          </w:p>
        </w:tc>
        <w:tc>
          <w:tcPr>
            <w:tcW w:type="dxa" w:w="6480"/>
          </w:tcPr>
          <w:p>
            <w:r>
              <w:t>Component</w:t>
            </w:r>
          </w:p>
        </w:tc>
      </w:tr>
      <w:tr>
        <w:tc>
          <w:tcPr>
            <w:tcW w:type="dxa" w:w="2880"/>
          </w:tcPr>
          <w:p>
            <w:r>
              <w:t>Variants</w:t>
            </w:r>
          </w:p>
        </w:tc>
        <w:tc>
          <w:tcPr>
            <w:tcW w:type="dxa" w:w="648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720"/>
        <w:gridCol w:w="2160"/>
        <w:gridCol w:w="3600"/>
        <w:gridCol w:w="2160"/>
        <w:gridCol w:w="720"/>
      </w:tblGrid>
      <w:tr>
        <w:tc>
          <w:tcPr>
            <w:tcW w:type="dxa" w:w="1728"/>
            <w:shd w:fill="366092"/>
          </w:tcPr>
          <w:p>
            <w:r>
              <w:rPr>
                <w:b/>
                <w:color w:val="FFFFFF"/>
              </w:rPr>
              <w:t>ID</w:t>
            </w:r>
          </w:p>
        </w:tc>
        <w:tc>
          <w:tcPr>
            <w:tcW w:type="dxa" w:w="1728"/>
            <w:shd w:fill="366092"/>
          </w:tcPr>
          <w:p>
            <w:r>
              <w:rPr>
                <w:b/>
                <w:color w:val="FFFFFF"/>
              </w:rPr>
              <w:t>Test Description</w:t>
            </w:r>
          </w:p>
        </w:tc>
        <w:tc>
          <w:tcPr>
            <w:tcW w:type="dxa" w:w="1728"/>
            <w:shd w:fill="366092"/>
          </w:tcPr>
          <w:p>
            <w:r>
              <w:rPr>
                <w:b/>
                <w:color w:val="FFFFFF"/>
              </w:rPr>
              <w:t>Test Procedure</w:t>
            </w:r>
          </w:p>
        </w:tc>
        <w:tc>
          <w:tcPr>
            <w:tcW w:type="dxa" w:w="1728"/>
            <w:shd w:fill="366092"/>
          </w:tcPr>
          <w:p>
            <w:r>
              <w:rPr>
                <w:b/>
                <w:color w:val="FFFFFF"/>
              </w:rPr>
              <w:t>Acceptance Criteria</w:t>
            </w:r>
          </w:p>
        </w:tc>
        <w:tc>
          <w:tcPr>
            <w:tcW w:type="dxa" w:w="1728"/>
            <w:shd w:fill="366092"/>
          </w:tcPr>
          <w:p>
            <w:r>
              <w:rPr>
                <w:b/>
                <w:color w:val="FFFFFF"/>
              </w:rPr>
              <w:t>Qty</w:t>
            </w:r>
          </w:p>
        </w:tc>
      </w:tr>
      <w:tr>
        <w:tc>
          <w:tcPr>
            <w:tcW w:type="dxa" w:w="720"/>
          </w:tcPr>
          <w:p>
            <w:r>
              <w:t>B1</w:t>
            </w:r>
          </w:p>
        </w:tc>
        <w:tc>
          <w:tcPr>
            <w:tcW w:type="dxa" w:w="2160"/>
          </w:tcPr>
          <w:p>
            <w:r>
              <w:t>Electromagnetic Immunity - Radiated RF Fields (ALSE Method)</w:t>
            </w:r>
          </w:p>
        </w:tc>
        <w:tc>
          <w:tcPr>
            <w:tcW w:type="dxa" w:w="3600"/>
          </w:tcPr>
          <w:p>
            <w:r>
              <w:t>1. Setup the DC Port (DUT) in an Absorber-Lined Shielded Enclosure (ALSE) according to ISO 11452-2 specifications, ensuring the wiring harness is positioned 50mm above the ground plane on a non-conductive support. 2. Connect the DC Port to a representative load and monitoring system to simulate active power delivery. 3. Subject the DUT to radiated electromagnetic fields using a linearly polarized antenna (bi-conical and log-periodic) at a distance of 1 meter. 4. Sweep the frequency range from 80 MHz to 2.7 GHz in steps defined by the standard (typically 1% logarithmic increments). 5. Apply a field strength of 100 V/m with 80% Amplitude Modulation (AM) at 1 kHz. 6. Perform the test for both horizontal and vertical antenna polarizations. 7. Monitor the DC output voltage, current stability, and any digital communication signals (e.g., PWM or CAN) for deviations or errors during the entire duration of the exposure.</w:t>
            </w:r>
          </w:p>
        </w:tc>
        <w:tc>
          <w:tcPr>
            <w:tcW w:type="dxa" w:w="2160"/>
          </w:tcPr>
          <w:p>
            <w:r>
              <w:t>The DUT shall meet Functional Status Class A: All functions of the DC Port perform as designed during and after exposure. No deviation in output voltage exceeding +/- 5% of nominal, and no interruption in communication signals or unintended state changes.</w:t>
            </w:r>
          </w:p>
        </w:tc>
        <w:tc>
          <w:tcPr>
            <w:tcW w:type="dxa" w:w="720"/>
          </w:tcPr>
          <w:p>
            <w:r>
              <w:t>5</w:t>
            </w:r>
          </w:p>
        </w:tc>
      </w:tr>
      <w:tr>
        <w:tc>
          <w:tcPr>
            <w:tcW w:type="dxa" w:w="720"/>
          </w:tcPr>
          <w:p>
            <w:r>
              <w:t>B2</w:t>
            </w:r>
          </w:p>
        </w:tc>
        <w:tc>
          <w:tcPr>
            <w:tcW w:type="dxa" w:w="2160"/>
          </w:tcPr>
          <w:p>
            <w:r>
              <w:t>Electromagnetic Immunity and Interference Management Verification</w:t>
            </w:r>
          </w:p>
        </w:tc>
        <w:tc>
          <w:tcPr>
            <w:tcW w:type="dxa" w:w="3600"/>
          </w:tcPr>
          <w:p>
            <w:r>
              <w:t>1. Setup the DC Port in an Anechoic Shielded Chamber according to ISO 11452-1 setup requirements. 2. Connect the DC Port to a simulated vehicle battery (13.5V DC) and a representative resistive load (e.g., 10A). 3. Perform Bulk Current Injection (BCI) per ISO 11452-4: Apply interference from 1 MHz to 400 MHz using the substitution method at a severity level of 100 mA. 4. Perform Radiated Immunity (ALSE) per ISO 11452-2: Subject the component to electromagnetic fields from 400 MHz to 2000 MHz at a field strength of 100 V/m (80% AM, 1 kHz sine wave). 5. Use a 1% frequency step size with a dwell time of 2 seconds at each frequency point. 6. Monitor the output voltage stability and thermal profile of the DC Port throughout the test using non-conductive fiber-optic probes.</w:t>
            </w:r>
          </w:p>
        </w:tc>
        <w:tc>
          <w:tcPr>
            <w:tcW w:type="dxa" w:w="2160"/>
          </w:tcPr>
          <w:p>
            <w:r>
              <w:t>The DC Port shall meet Functional Status Class A: All functions perform as designed during and after exposure. Output voltage deviation shall not exceed ±5% of nominal. No unintended resets, hardware damage, or degradation of the EMI shielding effectiveness shall occur.</w:t>
            </w:r>
          </w:p>
        </w:tc>
        <w:tc>
          <w:tcPr>
            <w:tcW w:type="dxa" w:w="720"/>
          </w:tcPr>
          <w:p>
            <w:r>
              <w:t>5</w:t>
            </w:r>
          </w:p>
        </w:tc>
      </w:tr>
      <w:tr>
        <w:tc>
          <w:tcPr>
            <w:tcW w:type="dxa" w:w="720"/>
          </w:tcPr>
          <w:p>
            <w:r>
              <w:t>B3</w:t>
            </w:r>
          </w:p>
        </w:tc>
        <w:tc>
          <w:tcPr>
            <w:tcW w:type="dxa" w:w="2160"/>
          </w:tcPr>
          <w:p>
            <w:r>
              <w:t>EMC Installation and Shielding Effectiveness Verification</w:t>
            </w:r>
          </w:p>
        </w:tc>
        <w:tc>
          <w:tcPr>
            <w:tcW w:type="dxa" w:w="3600"/>
          </w:tcPr>
          <w:p>
            <w:r>
              <w:t>1. Mount the DC Port assembly on a grounded metallic test bench within a semi-anechoic chamber (SAC). 2. Establish a low-impedance connection between the DC Port housing and the reference ground plane. 3. Measure the DC bonding resistance using a micro-ohmmeter. 4. Connect the DC Port to a High Voltage (HV) battery simulator and a load to simulate active DC charging. 5. Perform Radiated Emissions (RE) measurements from 150 kHz to 2.5 GHz using an EMI receiver and appropriate antennas (Biconical, Log-periodic, and Horn) at a 1-meter distance. 6. Perform Conducted Emissions (CE) measurements on the HV DC lines using a 5μH/50Ω Line Impedance Stabilization Network (LISN). 7. Verify the shielding effectiveness of the port-to-cable interface by applying a surface transfer impedance test if applicable.</w:t>
            </w:r>
          </w:p>
        </w:tc>
        <w:tc>
          <w:tcPr>
            <w:tcW w:type="dxa" w:w="2160"/>
          </w:tcPr>
          <w:p>
            <w:r>
              <w:t>1. Grounding bonding resistance shall be ≤ 2.5 mΩ. 2. Radiated and Conducted emissions shall not exceed CISPR 25 Class 3 limits. 3. No degradation of signal integrity on communication pins (CAN/PLC) during high-current flow.</w:t>
            </w:r>
          </w:p>
        </w:tc>
        <w:tc>
          <w:tcPr>
            <w:tcW w:type="dxa" w:w="720"/>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366092"/>
          </w:tcPr>
          <w:p>
            <w:r>
              <w:rPr>
                <w:b/>
                <w:color w:val="FFFFFF"/>
              </w:rPr>
              <w:t>ID</w:t>
            </w:r>
          </w:p>
        </w:tc>
        <w:tc>
          <w:tcPr>
            <w:tcW w:type="dxa" w:w="2880"/>
            <w:shd w:fill="366092"/>
          </w:tcPr>
          <w:p>
            <w:r>
              <w:rPr>
                <w:b/>
                <w:color w:val="FFFFFF"/>
              </w:rPr>
              <w:t>Requirement ID</w:t>
            </w:r>
          </w:p>
        </w:tc>
        <w:tc>
          <w:tcPr>
            <w:tcW w:type="dxa" w:w="2880"/>
            <w:shd w:fill="366092"/>
          </w:tcPr>
          <w:p>
            <w:r>
              <w:rPr>
                <w:b/>
                <w:color w:val="FFFFFF"/>
              </w:rPr>
              <w:t>Source Standard</w:t>
            </w:r>
          </w:p>
        </w:tc>
      </w:tr>
      <w:tr>
        <w:tc>
          <w:tcPr>
            <w:tcW w:type="dxa" w:w="2880"/>
          </w:tcPr>
          <w:p>
            <w:r>
              <w:t>B1</w:t>
            </w:r>
          </w:p>
        </w:tc>
        <w:tc>
          <w:tcPr>
            <w:tcW w:type="dxa" w:w="2880"/>
          </w:tcPr>
          <w:p>
            <w:r>
              <w:t>BS_EN_50174_3_2013::4.4.1.2::req_3</w:t>
            </w:r>
          </w:p>
        </w:tc>
        <w:tc>
          <w:tcPr>
            <w:tcW w:type="dxa" w:w="2880"/>
          </w:tcPr>
          <w:p>
            <w:r>
              <w:t>BS EN 50174-3:2013 4.4.1.2 (d)</w:t>
            </w:r>
          </w:p>
        </w:tc>
      </w:tr>
      <w:tr>
        <w:tc>
          <w:tcPr>
            <w:tcW w:type="dxa" w:w="2880"/>
          </w:tcPr>
          <w:p>
            <w:r>
              <w:t>B2</w:t>
            </w:r>
          </w:p>
        </w:tc>
        <w:tc>
          <w:tcPr>
            <w:tcW w:type="dxa" w:w="2880"/>
          </w:tcPr>
          <w:p>
            <w:r>
              <w:t>BS_EN_50174_3_2013::7.5.4.2::req_0</w:t>
            </w:r>
          </w:p>
        </w:tc>
        <w:tc>
          <w:tcPr>
            <w:tcW w:type="dxa" w:w="2880"/>
          </w:tcPr>
          <w:p>
            <w:r>
              <w:t>BS EN 50174-3:2013 7.5.4.2</w:t>
            </w:r>
          </w:p>
        </w:tc>
      </w:tr>
      <w:tr>
        <w:tc>
          <w:tcPr>
            <w:tcW w:type="dxa" w:w="2880"/>
          </w:tcPr>
          <w:p>
            <w:r>
              <w:t>B3</w:t>
            </w:r>
          </w:p>
        </w:tc>
        <w:tc>
          <w:tcPr>
            <w:tcW w:type="dxa" w:w="2880"/>
          </w:tcPr>
          <w:p>
            <w:r>
              <w:t>BS_EN_50174_3_2013::A.2::req_0</w:t>
            </w:r>
          </w:p>
        </w:tc>
        <w:tc>
          <w:tcPr>
            <w:tcW w:type="dxa" w:w="2880"/>
          </w:tcPr>
          <w:p>
            <w:r>
              <w:t>BS EN 50174-3:2013 Annex A.2, Table A.1</w:t>
            </w:r>
          </w:p>
        </w:tc>
      </w:tr>
    </w:tbl>
    <w:p>
      <w:pPr>
        <w:pStyle w:val="Heading1"/>
      </w:pPr>
      <w:r>
        <w:t>4. References</w:t>
      </w:r>
    </w:p>
    <w:p>
      <w:pPr>
        <w:pStyle w:val="ListBullet"/>
      </w:pPr>
      <w:r>
        <w:t>BS EN 50174-3:2013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PTP-GEN System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CONFIDENTIAL - DC 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