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D6FBC">
      <w:pPr>
        <w:pStyle w:val="2"/>
        <w:jc w:val="center"/>
        <w:rPr>
          <w:rFonts w:hint="eastAsia" w:ascii="Times New Roman" w:hAnsi="Times New Roman" w:eastAsia="宋体"/>
          <w:b/>
          <w:bCs/>
          <w:color w:val="auto"/>
        </w:rPr>
      </w:pPr>
      <w:bookmarkStart w:id="0" w:name="医保欺诈检测实验设计表格"/>
      <w:r>
        <w:rPr>
          <w:rFonts w:hint="eastAsia" w:ascii="Times New Roman" w:hAnsi="Times New Roman" w:eastAsia="宋体"/>
          <w:b/>
          <w:bCs/>
          <w:color w:val="auto"/>
        </w:rPr>
        <w:t>医保欺诈检测实验设计</w:t>
      </w:r>
    </w:p>
    <w:p w14:paraId="374AEA07">
      <w:pPr>
        <w:bidi w:val="0"/>
        <w:jc w:val="center"/>
        <w:rPr>
          <w:rFonts w:hint="eastAsia"/>
          <w:lang w:val="en-US" w:eastAsia="zh-CN"/>
        </w:rPr>
      </w:pPr>
    </w:p>
    <w:p w14:paraId="7A2D790F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医保数据：20000参保人涉嫌医保欺诈数据集</w:t>
      </w: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7"/>
        <w:gridCol w:w="5526"/>
        <w:gridCol w:w="1566"/>
      </w:tblGrid>
      <w:tr w14:paraId="7CBB5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0B45A2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数据表名称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48B93C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数据表内容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4224F9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数据条数</w:t>
            </w:r>
          </w:p>
        </w:tc>
      </w:tr>
      <w:tr w14:paraId="4B283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D4ACE4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df_id_train.csv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507A87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20000 名就诊人员是否涉嫌欺诈的标签（0=正常，1=涉嫌欺诈）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7D9523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20000</w:t>
            </w:r>
          </w:p>
        </w:tc>
      </w:tr>
      <w:tr w14:paraId="6F3CD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FBDC82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df_train.csv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E856CA">
            <w:pPr>
              <w:pStyle w:val="3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20000 名就诊人员的就诊结算记录信息，有68维特征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E1F8F6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1830386</w:t>
            </w:r>
          </w:p>
        </w:tc>
      </w:tr>
      <w:tr w14:paraId="471C4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D08DDD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fee_detail.csv</w:t>
            </w:r>
          </w:p>
        </w:tc>
        <w:tc>
          <w:tcPr>
            <w:tcW w:w="552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34A233">
            <w:pPr>
              <w:pStyle w:val="3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就诊人员在不同医院的消费金额与消费内容的补充数据</w:t>
            </w:r>
          </w:p>
        </w:tc>
        <w:tc>
          <w:tcPr>
            <w:tcW w:w="1566" w:type="dxa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05E750">
            <w:pPr>
              <w:pStyle w:val="3"/>
              <w:jc w:val="center"/>
              <w:rPr>
                <w:rFonts w:hint="eastAsia" w:ascii="Times New Roman" w:hAnsi="Times New Roman" w:eastAsia="宋体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lang w:val="en-US" w:eastAsia="zh-CN"/>
              </w:rPr>
              <w:t>6532901</w:t>
            </w:r>
          </w:p>
        </w:tc>
      </w:tr>
    </w:tbl>
    <w:p w14:paraId="635452B8">
      <w:pPr>
        <w:pStyle w:val="3"/>
        <w:rPr>
          <w:rFonts w:hint="eastAsia" w:ascii="Times New Roman" w:hAnsi="Times New Roman" w:eastAsia="宋体"/>
          <w:color w:val="auto"/>
          <w:lang w:val="en-US" w:eastAsia="zh-CN"/>
        </w:rPr>
      </w:pPr>
    </w:p>
    <w:p w14:paraId="0500F166">
      <w:pPr>
        <w:pStyle w:val="2"/>
        <w:bidi w:val="0"/>
        <w:rPr>
          <w:color w:val="auto"/>
        </w:rPr>
      </w:pPr>
      <w:bookmarkStart w:id="1" w:name="一整体实验流程图"/>
      <w:r>
        <w:rPr>
          <w:rFonts w:hint="eastAsia"/>
          <w:color w:val="auto"/>
        </w:rPr>
        <w:t>一、整体实验流程图</w:t>
      </w:r>
    </w:p>
    <w:p w14:paraId="784A2C7E">
      <w:pPr>
        <w:pStyle w:val="53"/>
        <w:rPr>
          <w:rFonts w:ascii="Times New Roman" w:hAnsi="Times New Roman" w:eastAsia="宋体"/>
        </w:rPr>
      </w:pPr>
      <w:r>
        <w:rPr>
          <w:rStyle w:val="52"/>
          <w:rFonts w:hint="eastAsia" w:ascii="Times New Roman" w:hAnsi="Times New Roman" w:eastAsia="宋体"/>
        </w:rPr>
        <w:t>数据预处理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特征工程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模型训练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实验对比</w:t>
      </w:r>
      <w:r>
        <w:rPr>
          <w:rStyle w:val="52"/>
          <w:rFonts w:ascii="Times New Roman" w:hAnsi="Times New Roman" w:eastAsia="宋体"/>
        </w:rPr>
        <w:t xml:space="preserve"> → </w:t>
      </w:r>
      <w:r>
        <w:rPr>
          <w:rStyle w:val="52"/>
          <w:rFonts w:hint="eastAsia" w:ascii="Times New Roman" w:hAnsi="Times New Roman" w:eastAsia="宋体"/>
        </w:rPr>
        <w:t>可解释性分析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ascii="Times New Roman" w:hAnsi="Times New Roman" w:eastAsia="宋体"/>
        </w:rPr>
        <w:t xml:space="preserve">    ↓  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</w:t>
      </w:r>
      <w:r>
        <w:rPr>
          <w:rStyle w:val="52"/>
          <w:rFonts w:ascii="Times New Roman" w:hAnsi="Times New Roman" w:eastAsia="宋体"/>
        </w:rPr>
        <w:t xml:space="preserve">        ↓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</w:t>
      </w:r>
      <w:r>
        <w:rPr>
          <w:rStyle w:val="52"/>
          <w:rFonts w:ascii="Times New Roman" w:hAnsi="Times New Roman" w:eastAsia="宋体"/>
        </w:rPr>
        <w:t xml:space="preserve">↓   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Style w:val="52"/>
          <w:rFonts w:ascii="Times New Roman" w:hAnsi="Times New Roman" w:eastAsia="宋体"/>
        </w:rPr>
        <w:t xml:space="preserve"> ↓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             </w:t>
      </w:r>
      <w:r>
        <w:rPr>
          <w:rStyle w:val="52"/>
          <w:rFonts w:ascii="Times New Roman" w:hAnsi="Times New Roman" w:eastAsia="宋体"/>
        </w:rPr>
        <w:t xml:space="preserve">  ↓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hint="eastAsia" w:ascii="Times New Roman" w:hAnsi="Times New Roman" w:eastAsia="宋体"/>
        </w:rPr>
        <w:t>缺失值处理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  <w:lang w:val="en-US" w:eastAsia="zh-CN"/>
        </w:rPr>
        <w:t>就诊</w:t>
      </w:r>
      <w:r>
        <w:rPr>
          <w:rStyle w:val="52"/>
          <w:rFonts w:hint="eastAsia" w:ascii="Times New Roman" w:hAnsi="Times New Roman" w:eastAsia="宋体"/>
        </w:rPr>
        <w:t>特征</w:t>
      </w:r>
      <w:r>
        <w:rPr>
          <w:rStyle w:val="52"/>
          <w:rFonts w:ascii="Times New Roman" w:hAnsi="Times New Roman" w:eastAsia="宋体"/>
        </w:rPr>
        <w:t xml:space="preserve">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</w:t>
      </w:r>
      <w:r>
        <w:rPr>
          <w:rStyle w:val="52"/>
          <w:rFonts w:hint="eastAsia" w:ascii="Times New Roman" w:hAnsi="Times New Roman" w:eastAsia="宋体"/>
        </w:rPr>
        <w:t>主模型</w:t>
      </w:r>
      <w:r>
        <w:rPr>
          <w:rStyle w:val="52"/>
          <w:rFonts w:ascii="Times New Roman" w:hAnsi="Times New Roman" w:eastAsia="宋体"/>
        </w:rPr>
        <w:t xml:space="preserve">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</w:t>
      </w:r>
      <w:r>
        <w:rPr>
          <w:rStyle w:val="52"/>
          <w:rFonts w:hint="eastAsia" w:ascii="Times New Roman" w:hAnsi="Times New Roman" w:eastAsia="宋体"/>
        </w:rPr>
        <w:t>对比实验</w:t>
      </w:r>
      <w:r>
        <w:rPr>
          <w:rStyle w:val="52"/>
          <w:rFonts w:ascii="Times New Roman" w:hAnsi="Times New Roman" w:eastAsia="宋体"/>
        </w:rPr>
        <w:t xml:space="preserve">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</w:t>
      </w:r>
      <w:r>
        <w:rPr>
          <w:rStyle w:val="52"/>
          <w:rFonts w:hint="eastAsia" w:ascii="Times New Roman" w:hAnsi="Times New Roman" w:eastAsia="宋体"/>
        </w:rPr>
        <w:t>Attention可视化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hint="eastAsia" w:ascii="Times New Roman" w:hAnsi="Times New Roman" w:eastAsia="宋体"/>
        </w:rPr>
        <w:t>异常值处理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</w:rPr>
        <w:t>时序特征</w:t>
      </w:r>
      <w:r>
        <w:rPr>
          <w:rStyle w:val="52"/>
          <w:rFonts w:ascii="Times New Roman" w:hAnsi="Times New Roman" w:eastAsia="宋体"/>
        </w:rPr>
        <w:t xml:space="preserve">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</w:t>
      </w:r>
      <w:r>
        <w:rPr>
          <w:rStyle w:val="52"/>
          <w:rFonts w:hint="eastAsia" w:ascii="Times New Roman" w:hAnsi="Times New Roman" w:eastAsia="宋体"/>
        </w:rPr>
        <w:t>Base模型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</w:t>
      </w:r>
      <w:r>
        <w:rPr>
          <w:rStyle w:val="52"/>
          <w:rFonts w:hint="eastAsia" w:ascii="Times New Roman" w:hAnsi="Times New Roman" w:eastAsia="宋体"/>
        </w:rPr>
        <w:t>消融实验</w:t>
      </w:r>
      <w:r>
        <w:rPr>
          <w:rStyle w:val="52"/>
          <w:rFonts w:ascii="Times New Roman" w:hAnsi="Times New Roman" w:eastAsia="宋体"/>
        </w:rPr>
        <w:t xml:space="preserve"> 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</w:t>
      </w:r>
      <w:r>
        <w:rPr>
          <w:rStyle w:val="52"/>
          <w:rFonts w:hint="eastAsia" w:ascii="Times New Roman" w:hAnsi="Times New Roman" w:eastAsia="宋体"/>
        </w:rPr>
        <w:t>SHAP分析</w:t>
      </w:r>
      <w:r>
        <w:rPr>
          <w:rFonts w:ascii="Times New Roman" w:hAnsi="Times New Roman" w:eastAsia="宋体"/>
        </w:rPr>
        <w:br w:type="textWrapping"/>
      </w:r>
      <w:r>
        <w:rPr>
          <w:rStyle w:val="52"/>
          <w:rFonts w:hint="eastAsia" w:ascii="Times New Roman" w:hAnsi="Times New Roman" w:eastAsia="宋体"/>
        </w:rPr>
        <w:t>标准化</w:t>
      </w:r>
      <w:r>
        <w:rPr>
          <w:rStyle w:val="52"/>
          <w:rFonts w:ascii="Times New Roman" w:hAnsi="Times New Roman" w:eastAsia="宋体"/>
        </w:rPr>
        <w:t xml:space="preserve">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</w:t>
      </w:r>
      <w:r>
        <w:rPr>
          <w:rStyle w:val="52"/>
          <w:rFonts w:hint="eastAsia" w:ascii="Times New Roman" w:hAnsi="Times New Roman" w:eastAsia="宋体"/>
        </w:rPr>
        <w:t>特征筛选</w:t>
      </w:r>
      <w:r>
        <w:rPr>
          <w:rStyle w:val="52"/>
          <w:rFonts w:ascii="Times New Roman" w:hAnsi="Times New Roman" w:eastAsia="宋体"/>
        </w:rPr>
        <w:t xml:space="preserve">   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       </w:t>
      </w:r>
      <w:r>
        <w:rPr>
          <w:rStyle w:val="52"/>
          <w:rFonts w:ascii="Times New Roman" w:hAnsi="Times New Roman" w:eastAsia="宋体"/>
        </w:rPr>
        <w:t xml:space="preserve">   </w:t>
      </w:r>
      <w:r>
        <w:rPr>
          <w:rStyle w:val="52"/>
          <w:rFonts w:hint="eastAsia" w:ascii="Times New Roman" w:hAnsi="Times New Roman" w:eastAsia="宋体"/>
          <w:lang w:val="en-US" w:eastAsia="zh-CN"/>
        </w:rPr>
        <w:t xml:space="preserve">                             </w:t>
      </w:r>
      <w:r>
        <w:rPr>
          <w:rStyle w:val="52"/>
          <w:rFonts w:ascii="Times New Roman" w:hAnsi="Times New Roman" w:eastAsia="宋体"/>
        </w:rPr>
        <w:t>Case Study</w:t>
      </w:r>
    </w:p>
    <w:p w14:paraId="468CC806">
      <w:pPr>
        <w:rPr>
          <w:rFonts w:ascii="Times New Roman" w:hAnsi="Times New Roman" w:eastAsia="宋体"/>
        </w:rPr>
      </w:pPr>
    </w:p>
    <w:p w14:paraId="7DBD8A75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highlight w:val="yellow"/>
          <w:lang w:val="en-US" w:eastAsia="zh-CN"/>
        </w:rPr>
        <w:t>数据初步分析情况：</w:t>
      </w:r>
    </w:p>
    <w:p w14:paraId="3309A246">
      <w:pPr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缺失值统计：df_train.csv中68个特征，其中有18个特征缺失值占比较高，其中部分冗余特征，在数据处理时需要合理分析。</w:t>
      </w:r>
    </w:p>
    <w:tbl>
      <w:tblPr>
        <w:tblStyle w:val="20"/>
        <w:tblpPr w:leftFromText="180" w:rightFromText="180" w:vertAnchor="text" w:horzAnchor="page" w:tblpXSpec="center" w:tblpY="514"/>
        <w:tblOverlap w:val="never"/>
        <w:tblW w:w="9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2110"/>
        <w:gridCol w:w="990"/>
        <w:gridCol w:w="1540"/>
        <w:gridCol w:w="1750"/>
      </w:tblGrid>
      <w:tr w14:paraId="61E4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3030" w:type="dxa"/>
            <w:shd w:val="clear" w:color="auto" w:fill="auto"/>
            <w:noWrap/>
            <w:vAlign w:val="bottom"/>
          </w:tcPr>
          <w:p w14:paraId="184CF6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特征名称</w:t>
            </w:r>
          </w:p>
        </w:tc>
        <w:tc>
          <w:tcPr>
            <w:tcW w:w="2110" w:type="dxa"/>
            <w:shd w:val="clear" w:color="auto" w:fill="auto"/>
            <w:noWrap/>
            <w:vAlign w:val="top"/>
          </w:tcPr>
          <w:p w14:paraId="277FF0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missing_rate</w:t>
            </w:r>
          </w:p>
        </w:tc>
        <w:tc>
          <w:tcPr>
            <w:tcW w:w="990" w:type="dxa"/>
            <w:shd w:val="clear" w:color="auto" w:fill="auto"/>
            <w:noWrap/>
            <w:vAlign w:val="top"/>
          </w:tcPr>
          <w:p w14:paraId="46B0F4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dtype</w:t>
            </w:r>
          </w:p>
        </w:tc>
        <w:tc>
          <w:tcPr>
            <w:tcW w:w="1540" w:type="dxa"/>
            <w:shd w:val="clear" w:color="auto" w:fill="auto"/>
            <w:noWrap/>
            <w:vAlign w:val="top"/>
          </w:tcPr>
          <w:p w14:paraId="38F1F0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unique_cnt</w:t>
            </w:r>
          </w:p>
        </w:tc>
        <w:tc>
          <w:tcPr>
            <w:tcW w:w="1750" w:type="dxa"/>
            <w:shd w:val="clear" w:color="auto" w:fill="auto"/>
            <w:noWrap/>
            <w:vAlign w:val="top"/>
          </w:tcPr>
          <w:p w14:paraId="27D71E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missing_pct</w:t>
            </w:r>
          </w:p>
        </w:tc>
      </w:tr>
      <w:tr w14:paraId="3EE8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3F567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顺序号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1699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4614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700D4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1830386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D2A35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6EB1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8291EC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个人编码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7667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CA64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B7CEF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20000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1FEB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774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88BCF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医院编码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D135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14F2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AFC2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D6A00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C7D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7BF36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药品费发生金额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AB50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2A33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0E4A8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80437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CEE7D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9B4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31AD39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贵重药品发生金额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8DB9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B7B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299FB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1872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FA20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602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77F0EF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中成药费发生金额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18B3D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EE40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637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C51C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3CD3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828BC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中草药费发生金额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8E32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06189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331F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27930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0E70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C23C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30A24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药品费自费金额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0838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2ED0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DD44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5216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057E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191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707C7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药品费拒付金额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3A62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2D3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6BD7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684E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AF8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4487B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药品费申报金额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EB7F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3FB36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504C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79439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F9DCD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3A2F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50980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检查费发生金额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91E9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2FB53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5D1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1392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4744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4A9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C0076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贵重检查费金额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A424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65041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D61D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6DE6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C50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2523C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检查费自费金额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1F98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C686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7DEF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880C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465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CA029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检查费拒付金额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405C6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00FF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5513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1262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40FB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742B3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检查费申报金额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0ABE7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DD40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3F73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1472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2CD8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5EC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A9128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治疗费发生金额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E7F5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4FB47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037F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1369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A4A1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AE6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AAFB2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治疗费自费金额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471D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F5C4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CB5F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41EE2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C06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5E3E7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治疗费拒付金额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D3CAC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49AD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3AC84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05A0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575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6F3A8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治疗费申报金额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3287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E99D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09D5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1525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10F4C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67A6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BF8D7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手术费发生金额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C883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90FA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E5625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AA35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7FB0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A72C0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手术费自费金额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6BD95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12DB4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510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0414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BBA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E19EF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手术费拒付金额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BB53D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5AB7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9543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8F4D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75A14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169D7A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手术费申报金额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0B96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3288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5CB8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D03A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2AF1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E5EF0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床位费发生金额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5DB8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F183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3B7CD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8912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A266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5DF8D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床位费拒付金额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B5F1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CFA1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F08C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DABB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7EA8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507ED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床位费申报金额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07F6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445A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ABCA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E5963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4070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19F1E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医用材料发生金额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EF24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EC4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2804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2848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7BAE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6E6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872F2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高价材料发生金额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56A3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4FB85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4F888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06939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03D1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4D149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医用材料费自费金额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35BEC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7812A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13A29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F3451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D74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624D2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医用材料费拒付金额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0F44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E9316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7A6E9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2677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618F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14EA6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输全血申报金额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1A7F0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17F8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2A72E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1127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3E070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D2403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成分输血自费金额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8C0DB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BE8DC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00FF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1055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260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36FC6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成分输血拒付金额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372E0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5ECD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4CDD7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F2D0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4F2E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D9636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成分输血申报金额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B447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DCB41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88D8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D7533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7D4D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D4772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其它发生金额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E39D3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FD11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9157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8941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004E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A273E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其它拒付金额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AA3C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E026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3276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873F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60AD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D5073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其它申报金额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714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60CC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A363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73AB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72DD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59326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一次性医用材料自费金额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61BD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0.784968854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FEFB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3E4C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D8C5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78.5%</w:t>
            </w:r>
          </w:p>
        </w:tc>
      </w:tr>
      <w:tr w14:paraId="4EED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2319C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一次性医用材料拒付金额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CDE1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29D9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01EAA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8116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100.0%</w:t>
            </w:r>
          </w:p>
        </w:tc>
      </w:tr>
      <w:tr w14:paraId="58BF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76709B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一次性医用材料申报金额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8E55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0.784968854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D7A8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8332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2259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1791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78.5%</w:t>
            </w:r>
          </w:p>
        </w:tc>
      </w:tr>
      <w:tr w14:paraId="1383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8432A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输全血按比例自负金额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81CA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35AF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DE3A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810D0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34733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E29C5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起付线标准金额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DEE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B8AFD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B9F16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ACED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4B21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0075C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起付标准以上自负比例金额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3B37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BD80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7CE4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25674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3D0F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383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9FDE3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医疗救助个人按比例负担金额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84C6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B35F7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9FC5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5939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0FDC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2A4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C1AA0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最高限额以上金额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D35F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3DBD3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3D8DE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1976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094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61B1B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统筹拒付金额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ACD8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8FA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61188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C4C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EEC7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7FAAA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基本医疗保险统筹基金支付金额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0AC1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12D4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2424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85763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F7C8D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0FE0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913FC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交易时间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1252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73ECC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6D53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C51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6AD7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7D3E8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农民工医疗救助计算金额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3F7F5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DB9F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9EC7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8126E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100.0%</w:t>
            </w:r>
          </w:p>
        </w:tc>
      </w:tr>
      <w:tr w14:paraId="3182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D29F9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公务员医疗补助基金支付金额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7CF3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0.980027164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1173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D532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2CBA9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98.0%</w:t>
            </w:r>
          </w:p>
        </w:tc>
      </w:tr>
      <w:tr w14:paraId="13E8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1D47E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城乡救助补助金额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4F466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0.818483642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31E3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FC3F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14169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DAF8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81.85%</w:t>
            </w:r>
          </w:p>
        </w:tc>
      </w:tr>
      <w:tr w14:paraId="7340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4A09EE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可用账户报销金额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12354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6394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443C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25377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2815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2530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CE50D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基本医疗保险个人账户支付金额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041C8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2D0C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45CDF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8937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0155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56AC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4B780F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非账户支付金额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2AC8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70E3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F492D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26672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4AE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16A7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09436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双笔退费标识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63240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F1A1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01BAA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EE6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45EA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259D7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住院开始时间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DB1BF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5728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9410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0F35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0DBF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596A8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住院终止时间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D65E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0.844841471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A604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193A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B504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84.48%</w:t>
            </w:r>
          </w:p>
        </w:tc>
      </w:tr>
      <w:tr w14:paraId="5055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11259A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住院天数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32305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0642A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6ED1E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C86F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0.0%</w:t>
            </w:r>
          </w:p>
        </w:tc>
      </w:tr>
      <w:tr w14:paraId="745BF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514A80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申报受理时间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97D5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0.844841471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3BA1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3CA7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E6827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84.48%</w:t>
            </w:r>
          </w:p>
        </w:tc>
      </w:tr>
      <w:tr w14:paraId="5C4A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8A2DF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出院诊断病种名称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9DA5F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0.845567001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10623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35FE3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22631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DC6CF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84.56%</w:t>
            </w:r>
          </w:p>
        </w:tc>
      </w:tr>
      <w:tr w14:paraId="47FC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DBF64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本次审批金额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C0E9D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0.000544694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2028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40A6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89928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8BDC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</w:tr>
      <w:tr w14:paraId="5EA4D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2AC331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补助审批金额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85BD1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0.818605474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4C68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48885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18191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A7E6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81.86%</w:t>
            </w:r>
          </w:p>
        </w:tc>
      </w:tr>
      <w:tr w14:paraId="29C23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7C9560C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医疗救助医院申请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A2CC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0.000544694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39F7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34740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2393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</w:tr>
      <w:tr w14:paraId="5AD4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7C633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残疾军人医疗补助基金支付金额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0C86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0.999711536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2CCB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69F5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D309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99.97%</w:t>
            </w:r>
          </w:p>
        </w:tc>
      </w:tr>
      <w:tr w14:paraId="53DB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BA859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民政救助补助金额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F6BE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0.000546879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9FA0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E38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14131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4AD4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</w:tr>
      <w:tr w14:paraId="40BC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0BF808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城乡优抚补助金额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19098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0.000544694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D118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1669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A6D3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</w:tr>
      <w:tr w14:paraId="5B50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30B8A64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非典补助补助金额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D922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0.000544694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1326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0948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A87E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</w:tr>
      <w:tr w14:paraId="344E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30E7A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家床起付线剩余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10F9A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0.845385618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742B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0FD5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BA1B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84.54%</w:t>
            </w:r>
          </w:p>
        </w:tc>
      </w:tr>
      <w:tr w14:paraId="6033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top"/>
          </w:tcPr>
          <w:p w14:paraId="6B843E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操作时间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E525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0.000544694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D446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0015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7ED4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0.05%</w:t>
            </w:r>
          </w:p>
        </w:tc>
      </w:tr>
    </w:tbl>
    <w:p w14:paraId="4F16C76D">
      <w:pPr>
        <w:rPr>
          <w:rFonts w:hint="default" w:ascii="Times New Roman" w:hAnsi="Times New Roman" w:eastAsia="宋体"/>
          <w:color w:val="auto"/>
          <w:lang w:val="en-US" w:eastAsia="zh-CN"/>
        </w:rPr>
      </w:pPr>
    </w:p>
    <w:p w14:paraId="1AD63D4F">
      <w:pPr>
        <w:rPr>
          <w:rFonts w:hint="default" w:ascii="Times New Roman" w:hAnsi="Times New Roman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fee_detail.csv表中有4个数据缺失值</w:t>
      </w:r>
    </w:p>
    <w:tbl>
      <w:tblPr>
        <w:tblStyle w:val="20"/>
        <w:tblpPr w:leftFromText="180" w:rightFromText="180" w:vertAnchor="text" w:horzAnchor="page" w:tblpXSpec="center" w:tblpY="544"/>
        <w:tblOverlap w:val="never"/>
        <w:tblW w:w="95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014"/>
        <w:gridCol w:w="1814"/>
        <w:gridCol w:w="1492"/>
        <w:gridCol w:w="1624"/>
      </w:tblGrid>
      <w:tr w14:paraId="00BAC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FE79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特征名称</w:t>
            </w:r>
          </w:p>
        </w:tc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FFD1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missing_rate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4DDA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dtype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2E3C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unique_cnt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9F57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missing_pct</w:t>
            </w:r>
          </w:p>
        </w:tc>
      </w:tr>
      <w:tr w14:paraId="47D67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DA80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顺序号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71B7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606F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A9E1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2192987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464B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69E5C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45C6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医院编码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BA05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C959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5883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8AF3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3663D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B01D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三目统计项目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E9FA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E056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1595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F245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395D3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6551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三目服务项目名称</w:t>
            </w:r>
          </w:p>
        </w:tc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BF9C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0.881171167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A4E5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E19D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978A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88.12%</w:t>
            </w:r>
          </w:p>
        </w:tc>
      </w:tr>
      <w:tr w14:paraId="4D89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7F62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三目医院服务项目名称</w:t>
            </w:r>
          </w:p>
        </w:tc>
        <w:tc>
          <w:tcPr>
            <w:tcW w:w="2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613D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0.87305211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126A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5FFA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B568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87.31%</w:t>
            </w:r>
          </w:p>
        </w:tc>
      </w:tr>
      <w:tr w14:paraId="5C94C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0205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剂型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EB19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B912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1164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9DE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1EBF1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11B7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78C5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CA0F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6C30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A1C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162B9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231E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8425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E99B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ED03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1C79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09BC6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618E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7099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8915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6BA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4DF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  <w:tr w14:paraId="61FE1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080E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拒付原因编码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857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0.999988214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104F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1559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E71A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100.0%</w:t>
            </w:r>
          </w:p>
        </w:tc>
      </w:tr>
      <w:tr w14:paraId="209D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3D8B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拒付原因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D0D4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0.999988214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DBED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108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3EE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100.0%</w:t>
            </w:r>
          </w:p>
        </w:tc>
      </w:tr>
      <w:tr w14:paraId="4FB6A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F449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费用发生时间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0E2F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DEE6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3D8C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4B36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0.0%</w:t>
            </w:r>
          </w:p>
        </w:tc>
      </w:tr>
    </w:tbl>
    <w:p w14:paraId="48278132">
      <w:pPr>
        <w:rPr>
          <w:rFonts w:ascii="Times New Roman" w:hAnsi="Times New Roman" w:eastAsia="宋体"/>
        </w:rPr>
      </w:pPr>
    </w:p>
    <w:p w14:paraId="229D8D95">
      <w:pPr>
        <w:rPr>
          <w:rFonts w:ascii="Times New Roman" w:hAnsi="Times New Roman" w:eastAsia="宋体"/>
        </w:rPr>
      </w:pPr>
    </w:p>
    <w:p w14:paraId="11F7ACC1">
      <w:pPr>
        <w:rPr>
          <w:rFonts w:ascii="Times New Roman" w:hAnsi="Times New Roman" w:eastAsia="宋体"/>
        </w:rPr>
      </w:pPr>
    </w:p>
    <w:p w14:paraId="707DC1DF">
      <w:pPr>
        <w:pStyle w:val="2"/>
        <w:bidi w:val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1、特征构建: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896"/>
        <w:gridCol w:w="5588"/>
      </w:tblGrid>
      <w:tr w14:paraId="1536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775" w:type="pct"/>
            <w:vMerge w:val="restart"/>
          </w:tcPr>
          <w:p w14:paraId="5C80C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0E0D6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8348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9E8CF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4BD38F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12E7B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就诊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特征</w:t>
            </w:r>
          </w:p>
        </w:tc>
        <w:tc>
          <w:tcPr>
            <w:tcW w:w="1070" w:type="pct"/>
            <w:vAlign w:val="top"/>
          </w:tcPr>
          <w:p w14:paraId="59981E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就诊行为模式</w:t>
            </w:r>
          </w:p>
        </w:tc>
        <w:tc>
          <w:tcPr>
            <w:tcW w:w="3154" w:type="pct"/>
            <w:vAlign w:val="top"/>
          </w:tcPr>
          <w:p w14:paraId="495A7C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就诊次数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就诊频率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就诊医院总数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等</w:t>
            </w:r>
          </w:p>
        </w:tc>
      </w:tr>
      <w:tr w14:paraId="414F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775" w:type="pct"/>
            <w:vMerge w:val="continue"/>
          </w:tcPr>
          <w:p w14:paraId="49B86DF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3" w:beforeAutospacing="0" w:after="137" w:afterAutospacing="0" w:line="15" w:lineRule="atLeast"/>
              <w:ind w:left="0" w:leftChars="0" w:right="0" w:rightChars="0" w:firstLine="0" w:firstLineChars="0"/>
              <w:jc w:val="left"/>
              <w:textAlignment w:val="auto"/>
              <w:outlineLvl w:val="2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269A7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61379D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费用特征</w:t>
            </w:r>
          </w:p>
        </w:tc>
        <w:tc>
          <w:tcPr>
            <w:tcW w:w="3154" w:type="pct"/>
            <w:vAlign w:val="top"/>
          </w:tcPr>
          <w:p w14:paraId="555D9C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直接聚合特征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补充特征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（主要申报金额、主要发生金额、自负金额信息、补助金额信息）、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费用明细总费用</w:t>
            </w:r>
          </w:p>
        </w:tc>
      </w:tr>
      <w:tr w14:paraId="63D5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75" w:type="pct"/>
            <w:vMerge w:val="continue"/>
          </w:tcPr>
          <w:p w14:paraId="5FFA0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6EF26F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疾病特征</w:t>
            </w:r>
          </w:p>
        </w:tc>
        <w:tc>
          <w:tcPr>
            <w:tcW w:w="3154" w:type="pct"/>
            <w:vAlign w:val="top"/>
          </w:tcPr>
          <w:p w14:paraId="144CB4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统计每个人每种疾病的就诊次数，生成二元特征</w:t>
            </w:r>
          </w:p>
        </w:tc>
      </w:tr>
      <w:tr w14:paraId="18B6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775" w:type="pct"/>
            <w:vMerge w:val="continue"/>
          </w:tcPr>
          <w:p w14:paraId="6997EA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B96FD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17E4A7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三目明细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特征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征</w:t>
            </w:r>
          </w:p>
        </w:tc>
        <w:tc>
          <w:tcPr>
            <w:tcW w:w="3154" w:type="pct"/>
            <w:vAlign w:val="top"/>
          </w:tcPr>
          <w:p w14:paraId="6771B4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药品购买数量（三目=1）</w:t>
            </w: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其他项目的次数、总金额和平均金额</w:t>
            </w:r>
          </w:p>
        </w:tc>
      </w:tr>
      <w:tr w14:paraId="0850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5" w:type="pct"/>
            <w:vMerge w:val="restart"/>
          </w:tcPr>
          <w:p w14:paraId="70967C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960" w:firstLineChars="400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1470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760D3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</w:p>
          <w:p w14:paraId="138189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Cs/>
                <w:kern w:val="0"/>
                <w:sz w:val="24"/>
                <w:szCs w:val="24"/>
                <w:lang w:val="en-US" w:eastAsia="zh-CN"/>
              </w:rPr>
              <w:t>时序特征</w:t>
            </w:r>
          </w:p>
        </w:tc>
        <w:tc>
          <w:tcPr>
            <w:tcW w:w="1070" w:type="pct"/>
            <w:vAlign w:val="top"/>
          </w:tcPr>
          <w:p w14:paraId="19FC76E9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按周聚合</w:t>
            </w:r>
          </w:p>
        </w:tc>
        <w:tc>
          <w:tcPr>
            <w:tcW w:w="3154" w:type="pct"/>
            <w:vAlign w:val="top"/>
          </w:tcPr>
          <w:p w14:paraId="0F8D7904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每周就诊次数、每周费用统计、每周医院数、周内就诊集中度</w:t>
            </w:r>
          </w:p>
        </w:tc>
      </w:tr>
      <w:tr w14:paraId="0F1F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4DD1D9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25909AB2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按月聚合</w:t>
            </w:r>
          </w:p>
        </w:tc>
        <w:tc>
          <w:tcPr>
            <w:tcW w:w="3154" w:type="pct"/>
            <w:vAlign w:val="top"/>
          </w:tcPr>
          <w:p w14:paraId="4D3F8871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月度就诊次数、月度费用统计、月初就诊占比、月度拒付次数</w:t>
            </w:r>
          </w:p>
        </w:tc>
      </w:tr>
      <w:tr w14:paraId="62F1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20890B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3E9C9F25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时间间隔特征</w:t>
            </w:r>
          </w:p>
        </w:tc>
        <w:tc>
          <w:tcPr>
            <w:tcW w:w="3154" w:type="pct"/>
            <w:vAlign w:val="top"/>
          </w:tcPr>
          <w:p w14:paraId="183F96FC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平均就诊间隔、间隔标准差、短间隔次数（≤3天）、同日就诊次数</w:t>
            </w:r>
          </w:p>
        </w:tc>
      </w:tr>
      <w:tr w14:paraId="67A09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7C36A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7F70BDCE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费用趋势特征</w:t>
            </w:r>
          </w:p>
        </w:tc>
        <w:tc>
          <w:tcPr>
            <w:tcW w:w="3154" w:type="pct"/>
            <w:vAlign w:val="top"/>
          </w:tcPr>
          <w:p w14:paraId="1E5B2292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费用线性趋势、晚期/早期费用比率、费用移动平均、费用偏离度</w:t>
            </w:r>
          </w:p>
        </w:tc>
      </w:tr>
      <w:tr w14:paraId="4592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4F7E2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572E584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波动特征</w:t>
            </w:r>
          </w:p>
        </w:tc>
        <w:tc>
          <w:tcPr>
            <w:tcW w:w="3154" w:type="pct"/>
            <w:vAlign w:val="top"/>
          </w:tcPr>
          <w:p w14:paraId="01148A0F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费用标准差、费用变异系数、异常费用次数、高费用占比</w:t>
            </w:r>
          </w:p>
        </w:tc>
      </w:tr>
      <w:tr w14:paraId="6E40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pct"/>
            <w:vMerge w:val="continue"/>
          </w:tcPr>
          <w:p w14:paraId="481F1F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70" w:type="pct"/>
            <w:vAlign w:val="top"/>
          </w:tcPr>
          <w:p w14:paraId="4283A9C9">
            <w:pPr>
              <w:pStyle w:val="28"/>
              <w:widowControl w:val="0"/>
              <w:jc w:val="center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周期特征</w:t>
            </w:r>
          </w:p>
        </w:tc>
        <w:tc>
          <w:tcPr>
            <w:tcW w:w="3154" w:type="pct"/>
            <w:vAlign w:val="top"/>
          </w:tcPr>
          <w:p w14:paraId="69B59606">
            <w:pPr>
              <w:pStyle w:val="28"/>
              <w:widowControl w:val="0"/>
              <w:jc w:val="left"/>
              <w:rPr>
                <w:rFonts w:hint="default" w:ascii="Times New Roman" w:hAnsi="Times New Roman" w:eastAsia="宋体" w:cs="宋体"/>
                <w:bCs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月份sin/cos编码、星期sin/cos编码、是否周末、是否月初月末</w:t>
            </w:r>
          </w:p>
        </w:tc>
      </w:tr>
    </w:tbl>
    <w:p w14:paraId="1D67A2E8">
      <w:pPr>
        <w:rPr>
          <w:rFonts w:hint="eastAsia" w:ascii="Times New Roman" w:hAnsi="Times New Roman" w:eastAsia="宋体"/>
          <w:lang w:val="en-US" w:eastAsia="zh-CN"/>
        </w:rPr>
      </w:pPr>
    </w:p>
    <w:p w14:paraId="0D0C9101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特征构建之后对于特征进行筛选，确定最终特征</w:t>
      </w:r>
    </w:p>
    <w:p w14:paraId="1AC96D7A">
      <w:pPr>
        <w:pStyle w:val="2"/>
        <w:bidi w:val="0"/>
        <w:rPr>
          <w:rFonts w:hint="eastAsia" w:ascii="Times New Roman" w:hAnsi="Times New Roman" w:eastAsia="宋体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2、对比实验:</w:t>
      </w:r>
    </w:p>
    <w:p w14:paraId="43D7F693">
      <w:pPr>
        <w:rPr>
          <w:rFonts w:hint="default" w:ascii="Times New Roman" w:hAnsi="Times New Roman" w:eastAsia="宋体"/>
          <w:highlight w:val="none"/>
          <w:lang w:val="en-US" w:eastAsia="zh-CN"/>
        </w:rPr>
      </w:pPr>
      <w:r>
        <w:rPr>
          <w:rFonts w:hint="eastAsia" w:ascii="Times New Roman" w:hAnsi="Times New Roman" w:eastAsia="宋体"/>
          <w:highlight w:val="none"/>
          <w:lang w:val="en-US" w:eastAsia="zh-CN"/>
        </w:rPr>
        <w:t>1、对比不同模型的效果：</w:t>
      </w:r>
    </w:p>
    <w:tbl>
      <w:tblPr>
        <w:tblStyle w:val="45"/>
        <w:tblW w:w="510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3269"/>
        <w:gridCol w:w="3519"/>
      </w:tblGrid>
      <w:tr w14:paraId="2671F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tblHeader/>
        </w:trPr>
        <w:tc>
          <w:tcPr>
            <w:tcW w:w="225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EBF8B3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模型类别</w:t>
            </w:r>
          </w:p>
        </w:tc>
        <w:tc>
          <w:tcPr>
            <w:tcW w:w="3269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92BB74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模型名称</w:t>
            </w:r>
          </w:p>
        </w:tc>
        <w:tc>
          <w:tcPr>
            <w:tcW w:w="3519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528F38">
            <w:pPr>
              <w:pStyle w:val="28"/>
              <w:jc w:val="center"/>
              <w:rPr>
                <w:rFonts w:hint="default" w:ascii="Times New Roman" w:hAns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输入特征</w:t>
            </w: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融合方式？</w:t>
            </w:r>
          </w:p>
        </w:tc>
      </w:tr>
      <w:tr w14:paraId="48D24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250" w:type="dxa"/>
          </w:tcPr>
          <w:p w14:paraId="42F50CE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传统ML</w:t>
            </w:r>
          </w:p>
        </w:tc>
        <w:tc>
          <w:tcPr>
            <w:tcW w:w="3269" w:type="dxa"/>
          </w:tcPr>
          <w:p w14:paraId="47EE5C4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3519" w:type="dxa"/>
          </w:tcPr>
          <w:p w14:paraId="7E9E9B61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4ED4B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250" w:type="dxa"/>
          </w:tcPr>
          <w:p w14:paraId="4DE17AED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传统ML</w:t>
            </w:r>
          </w:p>
        </w:tc>
        <w:tc>
          <w:tcPr>
            <w:tcW w:w="3269" w:type="dxa"/>
          </w:tcPr>
          <w:p w14:paraId="20DE03EC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3519" w:type="dxa"/>
          </w:tcPr>
          <w:p w14:paraId="46855182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1DFD4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250" w:type="dxa"/>
          </w:tcPr>
          <w:p w14:paraId="7D0844F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基础DL</w:t>
            </w:r>
          </w:p>
        </w:tc>
        <w:tc>
          <w:tcPr>
            <w:tcW w:w="3269" w:type="dxa"/>
          </w:tcPr>
          <w:p w14:paraId="0450B921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3519" w:type="dxa"/>
          </w:tcPr>
          <w:p w14:paraId="7ECB5C6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402BC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250" w:type="dxa"/>
          </w:tcPr>
          <w:p w14:paraId="16129B5C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基础DL</w:t>
            </w:r>
          </w:p>
        </w:tc>
        <w:tc>
          <w:tcPr>
            <w:tcW w:w="3269" w:type="dxa"/>
          </w:tcPr>
          <w:p w14:paraId="6FA7E962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3519" w:type="dxa"/>
          </w:tcPr>
          <w:p w14:paraId="0E1FFD34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4805D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250" w:type="dxa"/>
          </w:tcPr>
          <w:p w14:paraId="6DB8F580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基础DL</w:t>
            </w:r>
          </w:p>
        </w:tc>
        <w:tc>
          <w:tcPr>
            <w:tcW w:w="3269" w:type="dxa"/>
          </w:tcPr>
          <w:p w14:paraId="5685B888">
            <w:pPr>
              <w:pStyle w:val="28"/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3519" w:type="dxa"/>
          </w:tcPr>
          <w:p w14:paraId="484B67FC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388CB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250" w:type="dxa"/>
          </w:tcPr>
          <w:p w14:paraId="2A8006A8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主模型</w:t>
            </w:r>
          </w:p>
        </w:tc>
        <w:tc>
          <w:tcPr>
            <w:tcW w:w="3269" w:type="dxa"/>
          </w:tcPr>
          <w:p w14:paraId="1EBFB92E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3519" w:type="dxa"/>
          </w:tcPr>
          <w:p w14:paraId="17DB93B2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</w:tbl>
    <w:p w14:paraId="4A94AB24">
      <w:pPr>
        <w:rPr>
          <w:rFonts w:hint="default" w:ascii="Times New Roman" w:hAnsi="Times New Roman" w:eastAsia="宋体"/>
          <w:lang w:val="en-US" w:eastAsia="zh-CN"/>
        </w:rPr>
      </w:pPr>
    </w:p>
    <w:p w14:paraId="2AAAF61B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2、对比不平衡数据处理效果：</w:t>
      </w:r>
    </w:p>
    <w:tbl>
      <w:tblPr>
        <w:tblStyle w:val="45"/>
        <w:tblW w:w="5015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2836"/>
        <w:gridCol w:w="3689"/>
      </w:tblGrid>
      <w:tr w14:paraId="6FAAC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9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0978F60">
            <w:pPr>
              <w:pStyle w:val="28"/>
              <w:jc w:val="center"/>
              <w:rPr>
                <w:rFonts w:hint="default" w:ascii="Times New Roman" w:hAnsi="Times New Roman" w:eastAsia="宋体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处理方法</w:t>
            </w:r>
          </w:p>
        </w:tc>
        <w:tc>
          <w:tcPr>
            <w:tcW w:w="283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280C716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模型名称</w:t>
            </w:r>
          </w:p>
        </w:tc>
        <w:tc>
          <w:tcPr>
            <w:tcW w:w="3689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FA4E9BD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输入特征</w:t>
            </w:r>
            <w:r>
              <w:rPr>
                <w:rFonts w:hint="eastAsia" w:ascii="Times New Roman" w:hAnsi="Times New Roman" w:eastAsia="宋体"/>
                <w:b/>
                <w:bCs/>
                <w:lang w:val="en-US" w:eastAsia="zh-CN"/>
              </w:rPr>
              <w:t>融合方式？</w:t>
            </w:r>
            <w:bookmarkStart w:id="2" w:name="_GoBack"/>
            <w:bookmarkEnd w:id="2"/>
          </w:p>
        </w:tc>
      </w:tr>
      <w:tr w14:paraId="2FD23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restart"/>
            <w:vAlign w:val="top"/>
          </w:tcPr>
          <w:p w14:paraId="6E393B13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无处理</w:t>
            </w:r>
          </w:p>
        </w:tc>
        <w:tc>
          <w:tcPr>
            <w:tcW w:w="2836" w:type="dxa"/>
          </w:tcPr>
          <w:p w14:paraId="023E3B7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3689" w:type="dxa"/>
          </w:tcPr>
          <w:p w14:paraId="23B3048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20A37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</w:tcPr>
          <w:p w14:paraId="37EBE97E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</w:tcPr>
          <w:p w14:paraId="3149A616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3689" w:type="dxa"/>
          </w:tcPr>
          <w:p w14:paraId="75B15B65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340E7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</w:tcPr>
          <w:p w14:paraId="3FA9DA57">
            <w:pPr>
              <w:pStyle w:val="28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2836" w:type="dxa"/>
          </w:tcPr>
          <w:p w14:paraId="41FC26E2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3689" w:type="dxa"/>
          </w:tcPr>
          <w:p w14:paraId="3F9055E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2EE97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</w:tcPr>
          <w:p w14:paraId="49278F62">
            <w:pPr>
              <w:pStyle w:val="28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2836" w:type="dxa"/>
          </w:tcPr>
          <w:p w14:paraId="35218A6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3689" w:type="dxa"/>
          </w:tcPr>
          <w:p w14:paraId="5772E3E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3831D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</w:tcPr>
          <w:p w14:paraId="32F076A0">
            <w:pPr>
              <w:pStyle w:val="28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2836" w:type="dxa"/>
          </w:tcPr>
          <w:p w14:paraId="765D9253">
            <w:pPr>
              <w:pStyle w:val="28"/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3689" w:type="dxa"/>
          </w:tcPr>
          <w:p w14:paraId="7757C86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734E4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</w:tcPr>
          <w:p w14:paraId="1A78A4CF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</w:tcPr>
          <w:p w14:paraId="7AE994DA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Time-Aware LSTM</w:t>
            </w:r>
          </w:p>
        </w:tc>
        <w:tc>
          <w:tcPr>
            <w:tcW w:w="3689" w:type="dxa"/>
          </w:tcPr>
          <w:p w14:paraId="507BC800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14358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restart"/>
            <w:vAlign w:val="top"/>
          </w:tcPr>
          <w:p w14:paraId="065C359D">
            <w:pPr>
              <w:pStyle w:val="28"/>
              <w:jc w:val="center"/>
              <w:rPr>
                <w:rFonts w:hint="eastAsia" w:ascii="Times New Roman" w:hAnsi="Times New Roman" w:eastAsia="宋体"/>
                <w:bCs/>
              </w:rPr>
            </w:pPr>
            <w:r>
              <w:rPr>
                <w:rFonts w:hint="eastAsia" w:ascii="Times New Roman" w:hAnsi="Times New Roman" w:eastAsia="宋体"/>
                <w:bCs/>
              </w:rPr>
              <w:t>类别权重</w:t>
            </w:r>
          </w:p>
          <w:p w14:paraId="3066C7EC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</w:rPr>
              <w:t>(加权BCE)</w:t>
            </w:r>
          </w:p>
        </w:tc>
        <w:tc>
          <w:tcPr>
            <w:tcW w:w="2836" w:type="dxa"/>
            <w:shd w:val="clear" w:color="auto" w:fill="auto"/>
            <w:vAlign w:val="top"/>
          </w:tcPr>
          <w:p w14:paraId="6CC63BAD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73CD9C82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7B8AB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1D351317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6DAB1068">
            <w:pPr>
              <w:pStyle w:val="28"/>
              <w:jc w:val="center"/>
              <w:rPr>
                <w:rFonts w:hint="default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18E93CBD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033C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579AC521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404662E7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78DF4E23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1B0C4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71F4B33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27AD482A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7F483533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6E900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3F092DCE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1AFDF745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53DCF015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6C0F2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20EBB89D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42F72297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Time-Aware LSTM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78228535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03690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restart"/>
            <w:vAlign w:val="top"/>
          </w:tcPr>
          <w:p w14:paraId="60570EC0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Cs/>
              </w:rPr>
              <w:t>Focal Loss</w:t>
            </w:r>
          </w:p>
        </w:tc>
        <w:tc>
          <w:tcPr>
            <w:tcW w:w="2836" w:type="dxa"/>
            <w:shd w:val="clear" w:color="auto" w:fill="auto"/>
            <w:vAlign w:val="top"/>
          </w:tcPr>
          <w:p w14:paraId="08FD2562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XGBoost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42F65D2C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04063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0CABD9D4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6BB557FF">
            <w:pPr>
              <w:pStyle w:val="28"/>
              <w:jc w:val="center"/>
              <w:rPr>
                <w:rFonts w:hint="default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LightGBM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18FDA131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51E69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01E58FB6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5400B076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DNN(3层)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229D0FD8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73841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03387C1F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01005EE4">
            <w:pPr>
              <w:pStyle w:val="28"/>
              <w:jc w:val="center"/>
              <w:rPr>
                <w:rFonts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LSTM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1C037EAF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4EBC3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634E22F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1C30C648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Transformer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060502D7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  <w:tr w14:paraId="7CEAB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vMerge w:val="continue"/>
            <w:vAlign w:val="top"/>
          </w:tcPr>
          <w:p w14:paraId="5D8F298B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</w:p>
        </w:tc>
        <w:tc>
          <w:tcPr>
            <w:tcW w:w="2836" w:type="dxa"/>
            <w:shd w:val="clear" w:color="auto" w:fill="auto"/>
            <w:vAlign w:val="top"/>
          </w:tcPr>
          <w:p w14:paraId="4C0CE2CF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3689" w:type="dxa"/>
            <w:shd w:val="clear" w:color="auto" w:fill="auto"/>
            <w:vAlign w:val="top"/>
          </w:tcPr>
          <w:p w14:paraId="7BC91C5D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两类特征一起</w:t>
            </w:r>
          </w:p>
        </w:tc>
      </w:tr>
    </w:tbl>
    <w:p w14:paraId="2CC8A502">
      <w:pPr>
        <w:rPr>
          <w:rFonts w:hint="default" w:ascii="Times New Roman" w:hAnsi="Times New Roman" w:eastAsia="宋体"/>
          <w:lang w:val="en-US" w:eastAsia="zh-CN"/>
        </w:rPr>
      </w:pPr>
    </w:p>
    <w:p w14:paraId="0BCE08BA">
      <w:pPr>
        <w:pStyle w:val="2"/>
        <w:numPr>
          <w:ilvl w:val="0"/>
          <w:numId w:val="1"/>
        </w:numPr>
        <w:bidi w:val="0"/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消融实验</w:t>
      </w:r>
    </w:p>
    <w:p w14:paraId="61ECB5BA">
      <w:pPr>
        <w:numPr>
          <w:ilvl w:val="0"/>
          <w:numId w:val="0"/>
        </w:num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1、主模型消除实验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876"/>
        <w:gridCol w:w="2564"/>
      </w:tblGrid>
      <w:tr w14:paraId="0944D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1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61EAE6E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实验编号</w:t>
            </w:r>
          </w:p>
        </w:tc>
        <w:tc>
          <w:tcPr>
            <w:tcW w:w="387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F6FE649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模型配置</w:t>
            </w:r>
          </w:p>
        </w:tc>
        <w:tc>
          <w:tcPr>
            <w:tcW w:w="256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5B772A8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移除/修改的组件</w:t>
            </w:r>
          </w:p>
        </w:tc>
      </w:tr>
      <w:tr w14:paraId="76A9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0E289E9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A</w:t>
            </w:r>
            <w:r>
              <w:rPr>
                <w:rFonts w:ascii="Times New Roman" w:hAnsi="Times New Roman" w:eastAsia="宋体"/>
                <w:bCs/>
              </w:rPr>
              <w:t>1</w:t>
            </w:r>
          </w:p>
        </w:tc>
        <w:tc>
          <w:tcPr>
            <w:tcW w:w="3876" w:type="dxa"/>
          </w:tcPr>
          <w:p w14:paraId="367A3435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</w:rPr>
              <w:t>T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2564" w:type="dxa"/>
          </w:tcPr>
          <w:p w14:paraId="11198C05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无</w:t>
            </w:r>
          </w:p>
        </w:tc>
      </w:tr>
      <w:tr w14:paraId="1DA13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4D04067C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A</w:t>
            </w:r>
            <w:r>
              <w:rPr>
                <w:rFonts w:ascii="Times New Roman" w:hAnsi="Times New Roman" w:eastAsia="宋体"/>
                <w:bCs/>
              </w:rPr>
              <w:t>2</w:t>
            </w:r>
          </w:p>
        </w:tc>
        <w:tc>
          <w:tcPr>
            <w:tcW w:w="3876" w:type="dxa"/>
          </w:tcPr>
          <w:p w14:paraId="14977B7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Bi-LSTM+Attention</w:t>
            </w:r>
          </w:p>
        </w:tc>
        <w:tc>
          <w:tcPr>
            <w:tcW w:w="2564" w:type="dxa"/>
          </w:tcPr>
          <w:p w14:paraId="5663ED7C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去除</w:t>
            </w:r>
            <w:r>
              <w:rPr>
                <w:rFonts w:hint="eastAsia" w:ascii="Times New Roman" w:hAnsi="Times New Roman" w:eastAsia="宋体"/>
              </w:rPr>
              <w:t>时间衰减</w:t>
            </w:r>
          </w:p>
        </w:tc>
      </w:tr>
      <w:tr w14:paraId="1A920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744DA4C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A</w:t>
            </w:r>
            <w:r>
              <w:rPr>
                <w:rFonts w:ascii="Times New Roman" w:hAnsi="Times New Roman" w:eastAsia="宋体"/>
                <w:bCs/>
              </w:rPr>
              <w:t>3</w:t>
            </w:r>
          </w:p>
        </w:tc>
        <w:tc>
          <w:tcPr>
            <w:tcW w:w="3876" w:type="dxa"/>
          </w:tcPr>
          <w:p w14:paraId="6476DAFF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Bi-LSTM+Attention+</w:t>
            </w:r>
            <w:r>
              <w:rPr>
                <w:rFonts w:hint="default" w:ascii="Times New Roman" w:hAnsi="Times New Roman" w:eastAsia="宋体"/>
              </w:rPr>
              <w:t>标准位置编码</w:t>
            </w:r>
          </w:p>
        </w:tc>
        <w:tc>
          <w:tcPr>
            <w:tcW w:w="2564" w:type="dxa"/>
          </w:tcPr>
          <w:p w14:paraId="21338C74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标准位置编码</w:t>
            </w:r>
          </w:p>
        </w:tc>
      </w:tr>
      <w:tr w14:paraId="1FA17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6" w:type="dxa"/>
          </w:tcPr>
          <w:p w14:paraId="41A95698">
            <w:pPr>
              <w:pStyle w:val="28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A4</w:t>
            </w:r>
          </w:p>
        </w:tc>
        <w:tc>
          <w:tcPr>
            <w:tcW w:w="3876" w:type="dxa"/>
            <w:shd w:val="clear" w:color="auto" w:fill="auto"/>
            <w:vAlign w:val="top"/>
          </w:tcPr>
          <w:p w14:paraId="1B68A556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</w:rPr>
              <w:t>Bi-LSTM+Attention+</w:t>
            </w:r>
            <w:r>
              <w:rPr>
                <w:rFonts w:hint="default" w:ascii="Times New Roman" w:hAnsi="Times New Roman" w:eastAsia="宋体"/>
              </w:rPr>
              <w:t>简单线性衰减</w:t>
            </w:r>
          </w:p>
        </w:tc>
        <w:tc>
          <w:tcPr>
            <w:tcW w:w="2564" w:type="dxa"/>
            <w:shd w:val="clear" w:color="auto" w:fill="auto"/>
            <w:vAlign w:val="top"/>
          </w:tcPr>
          <w:p w14:paraId="043ECA6B">
            <w:pPr>
              <w:pStyle w:val="28"/>
              <w:jc w:val="center"/>
              <w:rPr>
                <w:rFonts w:hint="eastAsia" w:ascii="Times New Roman" w:hAnsi="Times New Roman" w:eastAsia="宋体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/>
              </w:rPr>
              <w:t>简单线性衰减</w:t>
            </w:r>
          </w:p>
        </w:tc>
      </w:tr>
    </w:tbl>
    <w:p w14:paraId="77F40222">
      <w:pPr>
        <w:rPr>
          <w:rFonts w:hint="eastAsia" w:ascii="Times New Roman" w:hAnsi="Times New Roman" w:eastAsia="宋体"/>
          <w:lang w:val="en-US" w:eastAsia="zh-CN"/>
        </w:rPr>
      </w:pPr>
    </w:p>
    <w:p w14:paraId="2F898C78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2、特征消除实验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C6DD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9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49EE48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实验编号</w:t>
            </w:r>
          </w:p>
        </w:tc>
        <w:tc>
          <w:tcPr>
            <w:tcW w:w="169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268799C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特征配置</w:t>
            </w:r>
          </w:p>
        </w:tc>
      </w:tr>
      <w:tr w14:paraId="4C1AE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0AA958C0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B</w:t>
            </w:r>
            <w:r>
              <w:rPr>
                <w:rFonts w:ascii="Times New Roman" w:hAnsi="Times New Roman" w:eastAsia="宋体"/>
                <w:bCs/>
              </w:rPr>
              <w:t>1</w:t>
            </w:r>
          </w:p>
        </w:tc>
        <w:tc>
          <w:tcPr>
            <w:tcW w:w="1697" w:type="dxa"/>
          </w:tcPr>
          <w:p w14:paraId="02D6FD4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完整特征(</w:t>
            </w: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就诊特征</w:t>
            </w:r>
            <w:r>
              <w:rPr>
                <w:rFonts w:hint="eastAsia" w:ascii="Times New Roman" w:hAnsi="Times New Roman" w:eastAsia="宋体"/>
                <w:bCs/>
              </w:rPr>
              <w:t>+时间特征)</w:t>
            </w:r>
          </w:p>
        </w:tc>
      </w:tr>
      <w:tr w14:paraId="187B7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94B0287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B</w:t>
            </w:r>
            <w:r>
              <w:rPr>
                <w:rFonts w:ascii="Times New Roman" w:hAnsi="Times New Roman" w:eastAsia="宋体"/>
                <w:bCs/>
              </w:rPr>
              <w:t>2</w:t>
            </w:r>
          </w:p>
        </w:tc>
        <w:tc>
          <w:tcPr>
            <w:tcW w:w="1697" w:type="dxa"/>
          </w:tcPr>
          <w:p w14:paraId="73A89C4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</w:rPr>
              <w:t>仅</w:t>
            </w:r>
            <w:r>
              <w:rPr>
                <w:rFonts w:hint="eastAsia" w:ascii="Times New Roman" w:hAnsi="Times New Roman" w:eastAsia="宋体"/>
                <w:bCs/>
                <w:lang w:val="en-US" w:eastAsia="zh-CN"/>
              </w:rPr>
              <w:t>就诊特征</w:t>
            </w:r>
          </w:p>
        </w:tc>
      </w:tr>
      <w:tr w14:paraId="3FC17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C40DDC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bCs/>
                <w:lang w:eastAsia="zh-CN"/>
              </w:rPr>
              <w:t>B</w:t>
            </w:r>
            <w:r>
              <w:rPr>
                <w:rFonts w:ascii="Times New Roman" w:hAnsi="Times New Roman" w:eastAsia="宋体"/>
                <w:bCs/>
              </w:rPr>
              <w:t>3</w:t>
            </w:r>
          </w:p>
        </w:tc>
        <w:tc>
          <w:tcPr>
            <w:tcW w:w="1697" w:type="dxa"/>
          </w:tcPr>
          <w:p w14:paraId="43119A59">
            <w:pPr>
              <w:pStyle w:val="28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仅时间特征</w:t>
            </w:r>
          </w:p>
        </w:tc>
      </w:tr>
    </w:tbl>
    <w:p w14:paraId="39F148B2">
      <w:pPr>
        <w:rPr>
          <w:rFonts w:hint="eastAsia" w:ascii="Times New Roman" w:hAnsi="Times New Roman" w:eastAsia="宋体"/>
          <w:lang w:val="en-US" w:eastAsia="zh-CN"/>
        </w:rPr>
      </w:pPr>
    </w:p>
    <w:p w14:paraId="2B10E4A8">
      <w:pPr>
        <w:pStyle w:val="2"/>
        <w:bidi w:val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4、可解释分析实验</w:t>
      </w:r>
    </w:p>
    <w:p w14:paraId="23AAEB60">
      <w:pPr>
        <w:bidi w:val="0"/>
      </w:pPr>
      <w:r>
        <w:t xml:space="preserve"> </w:t>
      </w:r>
      <w:r>
        <w:rPr>
          <w:rFonts w:hint="eastAsia"/>
          <w:lang w:val="en-US" w:eastAsia="zh-CN"/>
        </w:rPr>
        <w:t>1、</w:t>
      </w:r>
      <w:r>
        <w:rPr>
          <w:rFonts w:hint="eastAsia"/>
        </w:rPr>
        <w:t>Attention权重可视化</w:t>
      </w:r>
    </w:p>
    <w:tbl>
      <w:tblPr>
        <w:tblStyle w:val="45"/>
        <w:tblW w:w="4933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2"/>
        <w:gridCol w:w="3194"/>
        <w:gridCol w:w="1902"/>
      </w:tblGrid>
      <w:tr w14:paraId="17C35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tblHeader/>
        </w:trPr>
        <w:tc>
          <w:tcPr>
            <w:tcW w:w="364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C6593BD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可视化方法</w:t>
            </w:r>
          </w:p>
        </w:tc>
        <w:tc>
          <w:tcPr>
            <w:tcW w:w="3194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DF1FE8A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输出结果</w:t>
            </w:r>
          </w:p>
        </w:tc>
        <w:tc>
          <w:tcPr>
            <w:tcW w:w="190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4A60EEB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业务价值</w:t>
            </w:r>
          </w:p>
        </w:tc>
      </w:tr>
      <w:tr w14:paraId="40EDA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3642" w:type="dxa"/>
          </w:tcPr>
          <w:p w14:paraId="6D5683F7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热力图展示50次</w:t>
            </w:r>
          </w:p>
          <w:p w14:paraId="78D64F9A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就诊的权重分布</w:t>
            </w:r>
          </w:p>
        </w:tc>
        <w:tc>
          <w:tcPr>
            <w:tcW w:w="3194" w:type="dxa"/>
          </w:tcPr>
          <w:p w14:paraId="7F3C2D44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识别Top-5可疑就诊</w:t>
            </w:r>
          </w:p>
        </w:tc>
        <w:tc>
          <w:tcPr>
            <w:tcW w:w="1902" w:type="dxa"/>
          </w:tcPr>
          <w:p w14:paraId="7EA3F437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定位异常时间点</w:t>
            </w:r>
          </w:p>
        </w:tc>
      </w:tr>
      <w:tr w14:paraId="4F4ED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642" w:type="dxa"/>
          </w:tcPr>
          <w:p w14:paraId="16AFF75F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时间轴权重曲线</w:t>
            </w:r>
          </w:p>
        </w:tc>
        <w:tc>
          <w:tcPr>
            <w:tcW w:w="3194" w:type="dxa"/>
          </w:tcPr>
          <w:p w14:paraId="12CE0D70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发现集中作案期</w:t>
            </w:r>
          </w:p>
        </w:tc>
        <w:tc>
          <w:tcPr>
            <w:tcW w:w="1902" w:type="dxa"/>
          </w:tcPr>
          <w:p w14:paraId="45945967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揭示欺诈模式</w:t>
            </w:r>
          </w:p>
        </w:tc>
      </w:tr>
      <w:tr w14:paraId="0993F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3642" w:type="dxa"/>
          </w:tcPr>
          <w:p w14:paraId="45188928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对比正常vs欺诈的权重差异</w:t>
            </w:r>
          </w:p>
        </w:tc>
        <w:tc>
          <w:tcPr>
            <w:tcW w:w="3194" w:type="dxa"/>
          </w:tcPr>
          <w:p w14:paraId="3743B1EB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欺诈者权重更集中</w:t>
            </w:r>
          </w:p>
        </w:tc>
        <w:tc>
          <w:tcPr>
            <w:tcW w:w="1902" w:type="dxa"/>
          </w:tcPr>
          <w:p w14:paraId="48101966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行为差异分析</w:t>
            </w:r>
          </w:p>
        </w:tc>
      </w:tr>
    </w:tbl>
    <w:p w14:paraId="56931C9C">
      <w:pPr>
        <w:bidi w:val="0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color w:val="auto"/>
        </w:rPr>
        <w:t xml:space="preserve"> </w:t>
      </w:r>
    </w:p>
    <w:p w14:paraId="003BBDF3">
      <w:pPr>
        <w:bidi w:val="0"/>
        <w:rPr>
          <w:rFonts w:ascii="Times New Roman" w:hAnsi="Times New Roman" w:eastAsia="宋体"/>
          <w:color w:val="auto"/>
        </w:rPr>
      </w:pPr>
      <w:r>
        <w:rPr>
          <w:rFonts w:hint="eastAsia" w:ascii="Times New Roman" w:hAnsi="Times New Roman" w:eastAsia="宋体"/>
          <w:color w:val="auto"/>
          <w:lang w:val="en-US" w:eastAsia="zh-CN"/>
        </w:rPr>
        <w:t>2、</w:t>
      </w:r>
      <w:r>
        <w:rPr>
          <w:rFonts w:hint="eastAsia" w:ascii="Times New Roman" w:hAnsi="Times New Roman" w:eastAsia="宋体"/>
          <w:color w:val="auto"/>
        </w:rPr>
        <w:t>SHAP值分析</w:t>
      </w:r>
    </w:p>
    <w:tbl>
      <w:tblPr>
        <w:tblStyle w:val="45"/>
        <w:tblW w:w="4967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3"/>
        <w:gridCol w:w="3202"/>
        <w:gridCol w:w="1953"/>
      </w:tblGrid>
      <w:tr w14:paraId="1CD6E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tblHeader/>
        </w:trPr>
        <w:tc>
          <w:tcPr>
            <w:tcW w:w="364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DDF063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SHAP分析对象</w:t>
            </w:r>
          </w:p>
        </w:tc>
        <w:tc>
          <w:tcPr>
            <w:tcW w:w="320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208FBA1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Top-10重要特征(预期)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6502B73">
            <w:pPr>
              <w:pStyle w:val="28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业务解释</w:t>
            </w:r>
          </w:p>
        </w:tc>
      </w:tr>
      <w:tr w14:paraId="3B0FF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3643" w:type="dxa"/>
          </w:tcPr>
          <w:p w14:paraId="51B84D40">
            <w:pPr>
              <w:pStyle w:val="28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全局特征重要性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&amp;</w:t>
            </w:r>
          </w:p>
          <w:p w14:paraId="61FECB69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SHAP 特征贡献分布图</w:t>
            </w:r>
          </w:p>
        </w:tc>
        <w:tc>
          <w:tcPr>
            <w:tcW w:w="3202" w:type="dxa"/>
          </w:tcPr>
          <w:p w14:paraId="71CC57B5">
            <w:pPr>
              <w:pStyle w:val="28"/>
              <w:rPr>
                <w:rFonts w:ascii="Times New Roman" w:hAnsi="Times New Roman" w:eastAsia="宋体"/>
              </w:rPr>
            </w:pPr>
          </w:p>
        </w:tc>
        <w:tc>
          <w:tcPr>
            <w:tcW w:w="1953" w:type="dxa"/>
          </w:tcPr>
          <w:p w14:paraId="6E893015">
            <w:pPr>
              <w:pStyle w:val="28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哪些特征最关键</w:t>
            </w:r>
          </w:p>
        </w:tc>
      </w:tr>
      <w:tr w14:paraId="22084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3643" w:type="dxa"/>
          </w:tcPr>
          <w:p w14:paraId="112AC0B6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单个样本SHAP值</w:t>
            </w:r>
          </w:p>
          <w:p w14:paraId="61ABEFE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(欺诈案例)</w:t>
            </w:r>
          </w:p>
        </w:tc>
        <w:tc>
          <w:tcPr>
            <w:tcW w:w="3202" w:type="dxa"/>
          </w:tcPr>
          <w:p w14:paraId="1C7EB652">
            <w:pPr>
              <w:pStyle w:val="28"/>
              <w:rPr>
                <w:rFonts w:ascii="Times New Roman" w:hAnsi="Times New Roman" w:eastAsia="宋体"/>
              </w:rPr>
            </w:pPr>
          </w:p>
        </w:tc>
        <w:tc>
          <w:tcPr>
            <w:tcW w:w="1953" w:type="dxa"/>
          </w:tcPr>
          <w:p w14:paraId="3D501C46">
            <w:pPr>
              <w:pStyle w:val="28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解释为何判定为欺诈</w:t>
            </w:r>
          </w:p>
        </w:tc>
      </w:tr>
      <w:tr w14:paraId="426BC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3643" w:type="dxa"/>
          </w:tcPr>
          <w:p w14:paraId="59DD32A2">
            <w:pPr>
              <w:pStyle w:val="28"/>
              <w:jc w:val="center"/>
              <w:rPr>
                <w:rFonts w:hint="eastAsia"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单个样本SHAP值</w:t>
            </w:r>
          </w:p>
          <w:p w14:paraId="797E2209">
            <w:pPr>
              <w:pStyle w:val="28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(正常案例)</w:t>
            </w:r>
          </w:p>
        </w:tc>
        <w:tc>
          <w:tcPr>
            <w:tcW w:w="3202" w:type="dxa"/>
          </w:tcPr>
          <w:p w14:paraId="2E9059A1">
            <w:pPr>
              <w:pStyle w:val="28"/>
              <w:rPr>
                <w:rFonts w:ascii="Times New Roman" w:hAnsi="Times New Roman" w:eastAsia="宋体"/>
              </w:rPr>
            </w:pPr>
          </w:p>
        </w:tc>
        <w:tc>
          <w:tcPr>
            <w:tcW w:w="1953" w:type="dxa"/>
          </w:tcPr>
          <w:p w14:paraId="02F00720">
            <w:pPr>
              <w:pStyle w:val="28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正常医疗行为特征</w:t>
            </w:r>
          </w:p>
        </w:tc>
      </w:tr>
    </w:tbl>
    <w:p w14:paraId="08131EDA">
      <w:pPr>
        <w:rPr>
          <w:rFonts w:hint="default" w:ascii="Times New Roman" w:hAnsi="Times New Roman" w:eastAsia="宋体"/>
          <w:lang w:val="en-US" w:eastAsia="zh-CN"/>
        </w:rPr>
      </w:pPr>
    </w:p>
    <w:bookmarkEnd w:id="0"/>
    <w:bookmarkEnd w:id="1"/>
    <w:p w14:paraId="5C9B633C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创新点：</w:t>
      </w:r>
    </w:p>
    <w:p w14:paraId="5AFA9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1、构建多维度融合的特征体系，强化欺诈行为表征能力：突破传统医保欺诈检测中单一特征维度的局限，系统构建涵盖就诊行为、费用明细、疾病类型、三目明细的就诊特征，以及周 / 月聚合、时间间隔、费用趋势、波动规律、周期编码的时序特征，形成多维度、全视角的特征集合。通过精细化特征提取（如疾病二元特征、短间隔就诊统计、费用移动平均等），全面捕捉欺诈行为在就诊模式、费用消耗、时间分布上的异常规律，为模型精准识别提供坚实的数据支撑。</w:t>
      </w:r>
    </w:p>
    <w:p w14:paraId="49C42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2、提出 T-Bi- LSTM+attention 时序建模框架，优化时间依赖关系捕捉：针对医保数据中欺诈行为的时间关联性（如集中作案、短期高频就诊等），设计融合时间衰减机制与 Attention 机制的 Time-Aware- LSTM 模型。相比传统 LSTM、Transformer 等模型，该框架通过动态时间权重调整，强化对关键时间节点（如短间隔就诊、集中消费期）的关注度，同时避免无关时间信息的干扰，更精准地挖掘欺诈行为的时序演化模式；通过消融实验验证时间衰减组件与位置编码的有效性，提升模型对时序依赖的建模能力。</w:t>
      </w:r>
    </w:p>
    <w:p w14:paraId="5CDDB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drawing>
          <wp:inline distT="0" distB="0" distL="114300" distR="114300">
            <wp:extent cx="5631815" cy="10845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312" r="1422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8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3、系统化应对数据不平衡问题，提升模型泛化性能：针对医保欺诈数据中 “正常样本占比极高、欺诈样本极少” 的不平衡特性，设计多策略对比实验（无处理、类别加权 BCE、Focal Loss），系统探究不同不平衡处理方法对各类模型（传统 ML、基础 DL、主模型）检测效果的影响。通过量化对比分析，明确适配医保欺诈场景的不平衡处理方案，解决传统模型因数据偏倚导致的欺诈样本识别率低、泛化能力差的问题。</w:t>
      </w:r>
    </w:p>
    <w:p w14:paraId="3C72A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4、构建全流程可解释性分析体系，增强模型业务可信度：突破传统欺诈检测模型 “黑箱” 局限，整合 Attention 权重可视化与 SHAP 值分析，形成从全局到个体的可解释性框架。通过全局 SHAP 特征重要性识别关键欺诈指标，通过单样本 SHAP 分析解释模型判定依据（欺诈 / 正常案例的核心特征差异），并结合 Case Study 验证解释结果的合理性。该体系既保障了模型的检测精度，又为医保监管部门提供可落地的欺诈溯源与行为分析依据，提升技术方案的业务适用性。</w:t>
      </w:r>
    </w:p>
    <w:p w14:paraId="362BC523">
      <w:pPr>
        <w:rPr>
          <w:rFonts w:hint="eastAsia" w:ascii="Times New Roman" w:hAnsi="Times New Roman" w:eastAsia="宋体"/>
          <w:lang w:val="en-US" w:eastAsia="zh-CN"/>
        </w:rPr>
      </w:pP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6F9F8"/>
    <w:multiLevelType w:val="singleLevel"/>
    <w:tmpl w:val="D3D6F9F8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181"/>
    <w:rsid w:val="004C0181"/>
    <w:rsid w:val="0074523E"/>
    <w:rsid w:val="00A1732A"/>
    <w:rsid w:val="07550729"/>
    <w:rsid w:val="07923690"/>
    <w:rsid w:val="08D71D8F"/>
    <w:rsid w:val="0EB62CF5"/>
    <w:rsid w:val="16424C7F"/>
    <w:rsid w:val="1A8A4E7E"/>
    <w:rsid w:val="1C3B7A96"/>
    <w:rsid w:val="1DD15853"/>
    <w:rsid w:val="1F274197"/>
    <w:rsid w:val="2CF07164"/>
    <w:rsid w:val="39BF365D"/>
    <w:rsid w:val="40CA29DC"/>
    <w:rsid w:val="448A62E3"/>
    <w:rsid w:val="476A0EFF"/>
    <w:rsid w:val="58A3281F"/>
    <w:rsid w:val="60CE49E4"/>
    <w:rsid w:val="615C5FB8"/>
    <w:rsid w:val="63C35974"/>
    <w:rsid w:val="6947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04862" w:themeColor="accent1" w:themeShade="BF"/>
      <w:sz w:val="3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1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5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8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8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30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题注 Char"/>
    <w:basedOn w:val="22"/>
    <w:link w:val="12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标题 Char"/>
    <w:basedOn w:val="22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副标题 Char"/>
    <w:basedOn w:val="22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标题 1 Char"/>
    <w:basedOn w:val="22"/>
    <w:link w:val="2"/>
    <w:qFormat/>
    <w:uiPriority w:val="9"/>
    <w:rPr>
      <w:rFonts w:asciiTheme="majorAscii" w:hAnsiTheme="majorAscii" w:eastAsiaTheme="majorEastAsia" w:cstheme="majorBidi"/>
      <w:color w:val="104862" w:themeColor="accent1" w:themeShade="BF"/>
      <w:sz w:val="30"/>
      <w:szCs w:val="40"/>
    </w:rPr>
  </w:style>
  <w:style w:type="character" w:customStyle="1" w:styleId="36">
    <w:name w:val="标题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3 Char"/>
    <w:basedOn w:val="2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8">
    <w:name w:val="标题 4 Char"/>
    <w:basedOn w:val="2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9">
    <w:name w:val="标题 5 Char"/>
    <w:basedOn w:val="2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40">
    <w:name w:val="标题 6 Char"/>
    <w:basedOn w:val="2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7 Char"/>
    <w:basedOn w:val="2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标题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6">
    <w:name w:val="KeywordTok"/>
    <w:basedOn w:val="52"/>
    <w:qFormat/>
    <w:uiPriority w:val="0"/>
    <w:rPr>
      <w:rFonts w:ascii="Consolas" w:hAnsi="Consolas"/>
      <w:b/>
      <w:color w:val="007020"/>
      <w:sz w:val="22"/>
    </w:rPr>
  </w:style>
  <w:style w:type="character" w:customStyle="1" w:styleId="57">
    <w:name w:val="DataTypeTok"/>
    <w:basedOn w:val="52"/>
    <w:qFormat/>
    <w:uiPriority w:val="0"/>
    <w:rPr>
      <w:rFonts w:ascii="Consolas" w:hAnsi="Consolas"/>
      <w:color w:val="902000"/>
      <w:sz w:val="22"/>
    </w:rPr>
  </w:style>
  <w:style w:type="character" w:customStyle="1" w:styleId="58">
    <w:name w:val="DecVal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59">
    <w:name w:val="BaseN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60">
    <w:name w:val="FloatTok"/>
    <w:basedOn w:val="52"/>
    <w:qFormat/>
    <w:uiPriority w:val="0"/>
    <w:rPr>
      <w:rFonts w:ascii="Consolas" w:hAnsi="Consolas"/>
      <w:color w:val="40A070"/>
      <w:sz w:val="22"/>
    </w:rPr>
  </w:style>
  <w:style w:type="character" w:customStyle="1" w:styleId="61">
    <w:name w:val="ConstantTok"/>
    <w:basedOn w:val="52"/>
    <w:qFormat/>
    <w:uiPriority w:val="0"/>
    <w:rPr>
      <w:rFonts w:ascii="Consolas" w:hAnsi="Consolas"/>
      <w:color w:val="880000"/>
      <w:sz w:val="22"/>
    </w:rPr>
  </w:style>
  <w:style w:type="character" w:customStyle="1" w:styleId="62">
    <w:name w:val="Char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3">
    <w:name w:val="SpecialChar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4">
    <w:name w:val="String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5">
    <w:name w:val="VerbatimStringTok"/>
    <w:basedOn w:val="52"/>
    <w:qFormat/>
    <w:uiPriority w:val="0"/>
    <w:rPr>
      <w:rFonts w:ascii="Consolas" w:hAnsi="Consolas"/>
      <w:color w:val="4070A0"/>
      <w:sz w:val="22"/>
    </w:rPr>
  </w:style>
  <w:style w:type="character" w:customStyle="1" w:styleId="66">
    <w:name w:val="SpecialStringTok"/>
    <w:basedOn w:val="52"/>
    <w:qFormat/>
    <w:uiPriority w:val="0"/>
    <w:rPr>
      <w:rFonts w:ascii="Consolas" w:hAnsi="Consolas"/>
      <w:color w:val="BB6688"/>
      <w:sz w:val="22"/>
    </w:rPr>
  </w:style>
  <w:style w:type="character" w:customStyle="1" w:styleId="67">
    <w:name w:val="ImportTok"/>
    <w:basedOn w:val="52"/>
    <w:qFormat/>
    <w:uiPriority w:val="0"/>
    <w:rPr>
      <w:rFonts w:ascii="Consolas" w:hAnsi="Consolas"/>
      <w:b/>
      <w:color w:val="008000"/>
      <w:sz w:val="22"/>
    </w:rPr>
  </w:style>
  <w:style w:type="character" w:customStyle="1" w:styleId="68">
    <w:name w:val="CommentTok"/>
    <w:basedOn w:val="52"/>
    <w:qFormat/>
    <w:uiPriority w:val="0"/>
    <w:rPr>
      <w:rFonts w:ascii="Consolas" w:hAnsi="Consolas"/>
      <w:i/>
      <w:color w:val="60A0B0"/>
      <w:sz w:val="22"/>
    </w:rPr>
  </w:style>
  <w:style w:type="character" w:customStyle="1" w:styleId="69">
    <w:name w:val="DocumentationTok"/>
    <w:basedOn w:val="52"/>
    <w:qFormat/>
    <w:uiPriority w:val="0"/>
    <w:rPr>
      <w:rFonts w:ascii="Consolas" w:hAnsi="Consolas"/>
      <w:i/>
      <w:color w:val="BA2121"/>
      <w:sz w:val="22"/>
    </w:rPr>
  </w:style>
  <w:style w:type="character" w:customStyle="1" w:styleId="70">
    <w:name w:val="Annotation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CommentVar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2">
    <w:name w:val="OtherTok"/>
    <w:basedOn w:val="52"/>
    <w:qFormat/>
    <w:uiPriority w:val="0"/>
    <w:rPr>
      <w:rFonts w:ascii="Consolas" w:hAnsi="Consolas"/>
      <w:color w:val="007020"/>
      <w:sz w:val="22"/>
    </w:rPr>
  </w:style>
  <w:style w:type="character" w:customStyle="1" w:styleId="73">
    <w:name w:val="FunctionTok"/>
    <w:basedOn w:val="52"/>
    <w:qFormat/>
    <w:uiPriority w:val="0"/>
    <w:rPr>
      <w:rFonts w:ascii="Consolas" w:hAnsi="Consolas"/>
      <w:color w:val="06287E"/>
      <w:sz w:val="22"/>
    </w:rPr>
  </w:style>
  <w:style w:type="character" w:customStyle="1" w:styleId="74">
    <w:name w:val="VariableTok"/>
    <w:basedOn w:val="52"/>
    <w:qFormat/>
    <w:uiPriority w:val="0"/>
    <w:rPr>
      <w:rFonts w:ascii="Consolas" w:hAnsi="Consolas"/>
      <w:color w:val="19177C"/>
      <w:sz w:val="22"/>
    </w:rPr>
  </w:style>
  <w:style w:type="character" w:customStyle="1" w:styleId="75">
    <w:name w:val="ControlFlowTok"/>
    <w:basedOn w:val="52"/>
    <w:qFormat/>
    <w:uiPriority w:val="0"/>
    <w:rPr>
      <w:rFonts w:ascii="Consolas" w:hAnsi="Consolas"/>
      <w:b/>
      <w:color w:val="007020"/>
      <w:sz w:val="22"/>
    </w:rPr>
  </w:style>
  <w:style w:type="character" w:customStyle="1" w:styleId="76">
    <w:name w:val="OperatorTok"/>
    <w:basedOn w:val="52"/>
    <w:qFormat/>
    <w:uiPriority w:val="0"/>
    <w:rPr>
      <w:rFonts w:ascii="Consolas" w:hAnsi="Consolas"/>
      <w:color w:val="666666"/>
      <w:sz w:val="22"/>
    </w:rPr>
  </w:style>
  <w:style w:type="character" w:customStyle="1" w:styleId="77">
    <w:name w:val="BuiltInTok"/>
    <w:basedOn w:val="52"/>
    <w:qFormat/>
    <w:uiPriority w:val="0"/>
    <w:rPr>
      <w:rFonts w:ascii="Consolas" w:hAnsi="Consolas"/>
      <w:color w:val="008000"/>
      <w:sz w:val="22"/>
    </w:rPr>
  </w:style>
  <w:style w:type="character" w:customStyle="1" w:styleId="78">
    <w:name w:val="ExtensionTok"/>
    <w:basedOn w:val="52"/>
    <w:qFormat/>
    <w:uiPriority w:val="0"/>
    <w:rPr>
      <w:rFonts w:ascii="Consolas" w:hAnsi="Consolas"/>
      <w:sz w:val="22"/>
    </w:rPr>
  </w:style>
  <w:style w:type="character" w:customStyle="1" w:styleId="79">
    <w:name w:val="PreprocessorTok"/>
    <w:basedOn w:val="52"/>
    <w:qFormat/>
    <w:uiPriority w:val="0"/>
    <w:rPr>
      <w:rFonts w:ascii="Consolas" w:hAnsi="Consolas"/>
      <w:color w:val="BC7A00"/>
      <w:sz w:val="22"/>
    </w:rPr>
  </w:style>
  <w:style w:type="character" w:customStyle="1" w:styleId="80">
    <w:name w:val="AttributeTok"/>
    <w:basedOn w:val="52"/>
    <w:qFormat/>
    <w:uiPriority w:val="0"/>
    <w:rPr>
      <w:rFonts w:ascii="Consolas" w:hAnsi="Consolas"/>
      <w:color w:val="7D9029"/>
      <w:sz w:val="22"/>
    </w:rPr>
  </w:style>
  <w:style w:type="character" w:customStyle="1" w:styleId="81">
    <w:name w:val="RegionMarkerTok"/>
    <w:basedOn w:val="52"/>
    <w:qFormat/>
    <w:uiPriority w:val="0"/>
    <w:rPr>
      <w:rFonts w:ascii="Consolas" w:hAnsi="Consolas"/>
      <w:sz w:val="22"/>
    </w:rPr>
  </w:style>
  <w:style w:type="character" w:customStyle="1" w:styleId="82">
    <w:name w:val="Information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WarningTok"/>
    <w:basedOn w:val="52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4">
    <w:name w:val="AlertTok"/>
    <w:basedOn w:val="52"/>
    <w:qFormat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ErrorTok"/>
    <w:basedOn w:val="52"/>
    <w:qFormat/>
    <w:uiPriority w:val="0"/>
    <w:rPr>
      <w:rFonts w:ascii="Consolas" w:hAnsi="Consolas"/>
      <w:b/>
      <w:color w:val="FF0000"/>
      <w:sz w:val="22"/>
    </w:rPr>
  </w:style>
  <w:style w:type="character" w:customStyle="1" w:styleId="86">
    <w:name w:val="NormalTok"/>
    <w:basedOn w:val="52"/>
    <w:qFormat/>
    <w:uiPriority w:val="0"/>
    <w:rPr>
      <w:rFonts w:ascii="Consolas" w:hAnsi="Consolas"/>
      <w:sz w:val="22"/>
    </w:rPr>
  </w:style>
  <w:style w:type="character" w:customStyle="1" w:styleId="87">
    <w:name w:val="页眉 Char"/>
    <w:basedOn w:val="22"/>
    <w:link w:val="17"/>
    <w:qFormat/>
    <w:uiPriority w:val="0"/>
    <w:rPr>
      <w:sz w:val="18"/>
      <w:szCs w:val="18"/>
    </w:rPr>
  </w:style>
  <w:style w:type="character" w:customStyle="1" w:styleId="88">
    <w:name w:val="页脚 Char"/>
    <w:basedOn w:val="22"/>
    <w:link w:val="1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1176</Words>
  <Characters>2348</Characters>
  <Lines>22</Lines>
  <Paragraphs>6</Paragraphs>
  <TotalTime>0</TotalTime>
  <ScaleCrop>false</ScaleCrop>
  <LinksUpToDate>false</LinksUpToDate>
  <CharactersWithSpaces>2585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2025-12-31T16:10:00Z</dcterms:created>
  <dc:creator>付颖</dc:creator>
  <cp:lastModifiedBy>付颖</cp:lastModifiedBy>
  <dcterms:modified xsi:type="dcterms:W3CDTF">2026-01-03T06:57:41Z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eyJoZGlkIjoiNGU5YTk2NWU3OTRhNTU0YjZlNWE0ODExMjY4YzM0MTgiLCJ1c2VySWQiOiIxNTM1MzY3MjExIn0=</vt:lpwstr>
  </property>
  <property fmtid="{D5CDD505-2E9C-101B-9397-08002B2CF9AE}" pid="3" name="KSOProductBuildVer">
    <vt:lpwstr>2052-12.1.0.24034</vt:lpwstr>
  </property>
  <property fmtid="{D5CDD505-2E9C-101B-9397-08002B2CF9AE}" pid="4" name="ICV">
    <vt:lpwstr>8349414921E0457DBB45B2E6F3A677B8_13</vt:lpwstr>
  </property>
</Properties>
</file>