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Devin Session Launch Instructions</w:t>
      </w:r>
    </w:p>
    <w:p>
      <w:pPr>
        <w:jc w:val="center"/>
      </w:pPr>
      <w:r>
        <w:rPr>
          <w:b/>
          <w:color w:val="2F5597"/>
          <w:sz w:val="28"/>
        </w:rPr>
        <w:t>Comment Validator Agent for Fails Commentary</w:t>
      </w:r>
    </w:p>
    <w:p>
      <w:pPr>
        <w:jc w:val="center"/>
      </w:pPr>
      <w:r>
        <w:rPr>
          <w:i/>
        </w:rPr>
        <w:t>Purpose: give Devin a precise, implementation-ready task brief for building and testing the Comment Validator Agent.</w:t>
      </w:r>
    </w:p>
    <w:p/>
    <w:tbl>
      <w:tblPr>
        <w:tblW w:type="auto" w:w="0"/>
        <w:jc w:val="center"/>
        <w:tblLayout w:type="autofit"/>
        <w:tblLook w:firstColumn="1" w:firstRow="1" w:lastColumn="0" w:lastRow="0" w:noHBand="0" w:noVBand="1" w:val="04A0"/>
        <w:tblBorders>
          <w:top w:val="single" w:sz="4" w:space="0" w:color="B7CCE5"/>
          <w:left w:val="single" w:sz="4" w:space="0" w:color="B7CCE5"/>
          <w:bottom w:val="single" w:sz="4" w:space="0" w:color="B7CCE5"/>
          <w:right w:val="single" w:sz="4" w:space="0" w:color="B7CCE5"/>
          <w:insideH w:val="single" w:sz="4" w:space="0" w:color="B7CCE5"/>
          <w:insideV w:val="single" w:sz="4" w:space="0" w:color="B7CCE5"/>
        </w:tblBorders>
      </w:tblPr>
      <w:tblGrid>
        <w:gridCol w:w="10368"/>
      </w:tblGrid>
      <w:tr>
        <w:tc>
          <w:tcPr>
            <w:tcW w:type="dxa" w:w="10368"/>
            <w:shd w:fill="1F4E79"/>
            <w:vAlign w:val="top"/>
          </w:tcPr>
          <w:p>
            <w:pPr>
              <w:spacing w:after="0"/>
            </w:pPr>
            <w:r/>
            <w:r>
              <w:rPr>
                <w:b/>
                <w:color w:val="FFFFFF"/>
              </w:rPr>
              <w:t>Executive Summary</w:t>
            </w:r>
          </w:p>
        </w:tc>
      </w:tr>
      <w:tr>
        <w:tc>
          <w:tcPr>
            <w:tcW w:type="dxa" w:w="10368"/>
            <w:shd w:fill="EAF2F8"/>
            <w:vAlign w:val="top"/>
          </w:tcPr>
          <w:p>
            <w:pPr>
              <w:spacing w:after="0"/>
            </w:pPr>
            <w:r/>
            <w:r>
              <w:rPr>
                <w:b w:val="0"/>
              </w:rPr>
              <w:t>Build a Comment Validator Agent that validates generated and human-edited Fails commentary against grounded evidence from live tools or immutable evidence snapshots. The agent must prevent hallucinated or stale operational facts from being published, must preserve auditability, and must return clear pass/fail/needs-review results with evidence citations.</w:t>
            </w:r>
          </w:p>
        </w:tc>
      </w:tr>
    </w:tbl>
    <w:p/>
    <w:p>
      <w:pPr>
        <w:pStyle w:val="Heading1"/>
      </w:pPr>
      <w:r>
        <w:t>1. Copy-Paste Prompt for Devin</w:t>
      </w:r>
    </w:p>
    <w:p>
      <w:r>
        <w:t>Use the following prompt to start the Devin session. Adjust repository path and branch name if needed.</w:t>
      </w:r>
    </w:p>
    <w:p>
      <w:pPr>
        <w:pStyle w:val="CodeBlock"/>
        <w:spacing w:before="60" w:after="160"/>
      </w:pPr>
      <w:r>
        <w:rPr>
          <w:rFonts w:ascii="Courier New" w:hAnsi="Courier New" w:eastAsia="Courier New"/>
          <w:sz w:val="17"/>
        </w:rPr>
        <w:t>You are working on the Comment Validator Agent for the Fails Commentary use case.</w:t>
        <w:br/>
        <w:br/>
        <w:t>Goal:</w:t>
        <w:br/>
        <w:t>Implement an ADK-based validation workflow that checks generated and human-edited trade/fails commentary against grounded evidence from the approved tools and/or an immutable case evidence snapshot.</w:t>
        <w:br/>
        <w:br/>
        <w:t>Business context:</w:t>
        <w:br/>
        <w:t>- The use case generates CUSIP-level and trade-level commentary for failed trades / settlement fails.</w:t>
        <w:br/>
        <w:t>- Live operational facts may change during the day. Do not treat vector DB or prior commentary as current truth.</w:t>
        <w:br/>
        <w:t>- Current facts must come from tools or an evidence snapshot with an as_of_timestamp.</w:t>
        <w:br/>
        <w:t>- Human-edited commentary must be revalidated before publish/send.</w:t>
        <w:br/>
        <w:br/>
        <w:t>Required tools/data sources:</w:t>
        <w:br/>
        <w:t>- get_ftd_fsr_data</w:t>
        <w:br/>
        <w:t>- get_gdv_positions</w:t>
        <w:br/>
        <w:t>- get_gsr_data</w:t>
        <w:br/>
        <w:br/>
        <w:t>Required outputs:</w:t>
        <w:br/>
        <w:t>- ValidationResult with status: PASSED, FAILED, or NEEDS_REVIEW</w:t>
        <w:br/>
        <w:t>- evidence_used with tool name, timestamp, identifiers, and cited fields</w:t>
        <w:br/>
        <w:t>- issues list with severity, field, generated_value, evidence_value, and explanation</w:t>
        <w:br/>
        <w:t>- recommended_action</w:t>
        <w:br/>
        <w:t>- audit metadata: case_id, trade_id, cusip, validator_version, run_id, as_of_timestamp</w:t>
        <w:br/>
        <w:br/>
        <w:t>Implementation tasks:</w:t>
        <w:br/>
        <w:t>1. Inspect the repo structure and identify the existing ADK agent, tools, config, tests, and prompts.</w:t>
        <w:br/>
        <w:t>2. Add/confirm Pydantic models for EvidenceSnapshot, CommentaryDraft, ValidationIssue, and ValidationResult.</w:t>
        <w:br/>
        <w:t>3. Implement validator logic that extracts factual claims from commentary and compares them to evidence.</w:t>
        <w:br/>
        <w:t>4. Use deterministic checks for numeric identifiers, quantities, dates, CUSIPs, trade IDs, settlement status, and desk/source references.</w:t>
        <w:br/>
        <w:t>5. Add an LLM-as-judge step only after deterministic checks, and ensure it is grounded in evidence.</w:t>
        <w:br/>
        <w:t>6. Add tests with passing, failing, stale-evidence, missing-evidence, and human-edit revalidation scenarios.</w:t>
        <w:br/>
        <w:t>7. Add logging/tracing so tool calls, evidence snapshots, validation decisions, and human edits are auditable.</w:t>
        <w:br/>
        <w:t>8. Update README with setup, run commands, sample request/response, and known assumptions.</w:t>
        <w:br/>
        <w:br/>
        <w:t>Constraints:</w:t>
        <w:br/>
        <w:t>- Do not publish commentary directly from the validator.</w:t>
        <w:br/>
        <w:t>- Do not silently pass if evidence is missing.</w:t>
        <w:br/>
        <w:t>- Do not use historical vector DB data as current-state evidence.</w:t>
        <w:br/>
        <w:t>- Do not invent facts. If evidence is insufficient, return NEEDS_REVIEW.</w:t>
        <w:br/>
        <w:br/>
        <w:t>Definition of Done:</w:t>
        <w:br/>
        <w:t>- Unit tests pass.</w:t>
        <w:br/>
        <w:t>- Sample end-to-end validation script works locally.</w:t>
        <w:br/>
        <w:t>- README is updated.</w:t>
        <w:br/>
        <w:t>- Code is typed, readable, and ready for junior data scientists to extend.</w:t>
      </w:r>
    </w:p>
    <w:p>
      <w:pPr>
        <w:pStyle w:val="Heading1"/>
      </w:pPr>
      <w:r>
        <w:t>2. Target Design</w:t>
      </w:r>
    </w:p>
    <w:p>
      <w:r>
        <w:t>The Comment Validator Agent sits after commentary generation and before any publish/send action.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2880"/>
            <w:shd w:fill="1F4E79"/>
            <w:vAlign w:val="top"/>
          </w:tcPr>
          <w:p>
            <w:pPr>
              <w:spacing w:after="0"/>
            </w:pPr>
            <w:r/>
            <w:r>
              <w:rPr>
                <w:b/>
                <w:color w:val="FFFFFF"/>
              </w:rPr>
              <w:t>Component</w:t>
            </w:r>
          </w:p>
        </w:tc>
        <w:tc>
          <w:tcPr>
            <w:tcW w:type="dxa" w:w="8352"/>
            <w:shd w:fill="1F4E79"/>
            <w:vAlign w:val="top"/>
          </w:tcPr>
          <w:p>
            <w:pPr>
              <w:spacing w:after="0"/>
            </w:pPr>
            <w:r/>
            <w:r>
              <w:rPr>
                <w:b/>
                <w:color w:val="FFFFFF"/>
              </w:rPr>
              <w:t>Responsibility</w:t>
            </w:r>
          </w:p>
        </w:tc>
      </w:tr>
      <w:tr>
        <w:tc>
          <w:tcPr>
            <w:tcW w:type="dxa" w:w="2880"/>
            <w:vAlign w:val="top"/>
          </w:tcPr>
          <w:p>
            <w:pPr>
              <w:spacing w:after="0"/>
            </w:pPr>
            <w:r/>
            <w:r>
              <w:rPr>
                <w:b w:val="0"/>
              </w:rPr>
              <w:t>Ingestion workflow</w:t>
            </w:r>
          </w:p>
        </w:tc>
        <w:tc>
          <w:tcPr>
            <w:tcW w:type="dxa" w:w="8352"/>
            <w:vAlign w:val="top"/>
          </w:tcPr>
          <w:p>
            <w:pPr>
              <w:spacing w:after="0"/>
            </w:pPr>
            <w:r/>
            <w:r>
              <w:rPr>
                <w:b w:val="0"/>
              </w:rPr>
              <w:t>Calls approved tools and produces a normalized evidence snapshot. This is deterministic and should not invent missing values.</w:t>
            </w:r>
          </w:p>
        </w:tc>
      </w:tr>
      <w:tr>
        <w:tc>
          <w:tcPr>
            <w:tcW w:type="dxa" w:w="2880"/>
            <w:vAlign w:val="top"/>
          </w:tcPr>
          <w:p>
            <w:pPr>
              <w:spacing w:after="0"/>
            </w:pPr>
            <w:r/>
            <w:r>
              <w:rPr>
                <w:b w:val="0"/>
              </w:rPr>
              <w:t>Commentary Generation Agent</w:t>
            </w:r>
          </w:p>
        </w:tc>
        <w:tc>
          <w:tcPr>
            <w:tcW w:type="dxa" w:w="8352"/>
            <w:vAlign w:val="top"/>
          </w:tcPr>
          <w:p>
            <w:pPr>
              <w:spacing w:after="0"/>
            </w:pPr>
            <w:r/>
            <w:r>
              <w:rPr>
                <w:b w:val="0"/>
              </w:rPr>
              <w:t>Generates draft commentary from grounded evidence. It may create CUSIP-level and trade-level commentary.</w:t>
            </w:r>
          </w:p>
        </w:tc>
      </w:tr>
      <w:tr>
        <w:tc>
          <w:tcPr>
            <w:tcW w:type="dxa" w:w="2880"/>
            <w:vAlign w:val="top"/>
          </w:tcPr>
          <w:p>
            <w:pPr>
              <w:spacing w:after="0"/>
            </w:pPr>
            <w:r/>
            <w:r>
              <w:rPr>
                <w:b w:val="0"/>
              </w:rPr>
              <w:t>Comment Validator Agent</w:t>
            </w:r>
          </w:p>
        </w:tc>
        <w:tc>
          <w:tcPr>
            <w:tcW w:type="dxa" w:w="8352"/>
            <w:vAlign w:val="top"/>
          </w:tcPr>
          <w:p>
            <w:pPr>
              <w:spacing w:after="0"/>
            </w:pPr>
            <w:r/>
            <w:r>
              <w:rPr>
                <w:b w:val="0"/>
              </w:rPr>
              <w:t>Validates commentary against live tool evidence or a saved evidence snapshot. It returns PASSED, FAILED, or NEEDS_REVIEW.</w:t>
            </w:r>
          </w:p>
        </w:tc>
      </w:tr>
      <w:tr>
        <w:tc>
          <w:tcPr>
            <w:tcW w:type="dxa" w:w="2880"/>
            <w:vAlign w:val="top"/>
          </w:tcPr>
          <w:p>
            <w:pPr>
              <w:spacing w:after="0"/>
            </w:pPr>
            <w:r/>
            <w:r>
              <w:rPr>
                <w:b w:val="0"/>
              </w:rPr>
              <w:t>Human Review/Edit</w:t>
            </w:r>
          </w:p>
        </w:tc>
        <w:tc>
          <w:tcPr>
            <w:tcW w:type="dxa" w:w="8352"/>
            <w:vAlign w:val="top"/>
          </w:tcPr>
          <w:p>
            <w:pPr>
              <w:spacing w:after="0"/>
            </w:pPr>
            <w:r/>
            <w:r>
              <w:rPr>
                <w:b w:val="0"/>
              </w:rPr>
              <w:t>Allows operations/user review. Any human edits must be revalidated before publish/send.</w:t>
            </w:r>
          </w:p>
        </w:tc>
      </w:tr>
      <w:tr>
        <w:tc>
          <w:tcPr>
            <w:tcW w:type="dxa" w:w="2880"/>
            <w:vAlign w:val="top"/>
          </w:tcPr>
          <w:p>
            <w:pPr>
              <w:spacing w:after="0"/>
            </w:pPr>
            <w:r/>
            <w:r>
              <w:rPr>
                <w:b w:val="0"/>
              </w:rPr>
              <w:t>Publish/QMA Email tools</w:t>
            </w:r>
          </w:p>
        </w:tc>
        <w:tc>
          <w:tcPr>
            <w:tcW w:type="dxa" w:w="8352"/>
            <w:vAlign w:val="top"/>
          </w:tcPr>
          <w:p>
            <w:pPr>
              <w:spacing w:after="0"/>
            </w:pPr>
            <w:r/>
            <w:r>
              <w:rPr>
                <w:b w:val="0"/>
              </w:rPr>
              <w:t>Allowed only after approval and validation pass. Tool-level guardrails should block unvalidated publish/send.</w:t>
            </w:r>
          </w:p>
        </w:tc>
      </w:tr>
    </w:tbl>
    <w:p/>
    <w:tbl>
      <w:tblPr>
        <w:tblW w:type="auto" w:w="0"/>
        <w:jc w:val="center"/>
        <w:tblLayout w:type="autofit"/>
        <w:tblLook w:firstColumn="1" w:firstRow="1" w:lastColumn="0" w:lastRow="0" w:noHBand="0" w:noVBand="1" w:val="04A0"/>
        <w:tblBorders>
          <w:top w:val="single" w:sz="4" w:space="0" w:color="B7CCE5"/>
          <w:left w:val="single" w:sz="4" w:space="0" w:color="B7CCE5"/>
          <w:bottom w:val="single" w:sz="4" w:space="0" w:color="B7CCE5"/>
          <w:right w:val="single" w:sz="4" w:space="0" w:color="B7CCE5"/>
          <w:insideH w:val="single" w:sz="4" w:space="0" w:color="B7CCE5"/>
          <w:insideV w:val="single" w:sz="4" w:space="0" w:color="B7CCE5"/>
        </w:tblBorders>
      </w:tblPr>
      <w:tblGrid>
        <w:gridCol w:w="10368"/>
      </w:tblGrid>
      <w:tr>
        <w:tc>
          <w:tcPr>
            <w:tcW w:type="dxa" w:w="10368"/>
            <w:shd w:fill="1F4E79"/>
            <w:vAlign w:val="top"/>
          </w:tcPr>
          <w:p>
            <w:pPr>
              <w:spacing w:after="0"/>
            </w:pPr>
            <w:r/>
            <w:r>
              <w:rPr>
                <w:b/>
                <w:color w:val="FFFFFF"/>
              </w:rPr>
              <w:t>Core Principle</w:t>
            </w:r>
          </w:p>
        </w:tc>
      </w:tr>
      <w:tr>
        <w:tc>
          <w:tcPr>
            <w:tcW w:type="dxa" w:w="10368"/>
            <w:shd w:fill="EAF2F8"/>
            <w:vAlign w:val="top"/>
          </w:tcPr>
          <w:p>
            <w:pPr>
              <w:spacing w:after="0"/>
            </w:pPr>
            <w:r/>
            <w:r>
              <w:rPr>
                <w:b w:val="0"/>
              </w:rPr>
              <w:t>APIs and evidence snapshots are source of truth for live facts. Vector DB and prior cases are memory/context only. They may guide wording, but they must not be used as current-state evidence without revalidation.</w:t>
            </w:r>
          </w:p>
        </w:tc>
      </w:tr>
    </w:tbl>
    <w:p/>
    <w:p>
      <w:pPr>
        <w:pStyle w:val="Heading1"/>
      </w:pPr>
      <w:r>
        <w:t>3. Architecture Flow</w:t>
      </w:r>
    </w:p>
    <w:p>
      <w:pPr>
        <w:pStyle w:val="CodeBlock"/>
        <w:spacing w:before="60" w:after="160"/>
      </w:pPr>
      <w:r>
        <w:rPr>
          <w:rFonts w:ascii="Courier New" w:hAnsi="Courier New" w:eastAsia="Courier New"/>
          <w:sz w:val="17"/>
        </w:rPr>
        <w:t>User or workflow requests commentary validation</w:t>
        <w:br/>
        <w:t xml:space="preserve">  -&gt; Load CommentaryDraft and case identifiers</w:t>
        <w:br/>
        <w:t xml:space="preserve">  -&gt; Load EvidenceSnapshot OR call approved live tools</w:t>
        <w:br/>
        <w:t xml:space="preserve">  -&gt; Normalize evidence into standard schema</w:t>
        <w:br/>
        <w:t xml:space="preserve">  -&gt; Extract factual claims from commentary</w:t>
        <w:br/>
        <w:t xml:space="preserve">  -&gt; Run deterministic validation checks</w:t>
        <w:br/>
        <w:t xml:space="preserve">  -&gt; Run grounded LLM-as-judge for narrative consistency</w:t>
        <w:br/>
        <w:t xml:space="preserve">  -&gt; Return ValidationResult</w:t>
        <w:br/>
        <w:t xml:space="preserve">  -&gt; If human edits commentary, run same validation again</w:t>
        <w:br/>
        <w:t xml:space="preserve">  -&gt; Publish/send only after PASSED + human approval</w:t>
      </w:r>
    </w:p>
    <w:p>
      <w:pPr>
        <w:pStyle w:val="Heading1"/>
      </w:pPr>
      <w:r>
        <w:t>4. Data Contracts to Implement or Confirm</w:t>
      </w:r>
    </w:p>
    <w:p>
      <w:r>
        <w:t>Devin should implement these as Pydantic models or align with existing models in the repository.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2736"/>
            <w:shd w:fill="1F4E79"/>
            <w:vAlign w:val="top"/>
          </w:tcPr>
          <w:p>
            <w:pPr>
              <w:spacing w:after="0"/>
            </w:pPr>
            <w:r/>
            <w:r>
              <w:rPr>
                <w:b/>
                <w:color w:val="FFFFFF"/>
              </w:rPr>
              <w:t>Model</w:t>
            </w:r>
          </w:p>
        </w:tc>
        <w:tc>
          <w:tcPr>
            <w:tcW w:type="dxa" w:w="8496"/>
            <w:shd w:fill="1F4E79"/>
            <w:vAlign w:val="top"/>
          </w:tcPr>
          <w:p>
            <w:pPr>
              <w:spacing w:after="0"/>
            </w:pPr>
            <w:r/>
            <w:r>
              <w:rPr>
                <w:b/>
                <w:color w:val="FFFFFF"/>
              </w:rPr>
              <w:t>Key Fields</w:t>
            </w:r>
          </w:p>
        </w:tc>
      </w:tr>
      <w:tr>
        <w:tc>
          <w:tcPr>
            <w:tcW w:type="dxa" w:w="2736"/>
            <w:vAlign w:val="top"/>
          </w:tcPr>
          <w:p>
            <w:pPr>
              <w:spacing w:after="0"/>
            </w:pPr>
            <w:r/>
            <w:r>
              <w:rPr>
                <w:b w:val="0"/>
              </w:rPr>
              <w:t>EvidenceSnapshot</w:t>
            </w:r>
          </w:p>
        </w:tc>
        <w:tc>
          <w:tcPr>
            <w:tcW w:type="dxa" w:w="8496"/>
            <w:vAlign w:val="top"/>
          </w:tcPr>
          <w:p>
            <w:pPr>
              <w:spacing w:after="0"/>
            </w:pPr>
            <w:r/>
            <w:r>
              <w:rPr>
                <w:b w:val="0"/>
              </w:rPr>
              <w:t>case_id, trade_id, cusip, as_of_timestamp, tool_results, source_systems, snapshot_hash</w:t>
            </w:r>
          </w:p>
        </w:tc>
      </w:tr>
      <w:tr>
        <w:tc>
          <w:tcPr>
            <w:tcW w:type="dxa" w:w="2736"/>
            <w:vAlign w:val="top"/>
          </w:tcPr>
          <w:p>
            <w:pPr>
              <w:spacing w:after="0"/>
            </w:pPr>
            <w:r/>
            <w:r>
              <w:rPr>
                <w:b w:val="0"/>
              </w:rPr>
              <w:t>CommentaryDraft</w:t>
            </w:r>
          </w:p>
        </w:tc>
        <w:tc>
          <w:tcPr>
            <w:tcW w:type="dxa" w:w="8496"/>
            <w:vAlign w:val="top"/>
          </w:tcPr>
          <w:p>
            <w:pPr>
              <w:spacing w:after="0"/>
            </w:pPr>
            <w:r/>
            <w:r>
              <w:rPr>
                <w:b w:val="0"/>
              </w:rPr>
              <w:t>case_id, trade_id, cusip, commentary_text, generated_by, generated_at, version, human_edited flag</w:t>
            </w:r>
          </w:p>
        </w:tc>
      </w:tr>
      <w:tr>
        <w:tc>
          <w:tcPr>
            <w:tcW w:type="dxa" w:w="2736"/>
            <w:vAlign w:val="top"/>
          </w:tcPr>
          <w:p>
            <w:pPr>
              <w:spacing w:after="0"/>
            </w:pPr>
            <w:r/>
            <w:r>
              <w:rPr>
                <w:b w:val="0"/>
              </w:rPr>
              <w:t>ValidationIssue</w:t>
            </w:r>
          </w:p>
        </w:tc>
        <w:tc>
          <w:tcPr>
            <w:tcW w:type="dxa" w:w="8496"/>
            <w:vAlign w:val="top"/>
          </w:tcPr>
          <w:p>
            <w:pPr>
              <w:spacing w:after="0"/>
            </w:pPr>
            <w:r/>
            <w:r>
              <w:rPr>
                <w:b w:val="0"/>
              </w:rPr>
              <w:t>severity, issue_type, field, generated_value, evidence_value, explanation, evidence_reference</w:t>
            </w:r>
          </w:p>
        </w:tc>
      </w:tr>
      <w:tr>
        <w:tc>
          <w:tcPr>
            <w:tcW w:type="dxa" w:w="2736"/>
            <w:vAlign w:val="top"/>
          </w:tcPr>
          <w:p>
            <w:pPr>
              <w:spacing w:after="0"/>
            </w:pPr>
            <w:r/>
            <w:r>
              <w:rPr>
                <w:b w:val="0"/>
              </w:rPr>
              <w:t>ValidationResult</w:t>
            </w:r>
          </w:p>
        </w:tc>
        <w:tc>
          <w:tcPr>
            <w:tcW w:type="dxa" w:w="8496"/>
            <w:vAlign w:val="top"/>
          </w:tcPr>
          <w:p>
            <w:pPr>
              <w:spacing w:after="0"/>
            </w:pPr>
            <w:r/>
            <w:r>
              <w:rPr>
                <w:b w:val="0"/>
              </w:rPr>
              <w:t>status, confidence, issues, evidence_used, recommended_action, audit_metadata</w:t>
            </w:r>
          </w:p>
        </w:tc>
      </w:tr>
    </w:tbl>
    <w:p/>
    <w:p>
      <w:pPr>
        <w:pStyle w:val="Heading1"/>
      </w:pPr>
      <w:r>
        <w:t>5. Validation Logic</w:t>
      </w:r>
    </w:p>
    <w:p>
      <w:pPr>
        <w:pStyle w:val="ListBullet"/>
      </w:pPr>
      <w:r>
        <w:t>First validate hard facts deterministically: CUSIP, trade ID, settlement status, quantities, dates, side, desk, source system, and key numeric fields.</w:t>
      </w:r>
    </w:p>
    <w:p>
      <w:pPr>
        <w:pStyle w:val="ListBullet"/>
      </w:pPr>
      <w:r>
        <w:t>Then validate narrative consistency: whether the commentary conclusion is supported by evidence.</w:t>
      </w:r>
    </w:p>
    <w:p>
      <w:pPr>
        <w:pStyle w:val="ListBullet"/>
      </w:pPr>
      <w:r>
        <w:t>If required evidence is missing, return NEEDS_REVIEW rather than PASSED.</w:t>
      </w:r>
    </w:p>
    <w:p>
      <w:pPr>
        <w:pStyle w:val="ListBullet"/>
      </w:pPr>
      <w:r>
        <w:t>If commentary contradicts evidence, return FAILED with a clear issue list.</w:t>
      </w:r>
    </w:p>
    <w:p>
      <w:pPr>
        <w:pStyle w:val="ListBullet"/>
      </w:pPr>
      <w:r>
        <w:t>If the human modifies the commentary, treat it as a new draft version and revalidate it before publish/send.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3456"/>
            <w:shd w:fill="1F4E79"/>
            <w:vAlign w:val="top"/>
          </w:tcPr>
          <w:p>
            <w:pPr>
              <w:spacing w:after="0"/>
            </w:pPr>
            <w:r/>
            <w:r>
              <w:rPr>
                <w:b/>
                <w:color w:val="FFFFFF"/>
              </w:rPr>
              <w:t>Scenario</w:t>
            </w:r>
          </w:p>
        </w:tc>
        <w:tc>
          <w:tcPr>
            <w:tcW w:type="dxa" w:w="7776"/>
            <w:shd w:fill="1F4E79"/>
            <w:vAlign w:val="top"/>
          </w:tcPr>
          <w:p>
            <w:pPr>
              <w:spacing w:after="0"/>
            </w:pPr>
            <w:r/>
            <w:r>
              <w:rPr>
                <w:b/>
                <w:color w:val="FFFFFF"/>
              </w:rPr>
              <w:t>Expected Validator Behavior</w:t>
            </w:r>
          </w:p>
        </w:tc>
      </w:tr>
      <w:tr>
        <w:tc>
          <w:tcPr>
            <w:tcW w:type="dxa" w:w="3456"/>
            <w:vAlign w:val="top"/>
          </w:tcPr>
          <w:p>
            <w:pPr>
              <w:spacing w:after="0"/>
            </w:pPr>
            <w:r/>
            <w:r>
              <w:rPr>
                <w:b w:val="0"/>
              </w:rPr>
              <w:t>All hard facts match and narrative is supported</w:t>
            </w:r>
          </w:p>
        </w:tc>
        <w:tc>
          <w:tcPr>
            <w:tcW w:type="dxa" w:w="7776"/>
            <w:vAlign w:val="top"/>
          </w:tcPr>
          <w:p>
            <w:pPr>
              <w:spacing w:after="0"/>
            </w:pPr>
            <w:r/>
            <w:r>
              <w:rPr>
                <w:b w:val="0"/>
              </w:rPr>
              <w:t>Return PASSED. Include evidence references and validation timestamp.</w:t>
            </w:r>
          </w:p>
        </w:tc>
      </w:tr>
      <w:tr>
        <w:tc>
          <w:tcPr>
            <w:tcW w:type="dxa" w:w="3456"/>
            <w:vAlign w:val="top"/>
          </w:tcPr>
          <w:p>
            <w:pPr>
              <w:spacing w:after="0"/>
            </w:pPr>
            <w:r/>
            <w:r>
              <w:rPr>
                <w:b w:val="0"/>
              </w:rPr>
              <w:t>Hard fact mismatch</w:t>
            </w:r>
          </w:p>
        </w:tc>
        <w:tc>
          <w:tcPr>
            <w:tcW w:type="dxa" w:w="7776"/>
            <w:vAlign w:val="top"/>
          </w:tcPr>
          <w:p>
            <w:pPr>
              <w:spacing w:after="0"/>
            </w:pPr>
            <w:r/>
            <w:r>
              <w:rPr>
                <w:b w:val="0"/>
              </w:rPr>
              <w:t>Return FAILED. Identify the exact field and mismatch.</w:t>
            </w:r>
          </w:p>
        </w:tc>
      </w:tr>
      <w:tr>
        <w:tc>
          <w:tcPr>
            <w:tcW w:type="dxa" w:w="3456"/>
            <w:vAlign w:val="top"/>
          </w:tcPr>
          <w:p>
            <w:pPr>
              <w:spacing w:after="0"/>
            </w:pPr>
            <w:r/>
            <w:r>
              <w:rPr>
                <w:b w:val="0"/>
              </w:rPr>
              <w:t>Evidence missing or stale</w:t>
            </w:r>
          </w:p>
        </w:tc>
        <w:tc>
          <w:tcPr>
            <w:tcW w:type="dxa" w:w="7776"/>
            <w:vAlign w:val="top"/>
          </w:tcPr>
          <w:p>
            <w:pPr>
              <w:spacing w:after="0"/>
            </w:pPr>
            <w:r/>
            <w:r>
              <w:rPr>
                <w:b w:val="0"/>
              </w:rPr>
              <w:t>Return NEEDS_REVIEW. Do not infer missing facts.</w:t>
            </w:r>
          </w:p>
        </w:tc>
      </w:tr>
      <w:tr>
        <w:tc>
          <w:tcPr>
            <w:tcW w:type="dxa" w:w="3456"/>
            <w:vAlign w:val="top"/>
          </w:tcPr>
          <w:p>
            <w:pPr>
              <w:spacing w:after="0"/>
            </w:pPr>
            <w:r/>
            <w:r>
              <w:rPr>
                <w:b w:val="0"/>
              </w:rPr>
              <w:t>Narrative overstates cause or responsibility</w:t>
            </w:r>
          </w:p>
        </w:tc>
        <w:tc>
          <w:tcPr>
            <w:tcW w:type="dxa" w:w="7776"/>
            <w:vAlign w:val="top"/>
          </w:tcPr>
          <w:p>
            <w:pPr>
              <w:spacing w:after="0"/>
            </w:pPr>
            <w:r/>
            <w:r>
              <w:rPr>
                <w:b w:val="0"/>
              </w:rPr>
              <w:t>Return FAILED or NEEDS_REVIEW depending on severity.</w:t>
            </w:r>
          </w:p>
        </w:tc>
      </w:tr>
      <w:tr>
        <w:tc>
          <w:tcPr>
            <w:tcW w:type="dxa" w:w="3456"/>
            <w:vAlign w:val="top"/>
          </w:tcPr>
          <w:p>
            <w:pPr>
              <w:spacing w:after="0"/>
            </w:pPr>
            <w:r/>
            <w:r>
              <w:rPr>
                <w:b w:val="0"/>
              </w:rPr>
              <w:t>Human edits after initial pass</w:t>
            </w:r>
          </w:p>
        </w:tc>
        <w:tc>
          <w:tcPr>
            <w:tcW w:type="dxa" w:w="7776"/>
            <w:vAlign w:val="top"/>
          </w:tcPr>
          <w:p>
            <w:pPr>
              <w:spacing w:after="0"/>
            </w:pPr>
            <w:r/>
            <w:r>
              <w:rPr>
                <w:b w:val="0"/>
              </w:rPr>
              <w:t>Re-run validation and create new validation result for the edited version.</w:t>
            </w:r>
          </w:p>
        </w:tc>
      </w:tr>
    </w:tbl>
    <w:p/>
    <w:p>
      <w:pPr>
        <w:pStyle w:val="Heading1"/>
      </w:pPr>
      <w:r>
        <w:t>6. Approved Tool Boundary</w:t>
      </w:r>
    </w:p>
    <w:p>
      <w:r>
        <w:t>The validator must use only approved evidence tools for live operational facts.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448"/>
            <w:shd w:fill="1F4E79"/>
            <w:vAlign w:val="top"/>
          </w:tcPr>
          <w:p>
            <w:pPr>
              <w:spacing w:after="0"/>
            </w:pPr>
            <w:r/>
            <w:r>
              <w:rPr>
                <w:b/>
                <w:color w:val="FFFFFF"/>
              </w:rPr>
              <w:t>Tool</w:t>
            </w:r>
          </w:p>
        </w:tc>
        <w:tc>
          <w:tcPr>
            <w:tcW w:type="dxa" w:w="3312"/>
            <w:shd w:fill="1F4E79"/>
            <w:vAlign w:val="top"/>
          </w:tcPr>
          <w:p>
            <w:pPr>
              <w:spacing w:after="0"/>
            </w:pPr>
            <w:r/>
            <w:r>
              <w:rPr>
                <w:b/>
                <w:color w:val="FFFFFF"/>
              </w:rPr>
              <w:t>Purpose</w:t>
            </w:r>
          </w:p>
        </w:tc>
        <w:tc>
          <w:tcPr>
            <w:tcW w:type="dxa" w:w="5472"/>
            <w:shd w:fill="1F4E79"/>
            <w:vAlign w:val="top"/>
          </w:tcPr>
          <w:p>
            <w:pPr>
              <w:spacing w:after="0"/>
            </w:pPr>
            <w:r/>
            <w:r>
              <w:rPr>
                <w:b/>
                <w:color w:val="FFFFFF"/>
              </w:rPr>
              <w:t>Validation Use</w:t>
            </w:r>
          </w:p>
        </w:tc>
      </w:tr>
      <w:tr>
        <w:tc>
          <w:tcPr>
            <w:tcW w:type="dxa" w:w="2448"/>
            <w:vAlign w:val="top"/>
          </w:tcPr>
          <w:p>
            <w:pPr>
              <w:spacing w:after="0"/>
            </w:pPr>
            <w:r/>
            <w:r>
              <w:rPr>
                <w:b w:val="0"/>
              </w:rPr>
              <w:t>get_ftd_fsr_data</w:t>
            </w:r>
          </w:p>
        </w:tc>
        <w:tc>
          <w:tcPr>
            <w:tcW w:type="dxa" w:w="3312"/>
            <w:vAlign w:val="top"/>
          </w:tcPr>
          <w:p>
            <w:pPr>
              <w:spacing w:after="0"/>
            </w:pPr>
            <w:r/>
            <w:r>
              <w:rPr>
                <w:b w:val="0"/>
              </w:rPr>
              <w:t>Failed trade / FTD-FSR data</w:t>
            </w:r>
          </w:p>
        </w:tc>
        <w:tc>
          <w:tcPr>
            <w:tcW w:type="dxa" w:w="5472"/>
            <w:vAlign w:val="top"/>
          </w:tcPr>
          <w:p>
            <w:pPr>
              <w:spacing w:after="0"/>
            </w:pPr>
            <w:r/>
            <w:r>
              <w:rPr>
                <w:b w:val="0"/>
              </w:rPr>
              <w:t>Validate fail status, settlement context, and fail-related identifiers.</w:t>
            </w:r>
          </w:p>
        </w:tc>
      </w:tr>
      <w:tr>
        <w:tc>
          <w:tcPr>
            <w:tcW w:type="dxa" w:w="2448"/>
            <w:vAlign w:val="top"/>
          </w:tcPr>
          <w:p>
            <w:pPr>
              <w:spacing w:after="0"/>
            </w:pPr>
            <w:r/>
            <w:r>
              <w:rPr>
                <w:b w:val="0"/>
              </w:rPr>
              <w:t>get_gdv_positions</w:t>
            </w:r>
          </w:p>
        </w:tc>
        <w:tc>
          <w:tcPr>
            <w:tcW w:type="dxa" w:w="3312"/>
            <w:vAlign w:val="top"/>
          </w:tcPr>
          <w:p>
            <w:pPr>
              <w:spacing w:after="0"/>
            </w:pPr>
            <w:r/>
            <w:r>
              <w:rPr>
                <w:b w:val="0"/>
              </w:rPr>
              <w:t>Position data</w:t>
            </w:r>
          </w:p>
        </w:tc>
        <w:tc>
          <w:tcPr>
            <w:tcW w:type="dxa" w:w="5472"/>
            <w:vAlign w:val="top"/>
          </w:tcPr>
          <w:p>
            <w:pPr>
              <w:spacing w:after="0"/>
            </w:pPr>
            <w:r/>
            <w:r>
              <w:rPr>
                <w:b w:val="0"/>
              </w:rPr>
              <w:t>Validate inventory, availability, and position-related claims.</w:t>
            </w:r>
          </w:p>
        </w:tc>
      </w:tr>
      <w:tr>
        <w:tc>
          <w:tcPr>
            <w:tcW w:type="dxa" w:w="2448"/>
            <w:vAlign w:val="top"/>
          </w:tcPr>
          <w:p>
            <w:pPr>
              <w:spacing w:after="0"/>
            </w:pPr>
            <w:r/>
            <w:r>
              <w:rPr>
                <w:b w:val="0"/>
              </w:rPr>
              <w:t>get_gsr_data</w:t>
            </w:r>
          </w:p>
        </w:tc>
        <w:tc>
          <w:tcPr>
            <w:tcW w:type="dxa" w:w="3312"/>
            <w:vAlign w:val="top"/>
          </w:tcPr>
          <w:p>
            <w:pPr>
              <w:spacing w:after="0"/>
            </w:pPr>
            <w:r/>
            <w:r>
              <w:rPr>
                <w:b w:val="0"/>
              </w:rPr>
              <w:t>Long/short position data</w:t>
            </w:r>
          </w:p>
        </w:tc>
        <w:tc>
          <w:tcPr>
            <w:tcW w:type="dxa" w:w="5472"/>
            <w:vAlign w:val="top"/>
          </w:tcPr>
          <w:p>
            <w:pPr>
              <w:spacing w:after="0"/>
            </w:pPr>
            <w:r/>
            <w:r>
              <w:rPr>
                <w:b w:val="0"/>
              </w:rPr>
              <w:t>Validate long/short context and position-based explanation.</w:t>
            </w:r>
          </w:p>
        </w:tc>
      </w:tr>
    </w:tbl>
    <w:p/>
    <w:p>
      <w:pPr>
        <w:pStyle w:val="ListBullet"/>
      </w:pPr>
      <w:r>
        <w:t>The validator can use historical commentary or SOP retrieval for language guidance only, not as current factual evidence.</w:t>
      </w:r>
    </w:p>
    <w:p>
      <w:pPr>
        <w:pStyle w:val="ListBullet"/>
      </w:pPr>
      <w:r>
        <w:t>Every tool call should be recorded with input parameters, timestamp, response hash, and run_id.</w:t>
      </w:r>
    </w:p>
    <w:p>
      <w:pPr>
        <w:pStyle w:val="Heading1"/>
      </w:pPr>
      <w:r>
        <w:t>7. Session and Audit Events</w:t>
      </w:r>
    </w:p>
    <w:p>
      <w:r>
        <w:t>For chatbot or UI-based workflows, keep the same user_id and session_id for all events in a case conversation. For business audit, also track case_id and run_id.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304"/>
            <w:shd w:fill="1F4E79"/>
            <w:vAlign w:val="top"/>
          </w:tcPr>
          <w:p>
            <w:pPr>
              <w:spacing w:after="0"/>
            </w:pPr>
            <w:r/>
            <w:r>
              <w:rPr>
                <w:b/>
                <w:color w:val="FFFFFF"/>
              </w:rPr>
              <w:t>Identifier</w:t>
            </w:r>
          </w:p>
        </w:tc>
        <w:tc>
          <w:tcPr>
            <w:tcW w:type="dxa" w:w="4032"/>
            <w:shd w:fill="1F4E79"/>
            <w:vAlign w:val="top"/>
          </w:tcPr>
          <w:p>
            <w:pPr>
              <w:spacing w:after="0"/>
            </w:pPr>
            <w:r/>
            <w:r>
              <w:rPr>
                <w:b/>
                <w:color w:val="FFFFFF"/>
              </w:rPr>
              <w:t>Meaning</w:t>
            </w:r>
          </w:p>
        </w:tc>
        <w:tc>
          <w:tcPr>
            <w:tcW w:type="dxa" w:w="4896"/>
            <w:shd w:fill="1F4E79"/>
            <w:vAlign w:val="top"/>
          </w:tcPr>
          <w:p>
            <w:pPr>
              <w:spacing w:after="0"/>
            </w:pPr>
            <w:r/>
            <w:r>
              <w:rPr>
                <w:b/>
                <w:color w:val="FFFFFF"/>
              </w:rPr>
              <w:t>Recommendation</w:t>
            </w:r>
          </w:p>
        </w:tc>
      </w:tr>
      <w:tr>
        <w:tc>
          <w:tcPr>
            <w:tcW w:type="dxa" w:w="2304"/>
            <w:vAlign w:val="top"/>
          </w:tcPr>
          <w:p>
            <w:pPr>
              <w:spacing w:after="0"/>
            </w:pPr>
            <w:r/>
            <w:r>
              <w:rPr>
                <w:b w:val="0"/>
              </w:rPr>
              <w:t>user_id</w:t>
            </w:r>
          </w:p>
        </w:tc>
        <w:tc>
          <w:tcPr>
            <w:tcW w:type="dxa" w:w="4032"/>
            <w:vAlign w:val="top"/>
          </w:tcPr>
          <w:p>
            <w:pPr>
              <w:spacing w:after="0"/>
            </w:pPr>
            <w:r/>
            <w:r>
              <w:rPr>
                <w:b w:val="0"/>
              </w:rPr>
              <w:t>Human or service user running the validation</w:t>
            </w:r>
          </w:p>
        </w:tc>
        <w:tc>
          <w:tcPr>
            <w:tcW w:type="dxa" w:w="4896"/>
            <w:vAlign w:val="top"/>
          </w:tcPr>
          <w:p>
            <w:pPr>
              <w:spacing w:after="0"/>
            </w:pPr>
            <w:r/>
            <w:r>
              <w:rPr>
                <w:b w:val="0"/>
              </w:rPr>
              <w:t>Use authenticated enterprise user id or service principal.</w:t>
            </w:r>
          </w:p>
        </w:tc>
      </w:tr>
      <w:tr>
        <w:tc>
          <w:tcPr>
            <w:tcW w:type="dxa" w:w="2304"/>
            <w:vAlign w:val="top"/>
          </w:tcPr>
          <w:p>
            <w:pPr>
              <w:spacing w:after="0"/>
            </w:pPr>
            <w:r/>
            <w:r>
              <w:rPr>
                <w:b w:val="0"/>
              </w:rPr>
              <w:t>session_id</w:t>
            </w:r>
          </w:p>
        </w:tc>
        <w:tc>
          <w:tcPr>
            <w:tcW w:type="dxa" w:w="4032"/>
            <w:vAlign w:val="top"/>
          </w:tcPr>
          <w:p>
            <w:pPr>
              <w:spacing w:after="0"/>
            </w:pPr>
            <w:r/>
            <w:r>
              <w:rPr>
                <w:b w:val="0"/>
              </w:rPr>
              <w:t>ADK conversation/session memory</w:t>
            </w:r>
          </w:p>
        </w:tc>
        <w:tc>
          <w:tcPr>
            <w:tcW w:type="dxa" w:w="4896"/>
            <w:vAlign w:val="top"/>
          </w:tcPr>
          <w:p>
            <w:pPr>
              <w:spacing w:after="0"/>
            </w:pPr>
            <w:r/>
            <w:r>
              <w:rPr>
                <w:b w:val="0"/>
              </w:rPr>
              <w:t>Map active case workflow to a persistent session.</w:t>
            </w:r>
          </w:p>
        </w:tc>
      </w:tr>
      <w:tr>
        <w:tc>
          <w:tcPr>
            <w:tcW w:type="dxa" w:w="2304"/>
            <w:vAlign w:val="top"/>
          </w:tcPr>
          <w:p>
            <w:pPr>
              <w:spacing w:after="0"/>
            </w:pPr>
            <w:r/>
            <w:r>
              <w:rPr>
                <w:b w:val="0"/>
              </w:rPr>
              <w:t>case_id</w:t>
            </w:r>
          </w:p>
        </w:tc>
        <w:tc>
          <w:tcPr>
            <w:tcW w:type="dxa" w:w="4032"/>
            <w:vAlign w:val="top"/>
          </w:tcPr>
          <w:p>
            <w:pPr>
              <w:spacing w:after="0"/>
            </w:pPr>
            <w:r/>
            <w:r>
              <w:rPr>
                <w:b w:val="0"/>
              </w:rPr>
              <w:t>Business case or fail investigation id</w:t>
            </w:r>
          </w:p>
        </w:tc>
        <w:tc>
          <w:tcPr>
            <w:tcW w:type="dxa" w:w="4896"/>
            <w:vAlign w:val="top"/>
          </w:tcPr>
          <w:p>
            <w:pPr>
              <w:spacing w:after="0"/>
            </w:pPr>
            <w:r/>
            <w:r>
              <w:rPr>
                <w:b w:val="0"/>
              </w:rPr>
              <w:t>Primary audit key for commentary lifecycle.</w:t>
            </w:r>
          </w:p>
        </w:tc>
      </w:tr>
      <w:tr>
        <w:tc>
          <w:tcPr>
            <w:tcW w:type="dxa" w:w="2304"/>
            <w:vAlign w:val="top"/>
          </w:tcPr>
          <w:p>
            <w:pPr>
              <w:spacing w:after="0"/>
            </w:pPr>
            <w:r/>
            <w:r>
              <w:rPr>
                <w:b w:val="0"/>
              </w:rPr>
              <w:t>run_id</w:t>
            </w:r>
          </w:p>
        </w:tc>
        <w:tc>
          <w:tcPr>
            <w:tcW w:type="dxa" w:w="4032"/>
            <w:vAlign w:val="top"/>
          </w:tcPr>
          <w:p>
            <w:pPr>
              <w:spacing w:after="0"/>
            </w:pPr>
            <w:r/>
            <w:r>
              <w:rPr>
                <w:b w:val="0"/>
              </w:rPr>
              <w:t>One validation execution</w:t>
            </w:r>
          </w:p>
        </w:tc>
        <w:tc>
          <w:tcPr>
            <w:tcW w:type="dxa" w:w="4896"/>
            <w:vAlign w:val="top"/>
          </w:tcPr>
          <w:p>
            <w:pPr>
              <w:spacing w:after="0"/>
            </w:pPr>
            <w:r/>
            <w:r>
              <w:rPr>
                <w:b w:val="0"/>
              </w:rPr>
              <w:t>Generate a new run_id each validation attempt.</w:t>
            </w:r>
          </w:p>
        </w:tc>
      </w:tr>
      <w:tr>
        <w:tc>
          <w:tcPr>
            <w:tcW w:type="dxa" w:w="2304"/>
            <w:vAlign w:val="top"/>
          </w:tcPr>
          <w:p>
            <w:pPr>
              <w:spacing w:after="0"/>
            </w:pPr>
            <w:r/>
            <w:r>
              <w:rPr>
                <w:b w:val="0"/>
              </w:rPr>
              <w:t>commentary_version</w:t>
            </w:r>
          </w:p>
        </w:tc>
        <w:tc>
          <w:tcPr>
            <w:tcW w:type="dxa" w:w="4032"/>
            <w:vAlign w:val="top"/>
          </w:tcPr>
          <w:p>
            <w:pPr>
              <w:spacing w:after="0"/>
            </w:pPr>
            <w:r/>
            <w:r>
              <w:rPr>
                <w:b w:val="0"/>
              </w:rPr>
              <w:t>Draft/edit version</w:t>
            </w:r>
          </w:p>
        </w:tc>
        <w:tc>
          <w:tcPr>
            <w:tcW w:type="dxa" w:w="4896"/>
            <w:vAlign w:val="top"/>
          </w:tcPr>
          <w:p>
            <w:pPr>
              <w:spacing w:after="0"/>
            </w:pPr>
            <w:r/>
            <w:r>
              <w:rPr>
                <w:b w:val="0"/>
              </w:rPr>
              <w:t>Increment after every generated or human-edited draft.</w:t>
            </w:r>
          </w:p>
        </w:tc>
      </w:tr>
    </w:tbl>
    <w:p/>
    <w:p>
      <w:pPr>
        <w:pStyle w:val="Heading1"/>
      </w:pPr>
      <w:r>
        <w:t>8. Suggested Repository Changes</w:t>
      </w:r>
    </w:p>
    <w:p>
      <w:pPr>
        <w:pStyle w:val="CodeBlock"/>
        <w:spacing w:before="60" w:after="160"/>
      </w:pPr>
      <w:r>
        <w:rPr>
          <w:rFonts w:ascii="Courier New" w:hAnsi="Courier New" w:eastAsia="Courier New"/>
          <w:sz w:val="17"/>
        </w:rPr>
        <w:t>src/</w:t>
        <w:br/>
        <w:t xml:space="preserve">  agents/</w:t>
        <w:br/>
        <w:t xml:space="preserve">    comment_validator_agent.py</w:t>
        <w:br/>
        <w:t xml:space="preserve">  domain/</w:t>
        <w:br/>
        <w:t xml:space="preserve">    evidence_models.py</w:t>
        <w:br/>
        <w:t xml:space="preserve">    validation_models.py</w:t>
        <w:br/>
        <w:t xml:space="preserve">  tools/</w:t>
        <w:br/>
        <w:t xml:space="preserve">    get_ftd_fsr_data.py</w:t>
        <w:br/>
        <w:t xml:space="preserve">    get_gdv_positions.py</w:t>
        <w:br/>
        <w:t xml:space="preserve">    get_gsr_data.py</w:t>
        <w:br/>
        <w:t xml:space="preserve">  services/</w:t>
        <w:br/>
        <w:t xml:space="preserve">    evidence_snapshot_service.py</w:t>
        <w:br/>
        <w:t xml:space="preserve">    validation_service.py</w:t>
        <w:br/>
        <w:t xml:space="preserve">  prompts/</w:t>
        <w:br/>
        <w:t xml:space="preserve">    comment_validator_instruction.md</w:t>
        <w:br/>
        <w:t xml:space="preserve">  evals/</w:t>
        <w:br/>
        <w:t xml:space="preserve">    comment_validator_eval_cases.yaml</w:t>
        <w:br/>
        <w:t xml:space="preserve">  tests/</w:t>
        <w:br/>
        <w:t xml:space="preserve">    test_comment_validator.py</w:t>
        <w:br/>
        <w:t xml:space="preserve">    test_human_edit_revalidation.py</w:t>
        <w:br/>
        <w:t>README.md</w:t>
      </w:r>
    </w:p>
    <w:p>
      <w:pPr>
        <w:pStyle w:val="Heading1"/>
      </w:pPr>
      <w:r>
        <w:t>9. Test Cases Devin Must Add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592"/>
            <w:shd w:fill="1F4E79"/>
            <w:vAlign w:val="top"/>
          </w:tcPr>
          <w:p>
            <w:pPr>
              <w:spacing w:after="0"/>
            </w:pPr>
            <w:r/>
            <w:r>
              <w:rPr>
                <w:b/>
                <w:color w:val="FFFFFF"/>
              </w:rPr>
              <w:t>Test Case</w:t>
            </w:r>
          </w:p>
        </w:tc>
        <w:tc>
          <w:tcPr>
            <w:tcW w:type="dxa" w:w="5904"/>
            <w:shd w:fill="1F4E79"/>
            <w:vAlign w:val="top"/>
          </w:tcPr>
          <w:p>
            <w:pPr>
              <w:spacing w:after="0"/>
            </w:pPr>
            <w:r/>
            <w:r>
              <w:rPr>
                <w:b/>
                <w:color w:val="FFFFFF"/>
              </w:rPr>
              <w:t>Description</w:t>
            </w:r>
          </w:p>
        </w:tc>
        <w:tc>
          <w:tcPr>
            <w:tcW w:type="dxa" w:w="2736"/>
            <w:shd w:fill="1F4E79"/>
            <w:vAlign w:val="top"/>
          </w:tcPr>
          <w:p>
            <w:pPr>
              <w:spacing w:after="0"/>
            </w:pPr>
            <w:r/>
            <w:r>
              <w:rPr>
                <w:b/>
                <w:color w:val="FFFFFF"/>
              </w:rPr>
              <w:t>Expected Result</w:t>
            </w:r>
          </w:p>
        </w:tc>
      </w:tr>
      <w:tr>
        <w:tc>
          <w:tcPr>
            <w:tcW w:type="dxa" w:w="2592"/>
            <w:vAlign w:val="top"/>
          </w:tcPr>
          <w:p>
            <w:pPr>
              <w:spacing w:after="0"/>
            </w:pPr>
            <w:r/>
            <w:r>
              <w:rPr>
                <w:b w:val="0"/>
              </w:rPr>
              <w:t>happy_path_exact_match</w:t>
            </w:r>
          </w:p>
        </w:tc>
        <w:tc>
          <w:tcPr>
            <w:tcW w:type="dxa" w:w="5904"/>
            <w:vAlign w:val="top"/>
          </w:tcPr>
          <w:p>
            <w:pPr>
              <w:spacing w:after="0"/>
            </w:pPr>
            <w:r/>
            <w:r>
              <w:rPr>
                <w:b w:val="0"/>
              </w:rPr>
              <w:t>Commentary facts match snapshot/tool evidence.</w:t>
            </w:r>
          </w:p>
        </w:tc>
        <w:tc>
          <w:tcPr>
            <w:tcW w:type="dxa" w:w="2736"/>
            <w:vAlign w:val="top"/>
          </w:tcPr>
          <w:p>
            <w:pPr>
              <w:spacing w:after="0"/>
            </w:pPr>
            <w:r/>
            <w:r>
              <w:rPr>
                <w:b w:val="0"/>
              </w:rPr>
              <w:t>PASSED</w:t>
            </w:r>
          </w:p>
        </w:tc>
      </w:tr>
      <w:tr>
        <w:tc>
          <w:tcPr>
            <w:tcW w:type="dxa" w:w="2592"/>
            <w:vAlign w:val="top"/>
          </w:tcPr>
          <w:p>
            <w:pPr>
              <w:spacing w:after="0"/>
            </w:pPr>
            <w:r/>
            <w:r>
              <w:rPr>
                <w:b w:val="0"/>
              </w:rPr>
              <w:t>quantity_mismatch</w:t>
            </w:r>
          </w:p>
        </w:tc>
        <w:tc>
          <w:tcPr>
            <w:tcW w:type="dxa" w:w="5904"/>
            <w:vAlign w:val="top"/>
          </w:tcPr>
          <w:p>
            <w:pPr>
              <w:spacing w:after="0"/>
            </w:pPr>
            <w:r/>
            <w:r>
              <w:rPr>
                <w:b w:val="0"/>
              </w:rPr>
              <w:t>Commentary states wrong quantity or position.</w:t>
            </w:r>
          </w:p>
        </w:tc>
        <w:tc>
          <w:tcPr>
            <w:tcW w:type="dxa" w:w="2736"/>
            <w:vAlign w:val="top"/>
          </w:tcPr>
          <w:p>
            <w:pPr>
              <w:spacing w:after="0"/>
            </w:pPr>
            <w:r/>
            <w:r>
              <w:rPr>
                <w:b w:val="0"/>
              </w:rPr>
              <w:t>FAILED</w:t>
            </w:r>
          </w:p>
        </w:tc>
      </w:tr>
      <w:tr>
        <w:tc>
          <w:tcPr>
            <w:tcW w:type="dxa" w:w="2592"/>
            <w:vAlign w:val="top"/>
          </w:tcPr>
          <w:p>
            <w:pPr>
              <w:spacing w:after="0"/>
            </w:pPr>
            <w:r/>
            <w:r>
              <w:rPr>
                <w:b w:val="0"/>
              </w:rPr>
              <w:t>cusip_mismatch</w:t>
            </w:r>
          </w:p>
        </w:tc>
        <w:tc>
          <w:tcPr>
            <w:tcW w:type="dxa" w:w="5904"/>
            <w:vAlign w:val="top"/>
          </w:tcPr>
          <w:p>
            <w:pPr>
              <w:spacing w:after="0"/>
            </w:pPr>
            <w:r/>
            <w:r>
              <w:rPr>
                <w:b w:val="0"/>
              </w:rPr>
              <w:t>Commentary references wrong CUSIP.</w:t>
            </w:r>
          </w:p>
        </w:tc>
        <w:tc>
          <w:tcPr>
            <w:tcW w:type="dxa" w:w="2736"/>
            <w:vAlign w:val="top"/>
          </w:tcPr>
          <w:p>
            <w:pPr>
              <w:spacing w:after="0"/>
            </w:pPr>
            <w:r/>
            <w:r>
              <w:rPr>
                <w:b w:val="0"/>
              </w:rPr>
              <w:t>FAILED</w:t>
            </w:r>
          </w:p>
        </w:tc>
      </w:tr>
      <w:tr>
        <w:tc>
          <w:tcPr>
            <w:tcW w:type="dxa" w:w="2592"/>
            <w:vAlign w:val="top"/>
          </w:tcPr>
          <w:p>
            <w:pPr>
              <w:spacing w:after="0"/>
            </w:pPr>
            <w:r/>
            <w:r>
              <w:rPr>
                <w:b w:val="0"/>
              </w:rPr>
              <w:t>missing_evidence</w:t>
            </w:r>
          </w:p>
        </w:tc>
        <w:tc>
          <w:tcPr>
            <w:tcW w:type="dxa" w:w="5904"/>
            <w:vAlign w:val="top"/>
          </w:tcPr>
          <w:p>
            <w:pPr>
              <w:spacing w:after="0"/>
            </w:pPr>
            <w:r/>
            <w:r>
              <w:rPr>
                <w:b w:val="0"/>
              </w:rPr>
              <w:t>Required tool result is unavailable.</w:t>
            </w:r>
          </w:p>
        </w:tc>
        <w:tc>
          <w:tcPr>
            <w:tcW w:type="dxa" w:w="2736"/>
            <w:vAlign w:val="top"/>
          </w:tcPr>
          <w:p>
            <w:pPr>
              <w:spacing w:after="0"/>
            </w:pPr>
            <w:r/>
            <w:r>
              <w:rPr>
                <w:b w:val="0"/>
              </w:rPr>
              <w:t>NEEDS_REVIEW</w:t>
            </w:r>
          </w:p>
        </w:tc>
      </w:tr>
      <w:tr>
        <w:tc>
          <w:tcPr>
            <w:tcW w:type="dxa" w:w="2592"/>
            <w:vAlign w:val="top"/>
          </w:tcPr>
          <w:p>
            <w:pPr>
              <w:spacing w:after="0"/>
            </w:pPr>
            <w:r/>
            <w:r>
              <w:rPr>
                <w:b w:val="0"/>
              </w:rPr>
              <w:t>stale_snapshot</w:t>
            </w:r>
          </w:p>
        </w:tc>
        <w:tc>
          <w:tcPr>
            <w:tcW w:type="dxa" w:w="5904"/>
            <w:vAlign w:val="top"/>
          </w:tcPr>
          <w:p>
            <w:pPr>
              <w:spacing w:after="0"/>
            </w:pPr>
            <w:r/>
            <w:r>
              <w:rPr>
                <w:b w:val="0"/>
              </w:rPr>
              <w:t>Evidence as_of_timestamp is older than allowed threshold.</w:t>
            </w:r>
          </w:p>
        </w:tc>
        <w:tc>
          <w:tcPr>
            <w:tcW w:type="dxa" w:w="2736"/>
            <w:vAlign w:val="top"/>
          </w:tcPr>
          <w:p>
            <w:pPr>
              <w:spacing w:after="0"/>
            </w:pPr>
            <w:r/>
            <w:r>
              <w:rPr>
                <w:b w:val="0"/>
              </w:rPr>
              <w:t>NEEDS_REVIEW</w:t>
            </w:r>
          </w:p>
        </w:tc>
      </w:tr>
      <w:tr>
        <w:tc>
          <w:tcPr>
            <w:tcW w:type="dxa" w:w="2592"/>
            <w:vAlign w:val="top"/>
          </w:tcPr>
          <w:p>
            <w:pPr>
              <w:spacing w:after="0"/>
            </w:pPr>
            <w:r/>
            <w:r>
              <w:rPr>
                <w:b w:val="0"/>
              </w:rPr>
              <w:t>unsupported_causality</w:t>
            </w:r>
          </w:p>
        </w:tc>
        <w:tc>
          <w:tcPr>
            <w:tcW w:type="dxa" w:w="5904"/>
            <w:vAlign w:val="top"/>
          </w:tcPr>
          <w:p>
            <w:pPr>
              <w:spacing w:after="0"/>
            </w:pPr>
            <w:r/>
            <w:r>
              <w:rPr>
                <w:b w:val="0"/>
              </w:rPr>
              <w:t>Commentary states a cause not supported by evidence.</w:t>
            </w:r>
          </w:p>
        </w:tc>
        <w:tc>
          <w:tcPr>
            <w:tcW w:type="dxa" w:w="2736"/>
            <w:vAlign w:val="top"/>
          </w:tcPr>
          <w:p>
            <w:pPr>
              <w:spacing w:after="0"/>
            </w:pPr>
            <w:r/>
            <w:r>
              <w:rPr>
                <w:b w:val="0"/>
              </w:rPr>
              <w:t>FAILED or NEEDS_REVIEW</w:t>
            </w:r>
          </w:p>
        </w:tc>
      </w:tr>
      <w:tr>
        <w:tc>
          <w:tcPr>
            <w:tcW w:type="dxa" w:w="2592"/>
            <w:vAlign w:val="top"/>
          </w:tcPr>
          <w:p>
            <w:pPr>
              <w:spacing w:after="0"/>
            </w:pPr>
            <w:r/>
            <w:r>
              <w:rPr>
                <w:b w:val="0"/>
              </w:rPr>
              <w:t>human_edit_breaks_fact</w:t>
            </w:r>
          </w:p>
        </w:tc>
        <w:tc>
          <w:tcPr>
            <w:tcW w:type="dxa" w:w="5904"/>
            <w:vAlign w:val="top"/>
          </w:tcPr>
          <w:p>
            <w:pPr>
              <w:spacing w:after="0"/>
            </w:pPr>
            <w:r/>
            <w:r>
              <w:rPr>
                <w:b w:val="0"/>
              </w:rPr>
              <w:t>Human edit changes a factual statement incorrectly.</w:t>
            </w:r>
          </w:p>
        </w:tc>
        <w:tc>
          <w:tcPr>
            <w:tcW w:type="dxa" w:w="2736"/>
            <w:vAlign w:val="top"/>
          </w:tcPr>
          <w:p>
            <w:pPr>
              <w:spacing w:after="0"/>
            </w:pPr>
            <w:r/>
            <w:r>
              <w:rPr>
                <w:b w:val="0"/>
              </w:rPr>
              <w:t>FAILED</w:t>
            </w:r>
          </w:p>
        </w:tc>
      </w:tr>
      <w:tr>
        <w:tc>
          <w:tcPr>
            <w:tcW w:type="dxa" w:w="2592"/>
            <w:vAlign w:val="top"/>
          </w:tcPr>
          <w:p>
            <w:pPr>
              <w:spacing w:after="0"/>
            </w:pPr>
            <w:r/>
            <w:r>
              <w:rPr>
                <w:b w:val="0"/>
              </w:rPr>
              <w:t>human_edit_safe_wording</w:t>
            </w:r>
          </w:p>
        </w:tc>
        <w:tc>
          <w:tcPr>
            <w:tcW w:type="dxa" w:w="5904"/>
            <w:vAlign w:val="top"/>
          </w:tcPr>
          <w:p>
            <w:pPr>
              <w:spacing w:after="0"/>
            </w:pPr>
            <w:r/>
            <w:r>
              <w:rPr>
                <w:b w:val="0"/>
              </w:rPr>
              <w:t>Human edit changes wording without changing facts.</w:t>
            </w:r>
          </w:p>
        </w:tc>
        <w:tc>
          <w:tcPr>
            <w:tcW w:type="dxa" w:w="2736"/>
            <w:vAlign w:val="top"/>
          </w:tcPr>
          <w:p>
            <w:pPr>
              <w:spacing w:after="0"/>
            </w:pPr>
            <w:r/>
            <w:r>
              <w:rPr>
                <w:b w:val="0"/>
              </w:rPr>
              <w:t>PASSED</w:t>
            </w:r>
          </w:p>
        </w:tc>
      </w:tr>
    </w:tbl>
    <w:p/>
    <w:p>
      <w:pPr>
        <w:pStyle w:val="Heading1"/>
      </w:pPr>
      <w:r>
        <w:t>10. Acceptance Criteria</w:t>
      </w:r>
    </w:p>
    <w:p>
      <w:pPr>
        <w:pStyle w:val="ListBullet"/>
      </w:pPr>
      <w:r>
        <w:t>Validator returns structured ValidationResult for every request.</w:t>
      </w:r>
    </w:p>
    <w:p>
      <w:pPr>
        <w:pStyle w:val="ListBullet"/>
      </w:pPr>
      <w:r>
        <w:t>Validator never returns PASSED when required evidence is missing or stale.</w:t>
      </w:r>
    </w:p>
    <w:p>
      <w:pPr>
        <w:pStyle w:val="ListBullet"/>
      </w:pPr>
      <w:r>
        <w:t>Every validation result contains evidence references and audit metadata.</w:t>
      </w:r>
    </w:p>
    <w:p>
      <w:pPr>
        <w:pStyle w:val="ListBullet"/>
      </w:pPr>
      <w:r>
        <w:t>Human-edited commentary is revalidated before publish/send.</w:t>
      </w:r>
    </w:p>
    <w:p>
      <w:pPr>
        <w:pStyle w:val="ListBullet"/>
      </w:pPr>
      <w:r>
        <w:t>Tests cover pass, fail, needs-review, stale evidence, and human edit paths.</w:t>
      </w:r>
    </w:p>
    <w:p>
      <w:pPr>
        <w:pStyle w:val="ListBullet"/>
      </w:pPr>
      <w:r>
        <w:t>README explains setup, environment variables, local run commands, and sample payloads.</w:t>
      </w:r>
    </w:p>
    <w:p>
      <w:pPr>
        <w:pStyle w:val="ListBullet"/>
      </w:pPr>
      <w:r>
        <w:t>Code is readable enough for junior data scientists to extend safely.</w:t>
      </w:r>
    </w:p>
    <w:p>
      <w:pPr>
        <w:pStyle w:val="Heading1"/>
      </w:pPr>
      <w:r>
        <w:t>11. Sample Validation Result Shape</w:t>
      </w:r>
    </w:p>
    <w:p>
      <w:pPr>
        <w:pStyle w:val="CodeBlock"/>
        <w:spacing w:before="60" w:after="160"/>
      </w:pPr>
      <w:r>
        <w:rPr>
          <w:rFonts w:ascii="Courier New" w:hAnsi="Courier New" w:eastAsia="Courier New"/>
          <w:sz w:val="17"/>
        </w:rPr>
        <w:t>{</w:t>
        <w:br/>
        <w:t xml:space="preserve">  "case_id": "FAIL-12345",</w:t>
        <w:br/>
        <w:t xml:space="preserve">  "trade_id": "T-1001",</w:t>
        <w:br/>
        <w:t xml:space="preserve">  "cusip": "123456AB7",</w:t>
        <w:br/>
        <w:t xml:space="preserve">  "status": "FAILED",</w:t>
        <w:br/>
        <w:t xml:space="preserve">  "confidence": 0.92,</w:t>
        <w:br/>
        <w:t xml:space="preserve">  "issues": [</w:t>
        <w:br/>
        <w:t xml:space="preserve">    {</w:t>
        <w:br/>
        <w:t xml:space="preserve">      "severity": "HIGH",</w:t>
        <w:br/>
        <w:t xml:space="preserve">      "issue_type": "FACT_MISMATCH",</w:t>
        <w:br/>
        <w:t xml:space="preserve">      "field": "available_inventory",</w:t>
        <w:br/>
        <w:t xml:space="preserve">      "generated_value": "2,000 shares available",</w:t>
        <w:br/>
        <w:t xml:space="preserve">      "evidence_value": "0 shares available",</w:t>
        <w:br/>
        <w:t xml:space="preserve">      "explanation": "Commentary claims availability that is not supported by GDV position evidence.",</w:t>
        <w:br/>
        <w:t xml:space="preserve">      "evidence_reference": "get_gdv_positions.available_qty"</w:t>
        <w:br/>
        <w:t xml:space="preserve">    }</w:t>
        <w:br/>
        <w:t xml:space="preserve">  ],</w:t>
        <w:br/>
        <w:t xml:space="preserve">  "recommended_action": "Regenerate commentary or send to human review.",</w:t>
        <w:br/>
        <w:t xml:space="preserve">  "audit_metadata": {</w:t>
        <w:br/>
        <w:t xml:space="preserve">    "validator_version": "0.1.0",</w:t>
        <w:br/>
        <w:t xml:space="preserve">    "run_id": "uuid",</w:t>
        <w:br/>
        <w:t xml:space="preserve">    "as_of_timestamp": "2026-07-10T10:15:00-04:00"</w:t>
        <w:br/>
        <w:t xml:space="preserve">  }</w:t>
        <w:br/>
        <w:t>}</w:t>
      </w:r>
    </w:p>
    <w:p>
      <w:pPr>
        <w:pStyle w:val="Heading1"/>
      </w:pPr>
      <w:r>
        <w:t>12. Implementation Guardrails</w:t>
      </w:r>
    </w:p>
    <w:p>
      <w:pPr>
        <w:pStyle w:val="ListBullet"/>
      </w:pPr>
      <w:r>
        <w:t>Do not let the validator call publish_commentary or send_qma_email directly.</w:t>
      </w:r>
    </w:p>
    <w:p>
      <w:pPr>
        <w:pStyle w:val="ListBullet"/>
      </w:pPr>
      <w:r>
        <w:t>Block publish/send at the tool level unless validation_status is PASSED and human_approval_status is approved.</w:t>
      </w:r>
    </w:p>
    <w:p>
      <w:pPr>
        <w:pStyle w:val="ListBullet"/>
      </w:pPr>
      <w:r>
        <w:t>Treat API results as volatile intraday facts; always record as_of_timestamp.</w:t>
      </w:r>
    </w:p>
    <w:p>
      <w:pPr>
        <w:pStyle w:val="ListBullet"/>
      </w:pPr>
      <w:r>
        <w:t>Treat vector DB as historical memory only unless the record is explicitly an evidence snapshot for the current run.</w:t>
      </w:r>
    </w:p>
    <w:p>
      <w:pPr>
        <w:pStyle w:val="ListBullet"/>
      </w:pPr>
      <w:r>
        <w:t>Do not allow the LLM judge to override deterministic hard-fact mismatches.</w:t>
      </w:r>
    </w:p>
    <w:p>
      <w:pPr>
        <w:pStyle w:val="ListBullet"/>
      </w:pPr>
      <w:r>
        <w:t>Prefer NEEDS_REVIEW over guessing when evidence is ambiguous.</w:t>
      </w:r>
    </w:p>
    <w:p>
      <w:pPr>
        <w:pStyle w:val="Heading1"/>
      </w:pPr>
      <w:r>
        <w:t>13. Suggested Local Run Commands</w:t>
      </w:r>
    </w:p>
    <w:p>
      <w:pPr>
        <w:pStyle w:val="CodeBlock"/>
        <w:spacing w:before="60" w:after="160"/>
      </w:pPr>
      <w:r>
        <w:rPr>
          <w:rFonts w:ascii="Courier New" w:hAnsi="Courier New" w:eastAsia="Courier New"/>
          <w:sz w:val="17"/>
        </w:rPr>
        <w:t># Install dependencies</w:t>
        <w:br/>
        <w:t>pip install -r requirements.txt</w:t>
        <w:br/>
        <w:br/>
        <w:t># Optional local session DB for ADK session memory</w:t>
        <w:br/>
        <w:t>export SESSIONS_DB_URL="sqlite+aiosqlite:///./sessions.db"</w:t>
        <w:br/>
        <w:br/>
        <w:t># Run unit tests</w:t>
        <w:br/>
        <w:t>pytest tests/test_comment_validator.py -q</w:t>
        <w:br/>
        <w:br/>
        <w:t># Run a sample validation script</w:t>
        <w:br/>
        <w:t>python scripts/run_comment_validator_demo.py</w:t>
        <w:br/>
        <w:br/>
        <w:t># Run API server if the repo exposes FastAPI/ADK server</w:t>
        <w:br/>
        <w:t>uvicorn src.server:app --reload --port 8000</w:t>
      </w:r>
    </w:p>
    <w:p>
      <w:pPr>
        <w:pStyle w:val="Heading1"/>
      </w:pPr>
      <w:r>
        <w:t>14. Devin Session Closeout Checklist</w:t>
      </w:r>
    </w:p>
    <w:p>
      <w:pPr>
        <w:pStyle w:val="ListBullet"/>
      </w:pPr>
      <w:r>
        <w:t>Summarize files changed and why.</w:t>
      </w:r>
    </w:p>
    <w:p>
      <w:pPr>
        <w:pStyle w:val="ListBullet"/>
      </w:pPr>
      <w:r>
        <w:t>Show test results and unresolved failures, if any.</w:t>
      </w:r>
    </w:p>
    <w:p>
      <w:pPr>
        <w:pStyle w:val="ListBullet"/>
      </w:pPr>
      <w:r>
        <w:t>List assumptions made about data schemas or tool payloads.</w:t>
      </w:r>
    </w:p>
    <w:p>
      <w:pPr>
        <w:pStyle w:val="ListBullet"/>
      </w:pPr>
      <w:r>
        <w:t>Identify TODOs requiring business or API-owner clarification.</w:t>
      </w:r>
    </w:p>
    <w:p>
      <w:pPr>
        <w:pStyle w:val="ListBullet"/>
      </w:pPr>
      <w:r>
        <w:t>Provide one sample request and one sample response.</w:t>
      </w:r>
    </w:p>
    <w:p>
      <w:pPr>
        <w:pStyle w:val="ListBullet"/>
      </w:pPr>
      <w:r>
        <w:t>Confirm no publish/send path bypasses validation and human approval.</w:t>
      </w:r>
    </w:p>
    <w:p/>
    <w:p>
      <w:pPr>
        <w:jc w:val="center"/>
      </w:pPr>
      <w:r>
        <w:rPr>
          <w:i/>
          <w:color w:val="666666"/>
        </w:rPr>
        <w:t>End of Devin launch instructions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working draft - for engineering implementation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Devin Session Launch Instructions - Comment Validator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20"/>
    </w:rPr>
  </w:style>
  <w:style w:type="paragraph" w:styleId="ListNumber2">
    <w:name w:val="List Number 2"/>
    <w:basedOn w:val="Normal"/>
    <w:uiPriority w:val="99"/>
    <w:unhideWhenUsed/>
    <w:rsid w:val="0029639D"/>
    <w:pPr>
      <w:numPr>
        <w:numId w:val="6"/>
      </w:numPr>
      <w:spacing w:after="40"/>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288" w:righ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Devin Session Launch Instructions - Comment Validator Agent</dc:title>
  <dc:subject>Implementation brief for ADK-based Comment Validator Agent</dc:subject>
  <dc:creator>OpenAI</dc:creator>
  <cp:keywords>ADK, Devin, Comment Validator Agent, Fails Commentary, Validation, RAG, Agentic Workflow</cp:keywords>
  <dc:description>generated by python-docx</dc:description>
  <cp:lastModifiedBy/>
  <cp:revision>1</cp:revision>
  <dcterms:created xsi:type="dcterms:W3CDTF">2013-12-23T23:15:00Z</dcterms:created>
  <dcterms:modified xsi:type="dcterms:W3CDTF">2013-12-23T23:15:00Z</dcterms:modified>
  <cp:category/>
</cp:coreProperties>
</file>