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eastAsia="Calibri"/>
          <w:b/>
          <w:color w:val="2E74B5"/>
          <w:sz w:val="19"/>
        </w:rPr>
        <w:t>MANAGEMENT DISCUSSION DRAFT</w:t>
      </w:r>
    </w:p>
    <w:p>
      <w:pPr>
        <w:pStyle w:val="Title"/>
        <w:keepNext/>
      </w:pPr>
      <w:r>
        <w:t>PEFT Model Fine-Tuning and</w:t>
        <w:br/>
        <w:t>Continuous-Improvement Process</w:t>
      </w:r>
    </w:p>
    <w:p>
      <w:pPr>
        <w:pStyle w:val="Subtitle"/>
        <w:pBdr>
          <w:bottom w:val="single" w:sz="14" w:space="7" w:color="2E74B5"/>
        </w:pBdr>
      </w:pPr>
      <w:r>
        <w:t>A governed lifecycle for data curation, training, evaluation, deployment, and continuous learning</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tcPr>
          <w:p>
            <w:pPr>
              <w:spacing w:after="0"/>
            </w:pPr>
            <w:r>
              <w:rPr>
                <w:rFonts w:ascii="Calibri" w:hAnsi="Calibri" w:eastAsia="Calibri"/>
                <w:b/>
                <w:color w:val="5E6A76"/>
                <w:sz w:val="19"/>
              </w:rPr>
              <w:t>Prepared for</w:t>
            </w:r>
          </w:p>
        </w:tc>
        <w:tc>
          <w:tcPr>
            <w:tcW w:type="dxa" w:w="7560"/>
            <w:tcMar>
              <w:top w:w="80" w:type="dxa"/>
              <w:start w:w="120" w:type="dxa"/>
              <w:bottom w:w="80" w:type="dxa"/>
              <w:end w:w="120" w:type="dxa"/>
            </w:tcMar>
            <w:vAlign w:val="center"/>
          </w:tcPr>
          <w:p>
            <w:pPr>
              <w:spacing w:after="0"/>
            </w:pPr>
            <w:r>
              <w:rPr>
                <w:rFonts w:ascii="Calibri" w:hAnsi="Calibri" w:eastAsia="Calibri"/>
                <w:color w:val="222222"/>
                <w:sz w:val="19"/>
              </w:rPr>
              <w:t>Manager review and process alignment</w:t>
            </w:r>
          </w:p>
        </w:tc>
      </w:tr>
      <w:tr>
        <w:tc>
          <w:tcPr>
            <w:tcW w:type="dxa" w:w="1800"/>
            <w:tcMar>
              <w:top w:w="80" w:type="dxa"/>
              <w:start w:w="120" w:type="dxa"/>
              <w:bottom w:w="80" w:type="dxa"/>
              <w:end w:w="120" w:type="dxa"/>
            </w:tcMar>
            <w:vAlign w:val="center"/>
          </w:tcPr>
          <w:p>
            <w:pPr>
              <w:spacing w:after="0"/>
            </w:pPr>
            <w:r>
              <w:rPr>
                <w:rFonts w:ascii="Calibri" w:hAnsi="Calibri" w:eastAsia="Calibri"/>
                <w:b/>
                <w:color w:val="5E6A76"/>
                <w:sz w:val="19"/>
              </w:rPr>
              <w:t>Prepared by</w:t>
            </w:r>
          </w:p>
        </w:tc>
        <w:tc>
          <w:tcPr>
            <w:tcW w:type="dxa" w:w="7560"/>
            <w:tcMar>
              <w:top w:w="80" w:type="dxa"/>
              <w:start w:w="120" w:type="dxa"/>
              <w:bottom w:w="80" w:type="dxa"/>
              <w:end w:w="120" w:type="dxa"/>
            </w:tcMar>
            <w:vAlign w:val="center"/>
          </w:tcPr>
          <w:p>
            <w:pPr>
              <w:spacing w:after="0"/>
            </w:pPr>
            <w:r>
              <w:rPr>
                <w:rFonts w:ascii="Calibri" w:hAnsi="Calibri" w:eastAsia="Calibri"/>
                <w:color w:val="222222"/>
                <w:sz w:val="19"/>
              </w:rPr>
              <w:t>Krishna Kumar</w:t>
            </w:r>
          </w:p>
        </w:tc>
      </w:tr>
      <w:tr>
        <w:tc>
          <w:tcPr>
            <w:tcW w:type="dxa" w:w="1800"/>
            <w:tcMar>
              <w:top w:w="80" w:type="dxa"/>
              <w:start w:w="120" w:type="dxa"/>
              <w:bottom w:w="80" w:type="dxa"/>
              <w:end w:w="120" w:type="dxa"/>
            </w:tcMar>
            <w:vAlign w:val="center"/>
          </w:tcPr>
          <w:p>
            <w:pPr>
              <w:spacing w:after="0"/>
            </w:pPr>
            <w:r>
              <w:rPr>
                <w:rFonts w:ascii="Calibri" w:hAnsi="Calibri" w:eastAsia="Calibri"/>
                <w:b/>
                <w:color w:val="5E6A76"/>
                <w:sz w:val="19"/>
              </w:rPr>
              <w:t>Date</w:t>
            </w:r>
          </w:p>
        </w:tc>
        <w:tc>
          <w:tcPr>
            <w:tcW w:type="dxa" w:w="7560"/>
            <w:tcMar>
              <w:top w:w="80" w:type="dxa"/>
              <w:start w:w="120" w:type="dxa"/>
              <w:bottom w:w="80" w:type="dxa"/>
              <w:end w:w="120" w:type="dxa"/>
            </w:tcMar>
            <w:vAlign w:val="center"/>
          </w:tcPr>
          <w:p>
            <w:pPr>
              <w:spacing w:after="0"/>
            </w:pPr>
            <w:r>
              <w:rPr>
                <w:rFonts w:ascii="Calibri" w:hAnsi="Calibri" w:eastAsia="Calibri"/>
                <w:color w:val="222222"/>
                <w:sz w:val="19"/>
              </w:rPr>
              <w:t>August 6, 2026</w:t>
            </w:r>
          </w:p>
        </w:tc>
      </w:tr>
    </w:tbl>
    <w:p>
      <w:pPr>
        <w:spacing w:after="0"/>
      </w:pPr>
    </w:p>
    <w:p>
      <w:pPr>
        <w:pStyle w:val="Heading1"/>
      </w:pPr>
      <w:r>
        <w:t>Executive overview</w:t>
      </w:r>
    </w:p>
    <w:p>
      <w:pPr>
        <w:spacing w:after="140"/>
      </w:pPr>
      <w:r>
        <w:t>This document establishes a repeatable and auditable PEFT lifecycle for classification models. It starts with high-quality historical labels, reserves an independent golden evaluation set, uses controlled LoRA/QLoRA training, and makes production promotion conditional on measurable improvement.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0F8"/>
          </w:tcPr>
          <w:p>
            <w:pPr>
              <w:spacing w:before="40" w:after="40"/>
            </w:pPr>
            <w:r>
              <w:rPr>
                <w:rFonts w:ascii="Calibri" w:hAnsi="Calibri" w:eastAsia="Calibri"/>
                <w:b/>
                <w:color w:val="2E74B5"/>
              </w:rPr>
              <w:t xml:space="preserve">Recommended control: </w:t>
            </w:r>
            <w:r>
              <w:rPr>
                <w:rFonts w:ascii="Calibri" w:hAnsi="Calibri" w:eastAsia="Calibri"/>
                <w:color w:val="222222"/>
              </w:rPr>
              <w:t>Capture a reproducible base-model and RAG baseline before fine-tuning. The new adapter should be promoted only when it improves the agreed business and technical metrics without unacceptable regression.</w:t>
            </w:r>
          </w:p>
        </w:tc>
      </w:tr>
    </w:tbl>
    <w:p>
      <w:pPr>
        <w:spacing w:after="0"/>
      </w:pPr>
    </w:p>
    <w:p>
      <w:pPr>
        <w:pStyle w:val="Heading2"/>
      </w:pPr>
      <w:r>
        <w:t>Process at a glance</w:t>
      </w:r>
    </w:p>
    <w:tbl>
      <w:tblPr>
        <w:tblStyle w:val="TableGrid"/>
        <w:tblW w:type="dxa" w:w="9360"/>
        <w:tblLayout w:type="fixed"/>
        <w:tblLook w:firstColumn="1" w:firstRow="1" w:lastColumn="0" w:lastRow="0" w:noHBand="0" w:noVBand="1" w:val="04A0"/>
        <w:jc w:val="left"/>
        <w:tblInd w:w="120" w:type="dxa"/>
      </w:tblPr>
      <w:tblGrid>
        <w:gridCol w:w="1700"/>
        <w:gridCol w:w="2200"/>
        <w:gridCol w:w="5460"/>
      </w:tblGrid>
      <w:tr>
        <w:trPr>
          <w:tblHeader w:val="true"/>
        </w:trPr>
        <w:tc>
          <w:tcPr>
            <w:tcW w:type="dxa" w:w="170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Stage</w:t>
            </w:r>
          </w:p>
        </w:tc>
        <w:tc>
          <w:tcPr>
            <w:tcW w:type="dxa" w:w="220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Primary input</w:t>
            </w:r>
          </w:p>
        </w:tc>
        <w:tc>
          <w:tcPr>
            <w:tcW w:type="dxa" w:w="546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Required outcome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1. Prepare</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12K curated examples</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Balanced, deduplicated and human-validated data</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2. Train</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10K training examples</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Versioned LoRA/QLoRA adapter and training lineage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3. Evaluate</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2K holdout examples</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Precision, recall, micro/macro F1, errors and latency</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4. Operate</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Online evidence</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Monitored rollout, challenger comparison and human oversight</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5. Improve</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90 days / 5K trigger</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Human-reviewed incremental dataset and regression-tested release</w:t>
            </w:r>
          </w:p>
        </w:tc>
      </w:tr>
    </w:tbl>
    <w:p>
      <w:pPr>
        <w:pStyle w:val="Heading1"/>
        <w:pageBreakBefore/>
      </w:pPr>
      <w:r>
        <w:t>End-to-End PEFT Lifecycle</w:t>
      </w:r>
    </w:p>
    <w:p>
      <w:pPr>
        <w:spacing w:after="120"/>
      </w:pPr>
      <w:r>
        <w:t>The forward path is gated at data quality, offline evaluation and production promotion. Production evidence then feeds the next curation cycle.</w:t>
      </w:r>
    </w:p>
    <w:p>
      <w:pPr>
        <w:jc w:val="center"/>
      </w:pPr>
      <w:r>
        <w:drawing>
          <wp:inline xmlns:a="http://schemas.openxmlformats.org/drawingml/2006/main" xmlns:pic="http://schemas.openxmlformats.org/drawingml/2006/picture">
            <wp:extent cx="5577840" cy="6623685"/>
            <wp:docPr id="1" name="PEFT model lifecycle process map" descr="Four-phase PEFT lifecycle showing data preparation, fine-tuning and offline evaluation, controlled launch and online evaluation, and continuous training with a feedback loop to data curation."/>
            <wp:cNvGraphicFramePr>
              <a:graphicFrameLocks noChangeAspect="1"/>
            </wp:cNvGraphicFramePr>
            <a:graphic>
              <a:graphicData uri="http://schemas.openxmlformats.org/drawingml/2006/picture">
                <pic:pic>
                  <pic:nvPicPr>
                    <pic:cNvPr id="0" name="peft_lifecycle_process_map.png"/>
                    <pic:cNvPicPr/>
                  </pic:nvPicPr>
                  <pic:blipFill>
                    <a:blip r:embed="rId9"/>
                    <a:stretch>
                      <a:fillRect/>
                    </a:stretch>
                  </pic:blipFill>
                  <pic:spPr>
                    <a:xfrm>
                      <a:off x="0" y="0"/>
                      <a:ext cx="5577840" cy="6623685"/>
                    </a:xfrm>
                    <a:prstGeom prst="rect"/>
                  </pic:spPr>
                </pic:pic>
              </a:graphicData>
            </a:graphic>
          </wp:inline>
        </w:drawing>
      </w:r>
    </w:p>
    <w:p>
      <w:pPr>
        <w:pStyle w:val="Caption"/>
        <w:jc w:val="center"/>
      </w:pPr>
      <w:r>
        <w:t>Figure 1. Governed PEFT model lifecycle and continuous-improvement loop.</w:t>
      </w:r>
    </w:p>
    <w:p>
      <w:pPr>
        <w:pStyle w:val="Heading1"/>
        <w:pageBreakBefore/>
      </w:pPr>
      <w:r>
        <w:t>Phase 1 - Data Preparation and Curation</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2E74B5"/>
          </w:tcPr>
          <w:p>
            <w:pPr>
              <w:jc w:val="center"/>
            </w:pPr>
            <w:r>
              <w:rPr>
                <w:rFonts w:ascii="Calibri" w:hAnsi="Calibri" w:eastAsia="Calibri"/>
                <w:b/>
                <w:color w:val="FFFFFF"/>
                <w:sz w:val="22"/>
              </w:rPr>
              <w:t>PHASE 1</w:t>
            </w:r>
          </w:p>
        </w:tc>
        <w:tc>
          <w:tcPr>
            <w:tcW w:type="dxa" w:w="7560"/>
            <w:tcMar>
              <w:top w:w="80" w:type="dxa"/>
              <w:start w:w="120" w:type="dxa"/>
              <w:bottom w:w="80" w:type="dxa"/>
              <w:end w:w="120" w:type="dxa"/>
            </w:tcMar>
            <w:vAlign w:val="center"/>
            <w:shd w:fill="E8F0F8"/>
          </w:tcPr>
          <w:p>
            <w:pPr>
              <w:spacing w:after="20"/>
            </w:pPr>
            <w:r>
              <w:rPr>
                <w:rFonts w:ascii="Calibri" w:hAnsi="Calibri" w:eastAsia="Calibri"/>
                <w:b/>
                <w:color w:val="0B2545"/>
                <w:sz w:val="26"/>
              </w:rPr>
              <w:t>Build trustworthy training and evaluation data</w:t>
              <w:br/>
            </w:r>
            <w:r>
              <w:rPr>
                <w:rFonts w:ascii="Calibri" w:hAnsi="Calibri" w:eastAsia="Calibri"/>
                <w:color w:val="5E6A76"/>
                <w:sz w:val="19"/>
              </w:rPr>
              <w:t>Outcome: balanced, deduplicated, traceable, and human-validated examples</w:t>
            </w:r>
          </w:p>
        </w:tc>
      </w:tr>
    </w:tbl>
    <w:p>
      <w:pPr>
        <w:spacing w:after="0"/>
      </w:pPr>
    </w:p>
    <w:p>
      <w:pPr>
        <w:keepNext/>
        <w:spacing w:before="140" w:after="60"/>
      </w:pPr>
      <w:r>
        <w:rPr>
          <w:rFonts w:ascii="Calibri" w:hAnsi="Calibri" w:eastAsia="Calibri"/>
          <w:b/>
          <w:color w:val="FFFFFF"/>
          <w:sz w:val="20"/>
          <w:shd w:fill="2E74B5"/>
        </w:rPr>
        <w:t xml:space="preserve">STEP 1  </w:t>
      </w:r>
      <w:r>
        <w:rPr>
          <w:rFonts w:ascii="Calibri" w:hAnsi="Calibri" w:eastAsia="Calibri"/>
          <w:b/>
          <w:color w:val="0B2545"/>
          <w:sz w:val="24"/>
        </w:rPr>
        <w:t>Review the classification taxonomy</w:t>
      </w:r>
    </w:p>
    <w:p>
      <w:pPr>
        <w:keepLines/>
        <w:spacing w:before="0" w:after="120"/>
      </w:pPr>
      <w:r>
        <w:t>Confirm that class definitions are business-relevant, mutually distinguishable, and sufficiently granular. Resolve overlapping or ambiguous classes before data preparation.</w:t>
      </w:r>
    </w:p>
    <w:p>
      <w:pPr>
        <w:keepNext/>
        <w:spacing w:before="140" w:after="60"/>
      </w:pPr>
      <w:r>
        <w:rPr>
          <w:rFonts w:ascii="Calibri" w:hAnsi="Calibri" w:eastAsia="Calibri"/>
          <w:b/>
          <w:color w:val="FFFFFF"/>
          <w:sz w:val="20"/>
          <w:shd w:fill="2E74B5"/>
        </w:rPr>
        <w:t xml:space="preserve">STEP 2  </w:t>
      </w:r>
      <w:r>
        <w:rPr>
          <w:rFonts w:ascii="Calibri" w:hAnsi="Calibri" w:eastAsia="Calibri"/>
          <w:b/>
          <w:color w:val="0B2545"/>
          <w:sz w:val="24"/>
        </w:rPr>
        <w:t>Collect historical classifications</w:t>
      </w:r>
    </w:p>
    <w:p>
      <w:pPr>
        <w:keepLines/>
        <w:spacing w:before="0" w:after="120"/>
      </w:pPr>
      <w:r>
        <w:t>Collect approximately three months of data with the actual class at the required granularity. Include accepted classifications as positive examples and human-corrected misclassifications as negative examples.</w:t>
      </w:r>
    </w:p>
    <w:p>
      <w:pPr>
        <w:spacing w:before="0" w:after="160" w:line="280" w:lineRule="auto"/>
        <w:numPr>
          <w:ilvl w:val="0"/>
          <w:numId w:val="10"/>
        </w:numPr>
      </w:pPr>
      <w:r>
        <w:rPr>
          <w:rFonts w:ascii="Calibri" w:hAnsi="Calibri" w:eastAsia="Calibri"/>
        </w:rPr>
        <w:t>Target at least 500 examples per class; use controlled augmentation only where genuine samples are insufficient.</w:t>
      </w:r>
    </w:p>
    <w:p>
      <w:pPr>
        <w:spacing w:before="0" w:after="160" w:line="280" w:lineRule="auto"/>
        <w:numPr>
          <w:ilvl w:val="0"/>
          <w:numId w:val="10"/>
        </w:numPr>
      </w:pPr>
      <w:r>
        <w:rPr>
          <w:rFonts w:ascii="Calibri" w:hAnsi="Calibri" w:eastAsia="Calibri"/>
        </w:rPr>
        <w:t>Retain source, timestamp, original prediction, final classification, reviewer action and applicable rationale.</w:t>
      </w:r>
    </w:p>
    <w:p>
      <w:pPr>
        <w:spacing w:before="0" w:after="160" w:line="280" w:lineRule="auto"/>
        <w:numPr>
          <w:ilvl w:val="0"/>
          <w:numId w:val="10"/>
        </w:numPr>
      </w:pPr>
      <w:r>
        <w:rPr>
          <w:rFonts w:ascii="Calibri" w:hAnsi="Calibri" w:eastAsia="Calibri"/>
        </w:rPr>
        <w:t>Separate label correction from ordinary metadata changes so that positive and negative examples remain reliable.</w:t>
      </w:r>
    </w:p>
    <w:p>
      <w:pPr>
        <w:keepNext/>
        <w:spacing w:before="140" w:after="60"/>
      </w:pPr>
      <w:r>
        <w:rPr>
          <w:rFonts w:ascii="Calibri" w:hAnsi="Calibri" w:eastAsia="Calibri"/>
          <w:b/>
          <w:color w:val="FFFFFF"/>
          <w:sz w:val="20"/>
          <w:shd w:fill="2E74B5"/>
        </w:rPr>
        <w:t xml:space="preserve">STEP 3  </w:t>
      </w:r>
      <w:r>
        <w:rPr>
          <w:rFonts w:ascii="Calibri" w:hAnsi="Calibri" w:eastAsia="Calibri"/>
          <w:b/>
          <w:color w:val="0B2545"/>
          <w:sz w:val="24"/>
        </w:rPr>
        <w:t>Create an approximately 12K balanced dataset</w:t>
      </w:r>
    </w:p>
    <w:p>
      <w:pPr>
        <w:keepLines/>
        <w:spacing w:before="0" w:after="120"/>
      </w:pPr>
      <w:r>
        <w:t>Balance class representation and preserve important edge cases. Do not allow high-volume classes to dominate the training objective or the overall accuracy metric.</w:t>
      </w:r>
    </w:p>
    <w:p>
      <w:pPr>
        <w:keepNext/>
        <w:spacing w:before="140" w:after="60"/>
      </w:pPr>
      <w:r>
        <w:rPr>
          <w:rFonts w:ascii="Calibri" w:hAnsi="Calibri" w:eastAsia="Calibri"/>
          <w:b/>
          <w:color w:val="FFFFFF"/>
          <w:sz w:val="20"/>
          <w:shd w:fill="2E74B5"/>
        </w:rPr>
        <w:t xml:space="preserve">STEP 4  </w:t>
      </w:r>
      <w:r>
        <w:rPr>
          <w:rFonts w:ascii="Calibri" w:hAnsi="Calibri" w:eastAsia="Calibri"/>
          <w:b/>
          <w:color w:val="0B2545"/>
          <w:sz w:val="24"/>
        </w:rPr>
        <w:t>Deduplicate and perform human quality assurance</w:t>
      </w:r>
    </w:p>
    <w:p>
      <w:pPr>
        <w:keepLines/>
        <w:spacing w:before="0" w:after="120"/>
      </w:pPr>
      <w:r>
        <w:t>Embed examples, identify near-duplicates, and begin with an approximate 90% semantic-similarity threshold. Human reviewers should inspect at least 200 proposed duplicate pairs or clusters before bulk elimination.</w:t>
      </w:r>
    </w:p>
    <w:p>
      <w:pPr>
        <w:keepNext/>
        <w:spacing w:before="140" w:after="60"/>
      </w:pPr>
      <w:r>
        <w:rPr>
          <w:rFonts w:ascii="Calibri" w:hAnsi="Calibri" w:eastAsia="Calibri"/>
          <w:b/>
          <w:color w:val="FFFFFF"/>
          <w:sz w:val="20"/>
          <w:shd w:fill="2E74B5"/>
        </w:rPr>
        <w:t xml:space="preserve">STEP 5  </w:t>
      </w:r>
      <w:r>
        <w:rPr>
          <w:rFonts w:ascii="Calibri" w:hAnsi="Calibri" w:eastAsia="Calibri"/>
          <w:b/>
          <w:color w:val="0B2545"/>
          <w:sz w:val="24"/>
        </w:rPr>
        <w:t>Pass the data-quality gate</w:t>
      </w:r>
    </w:p>
    <w:p>
      <w:pPr>
        <w:keepLines/>
        <w:spacing w:before="0" w:after="120"/>
      </w:pPr>
      <w:r>
        <w:t>Use a stratified sample of approximately 2,000 records for human confirmation. Verify label accuracy, class balance, negative-example quality, edge-case coverage, leakage and source lineage.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CEC"/>
          </w:tcPr>
          <w:p>
            <w:pPr>
              <w:spacing w:before="40" w:after="40"/>
            </w:pPr>
            <w:r>
              <w:rPr>
                <w:rFonts w:ascii="Calibri" w:hAnsi="Calibri" w:eastAsia="Calibri"/>
                <w:b/>
                <w:color w:val="9B1C1C"/>
              </w:rPr>
              <w:t xml:space="preserve">Risk to control: </w:t>
            </w:r>
            <w:r>
              <w:rPr>
                <w:rFonts w:ascii="Calibri" w:hAnsi="Calibri" w:eastAsia="Calibri"/>
                <w:color w:val="222222"/>
              </w:rPr>
              <w:t>An imbalanced or incorrectly labeled dataset can teach durable unwanted behavior. Training should not begin until the data-quality gate is signed off.</w:t>
            </w:r>
          </w:p>
        </w:tc>
      </w:tr>
    </w:tbl>
    <w:p>
      <w:pPr>
        <w:spacing w:after="0"/>
      </w:pPr>
    </w:p>
    <w:p>
      <w:pPr>
        <w:pStyle w:val="Heading1"/>
        <w:pageBreakBefore/>
      </w:pPr>
      <w:r>
        <w:t>Phase 2 - PEFT Training and Offline Evaluation</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2B7A78"/>
          </w:tcPr>
          <w:p>
            <w:pPr>
              <w:jc w:val="center"/>
            </w:pPr>
            <w:r>
              <w:rPr>
                <w:rFonts w:ascii="Calibri" w:hAnsi="Calibri" w:eastAsia="Calibri"/>
                <w:b/>
                <w:color w:val="FFFFFF"/>
                <w:sz w:val="22"/>
              </w:rPr>
              <w:t>PHASE 2</w:t>
            </w:r>
          </w:p>
        </w:tc>
        <w:tc>
          <w:tcPr>
            <w:tcW w:type="dxa" w:w="7560"/>
            <w:tcMar>
              <w:top w:w="80" w:type="dxa"/>
              <w:start w:w="120" w:type="dxa"/>
              <w:bottom w:w="80" w:type="dxa"/>
              <w:end w:w="120" w:type="dxa"/>
            </w:tcMar>
            <w:vAlign w:val="center"/>
            <w:shd w:fill="E5F3F1"/>
          </w:tcPr>
          <w:p>
            <w:pPr>
              <w:spacing w:after="20"/>
            </w:pPr>
            <w:r>
              <w:rPr>
                <w:rFonts w:ascii="Calibri" w:hAnsi="Calibri" w:eastAsia="Calibri"/>
                <w:b/>
                <w:color w:val="0B2545"/>
                <w:sz w:val="26"/>
              </w:rPr>
              <w:t>Train the smallest effective task-specific delta</w:t>
              <w:br/>
            </w:r>
            <w:r>
              <w:rPr>
                <w:rFonts w:ascii="Calibri" w:hAnsi="Calibri" w:eastAsia="Calibri"/>
                <w:color w:val="5E6A76"/>
                <w:sz w:val="19"/>
              </w:rPr>
              <w:t>Outcome: versioned adapter with reproducible evidence of improvement</w:t>
            </w:r>
          </w:p>
        </w:tc>
      </w:tr>
    </w:tbl>
    <w:p>
      <w:pPr>
        <w:spacing w:after="0"/>
      </w:pPr>
    </w:p>
    <w:p>
      <w:pPr>
        <w:keepNext/>
        <w:spacing w:before="140" w:after="60"/>
      </w:pPr>
      <w:r>
        <w:rPr>
          <w:rFonts w:ascii="Calibri" w:hAnsi="Calibri" w:eastAsia="Calibri"/>
          <w:b/>
          <w:color w:val="FFFFFF"/>
          <w:sz w:val="20"/>
          <w:shd w:fill="2E74B5"/>
        </w:rPr>
        <w:t xml:space="preserve">STEP 6  </w:t>
      </w:r>
      <w:r>
        <w:rPr>
          <w:rFonts w:ascii="Calibri" w:hAnsi="Calibri" w:eastAsia="Calibri"/>
          <w:b/>
          <w:color w:val="0B2545"/>
          <w:sz w:val="24"/>
        </w:rPr>
        <w:t>Generate and validate rationales</w:t>
      </w:r>
    </w:p>
    <w:p>
      <w:pPr>
        <w:keepLines/>
        <w:spacing w:before="0" w:after="120"/>
      </w:pPr>
      <w:r>
        <w:t>Use an approved teacher model to generate reasoning or rationales where they add learning value. Treat generated rationales as candidate labels: validate them through automated checks, AI-as-judge and targeted human review.</w:t>
      </w:r>
    </w:p>
    <w:p>
      <w:pPr>
        <w:pStyle w:val="Heading2"/>
      </w:pPr>
      <w:r>
        <w:t>Recommended training-record schema</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5F3F1"/>
          </w:tcPr>
          <w:p>
            <w:pPr>
              <w:spacing w:before="0" w:after="0"/>
              <w:jc w:val="left"/>
            </w:pPr>
            <w:r>
              <w:rPr>
                <w:rFonts w:ascii="Calibri" w:hAnsi="Calibri" w:eastAsia="Calibri"/>
                <w:b/>
                <w:color w:val="0B2545"/>
                <w:sz w:val="19"/>
              </w:rPr>
              <w:t>Field</w:t>
            </w:r>
          </w:p>
        </w:tc>
        <w:tc>
          <w:tcPr>
            <w:tcW w:type="dxa" w:w="6660"/>
            <w:tcMar>
              <w:top w:w="80" w:type="dxa"/>
              <w:start w:w="120" w:type="dxa"/>
              <w:bottom w:w="80" w:type="dxa"/>
              <w:end w:w="120" w:type="dxa"/>
            </w:tcMar>
            <w:vAlign w:val="center"/>
            <w:shd w:fill="E5F3F1"/>
          </w:tcPr>
          <w:p>
            <w:pPr>
              <w:spacing w:before="0" w:after="0"/>
              <w:jc w:val="left"/>
            </w:pPr>
            <w:r>
              <w:rPr>
                <w:rFonts w:ascii="Calibri" w:hAnsi="Calibri" w:eastAsia="Calibri"/>
                <w:b/>
                <w:color w:val="0B2545"/>
                <w:sz w:val="19"/>
              </w:rPr>
              <w:t>Purpose</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content</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Original input to classify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baseline_model_result</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Prediction from the frozen base model</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actual_classification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Human-approved ground-truth class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rationale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Validated explanation or teacher-model reasoning</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validation_status</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Human-approved, judge-approved or rejected</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lineage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Source, extraction date and dataset/model version</w:t>
            </w:r>
          </w:p>
        </w:tc>
      </w:tr>
    </w:tbl>
    <w:p>
      <w:pPr>
        <w:keepNext/>
        <w:spacing w:before="140" w:after="60"/>
      </w:pPr>
      <w:r>
        <w:rPr>
          <w:rFonts w:ascii="Calibri" w:hAnsi="Calibri" w:eastAsia="Calibri"/>
          <w:b/>
          <w:color w:val="FFFFFF"/>
          <w:sz w:val="20"/>
          <w:shd w:fill="2E74B5"/>
        </w:rPr>
        <w:t xml:space="preserve">STEP 7  </w:t>
      </w:r>
      <w:r>
        <w:rPr>
          <w:rFonts w:ascii="Calibri" w:hAnsi="Calibri" w:eastAsia="Calibri"/>
          <w:b/>
          <w:color w:val="0B2545"/>
          <w:sz w:val="24"/>
        </w:rPr>
        <w:t>Lock the golden evaluation set</w:t>
      </w:r>
    </w:p>
    <w:p>
      <w:pPr>
        <w:keepLines/>
        <w:spacing w:before="0" w:after="120"/>
      </w:pPr>
      <w:r>
        <w:t>Reserve approximately 2,000 human-annotated examples before training. Prevent leakage and preserve the set as a stable regression benchmark across adapters and training cycles.</w:t>
      </w:r>
    </w:p>
    <w:p>
      <w:pPr>
        <w:keepNext/>
        <w:spacing w:before="140" w:after="60"/>
      </w:pPr>
      <w:r>
        <w:rPr>
          <w:rFonts w:ascii="Calibri" w:hAnsi="Calibri" w:eastAsia="Calibri"/>
          <w:b/>
          <w:color w:val="FFFFFF"/>
          <w:sz w:val="20"/>
          <w:shd w:fill="2E74B5"/>
        </w:rPr>
        <w:t xml:space="preserve">STEP 8  </w:t>
      </w:r>
      <w:r>
        <w:rPr>
          <w:rFonts w:ascii="Calibri" w:hAnsi="Calibri" w:eastAsia="Calibri"/>
          <w:b/>
          <w:color w:val="0B2545"/>
          <w:sz w:val="24"/>
        </w:rPr>
        <w:t>Fine-tune on approximately 10K examples</w:t>
      </w:r>
    </w:p>
    <w:p>
      <w:pPr>
        <w:keepLines/>
        <w:spacing w:before="0" w:after="120"/>
      </w:pPr>
      <w:r>
        <w:t>Freeze the pretrained backbone, default to LoRA, and use QLoRA when memory efficiency is required. Version the adapter separately so it can be swapped, compared or rolled back without replacing the base model.</w:t>
      </w:r>
    </w:p>
    <w:p>
      <w:pPr>
        <w:keepNext/>
        <w:spacing w:before="140" w:after="60"/>
      </w:pPr>
      <w:r>
        <w:rPr>
          <w:rFonts w:ascii="Calibri" w:hAnsi="Calibri" w:eastAsia="Calibri"/>
          <w:b/>
          <w:color w:val="FFFFFF"/>
          <w:sz w:val="20"/>
          <w:shd w:fill="2E74B5"/>
        </w:rPr>
        <w:t xml:space="preserve">STEP 9  </w:t>
      </w:r>
      <w:r>
        <w:rPr>
          <w:rFonts w:ascii="Calibri" w:hAnsi="Calibri" w:eastAsia="Calibri"/>
          <w:b/>
          <w:color w:val="0B2545"/>
          <w:sz w:val="24"/>
        </w:rPr>
        <w:t>Evaluate against baseline and release criteria</w:t>
      </w:r>
    </w:p>
    <w:p>
      <w:pPr>
        <w:keepLines/>
        <w:spacing w:before="0" w:after="120"/>
      </w:pPr>
      <w:r>
        <w:t>Use actual model outputs for the final report. Mock inference may support smoke and unit tests but must be excluded from production-quality performance metrics.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5F3F1"/>
          </w:tcPr>
          <w:p>
            <w:pPr>
              <w:spacing w:before="0" w:after="0"/>
              <w:jc w:val="left"/>
            </w:pPr>
            <w:r>
              <w:rPr>
                <w:rFonts w:ascii="Calibri" w:hAnsi="Calibri" w:eastAsia="Calibri"/>
                <w:b/>
                <w:color w:val="0B2545"/>
                <w:sz w:val="19"/>
              </w:rPr>
              <w:t>Evaluation dimension</w:t>
            </w:r>
          </w:p>
        </w:tc>
        <w:tc>
          <w:tcPr>
            <w:tcW w:type="dxa" w:w="6660"/>
            <w:tcMar>
              <w:top w:w="80" w:type="dxa"/>
              <w:start w:w="120" w:type="dxa"/>
              <w:bottom w:w="80" w:type="dxa"/>
              <w:end w:w="120" w:type="dxa"/>
            </w:tcMar>
            <w:vAlign w:val="center"/>
            <w:shd w:fill="E5F3F1"/>
          </w:tcPr>
          <w:p>
            <w:pPr>
              <w:spacing w:before="0" w:after="0"/>
              <w:jc w:val="left"/>
            </w:pPr>
            <w:r>
              <w:rPr>
                <w:rFonts w:ascii="Calibri" w:hAnsi="Calibri" w:eastAsia="Calibri"/>
                <w:b/>
                <w:color w:val="0B2545"/>
                <w:sz w:val="19"/>
              </w:rPr>
              <w:t>Required evidence</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Predictive quality</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Precision, recall, F1, micro-F1, macro-F1 and per-class results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Error quality</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Confusion matrix, high-confidence errors and business-critical false positives/negatives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Operational quality</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P50/P95 latency, throughput, memory footprint, availability and cost</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Regression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Original golden set, general capability checks and catastrophic-forgetting review</w:t>
            </w:r>
          </w:p>
        </w:tc>
      </w:tr>
    </w:tbl>
    <w:p>
      <w:pPr>
        <w:pStyle w:val="Heading1"/>
        <w:pageBreakBefore/>
      </w:pPr>
      <w:r>
        <w:t>Phase 3 - Controlled Launch and Online Evaluation</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B98418"/>
          </w:tcPr>
          <w:p>
            <w:pPr>
              <w:jc w:val="center"/>
            </w:pPr>
            <w:r>
              <w:rPr>
                <w:rFonts w:ascii="Calibri" w:hAnsi="Calibri" w:eastAsia="Calibri"/>
                <w:b/>
                <w:color w:val="FFFFFF"/>
                <w:sz w:val="22"/>
              </w:rPr>
              <w:t>PHASE 3</w:t>
            </w:r>
          </w:p>
        </w:tc>
        <w:tc>
          <w:tcPr>
            <w:tcW w:type="dxa" w:w="7560"/>
            <w:tcMar>
              <w:top w:w="80" w:type="dxa"/>
              <w:start w:w="120" w:type="dxa"/>
              <w:bottom w:w="80" w:type="dxa"/>
              <w:end w:w="120" w:type="dxa"/>
            </w:tcMar>
            <w:vAlign w:val="center"/>
            <w:shd w:fill="FAF1DC"/>
          </w:tcPr>
          <w:p>
            <w:pPr>
              <w:spacing w:after="20"/>
            </w:pPr>
            <w:r>
              <w:rPr>
                <w:rFonts w:ascii="Calibri" w:hAnsi="Calibri" w:eastAsia="Calibri"/>
                <w:b/>
                <w:color w:val="0B2545"/>
                <w:sz w:val="26"/>
              </w:rPr>
              <w:t>Deploy gradually and validate real-world performance</w:t>
              <w:br/>
            </w:r>
            <w:r>
              <w:rPr>
                <w:rFonts w:ascii="Calibri" w:hAnsi="Calibri" w:eastAsia="Calibri"/>
                <w:color w:val="5E6A76"/>
                <w:sz w:val="19"/>
              </w:rPr>
              <w:t>Outcome: observable production model with safe fallback and rollback paths</w:t>
            </w:r>
          </w:p>
        </w:tc>
      </w:tr>
    </w:tbl>
    <w:p>
      <w:pPr>
        <w:spacing w:after="0"/>
      </w:pPr>
    </w:p>
    <w:p>
      <w:pPr>
        <w:keepNext/>
        <w:spacing w:before="140" w:after="60"/>
      </w:pPr>
      <w:r>
        <w:rPr>
          <w:rFonts w:ascii="Calibri" w:hAnsi="Calibri" w:eastAsia="Calibri"/>
          <w:b/>
          <w:color w:val="FFFFFF"/>
          <w:sz w:val="20"/>
          <w:shd w:fill="2E74B5"/>
        </w:rPr>
        <w:t xml:space="preserve">STEP 10  </w:t>
      </w:r>
      <w:r>
        <w:rPr>
          <w:rFonts w:ascii="Calibri" w:hAnsi="Calibri" w:eastAsia="Calibri"/>
          <w:b/>
          <w:color w:val="0B2545"/>
          <w:sz w:val="24"/>
        </w:rPr>
        <w:t>Optimize, register and launch</w:t>
      </w:r>
    </w:p>
    <w:p>
      <w:pPr>
        <w:keepLines/>
        <w:spacing w:before="0" w:after="120"/>
      </w:pPr>
      <w:r>
        <w:t>Optimize inference, register the base model, adapter, dataset, hyperparameters and evaluation results, and deploy through a controlled canary or phased rollout.</w:t>
      </w:r>
    </w:p>
    <w:p>
      <w:pPr>
        <w:spacing w:before="0" w:after="160" w:line="280" w:lineRule="auto"/>
        <w:numPr>
          <w:ilvl w:val="0"/>
          <w:numId w:val="10"/>
        </w:numPr>
      </w:pPr>
      <w:r>
        <w:rPr>
          <w:rFonts w:ascii="Calibri" w:hAnsi="Calibri" w:eastAsia="Calibri"/>
        </w:rPr>
        <w:t>Define overall and per-class acceptance thresholds before deployment.</w:t>
      </w:r>
    </w:p>
    <w:p>
      <w:pPr>
        <w:spacing w:before="0" w:after="160" w:line="280" w:lineRule="auto"/>
        <w:numPr>
          <w:ilvl w:val="0"/>
          <w:numId w:val="10"/>
        </w:numPr>
      </w:pPr>
      <w:r>
        <w:rPr>
          <w:rFonts w:ascii="Calibri" w:hAnsi="Calibri" w:eastAsia="Calibri"/>
        </w:rPr>
        <w:t>Document owners for model approval, data approval, production support and rollback authority.</w:t>
      </w:r>
    </w:p>
    <w:p>
      <w:pPr>
        <w:spacing w:before="0" w:after="160" w:line="280" w:lineRule="auto"/>
        <w:numPr>
          <w:ilvl w:val="0"/>
          <w:numId w:val="10"/>
        </w:numPr>
      </w:pPr>
      <w:r>
        <w:rPr>
          <w:rFonts w:ascii="Calibri" w:hAnsi="Calibri" w:eastAsia="Calibri"/>
        </w:rPr>
        <w:t>Preserve the prior production adapter until the new release completes the observation period.</w:t>
      </w:r>
    </w:p>
    <w:p>
      <w:pPr>
        <w:keepNext/>
        <w:spacing w:before="140" w:after="60"/>
      </w:pPr>
      <w:r>
        <w:rPr>
          <w:rFonts w:ascii="Calibri" w:hAnsi="Calibri" w:eastAsia="Calibri"/>
          <w:b/>
          <w:color w:val="FFFFFF"/>
          <w:sz w:val="20"/>
          <w:shd w:fill="2E74B5"/>
        </w:rPr>
        <w:t xml:space="preserve">STEP 11  </w:t>
      </w:r>
      <w:r>
        <w:rPr>
          <w:rFonts w:ascii="Calibri" w:hAnsi="Calibri" w:eastAsia="Calibri"/>
          <w:b/>
          <w:color w:val="0B2545"/>
          <w:sz w:val="24"/>
        </w:rPr>
        <w:t>Maintain a RAG-based fallback or challenger</w:t>
      </w:r>
    </w:p>
    <w:p>
      <w:pPr>
        <w:keepLines/>
        <w:spacing w:before="0" w:after="120"/>
      </w:pPr>
      <w:r>
        <w:t>Index the approximately 12,000 curated examples in vector space and retrieve similar historical cases. Use the RAG result as a benchmark, challenger or governed fallback rather than silently treating it as ground truth.</w:t>
      </w:r>
    </w:p>
    <w:p>
      <w:pPr>
        <w:keepNext/>
        <w:spacing w:before="140" w:after="60"/>
      </w:pPr>
      <w:r>
        <w:rPr>
          <w:rFonts w:ascii="Calibri" w:hAnsi="Calibri" w:eastAsia="Calibri"/>
          <w:b/>
          <w:color w:val="FFFFFF"/>
          <w:sz w:val="20"/>
          <w:shd w:fill="2E74B5"/>
        </w:rPr>
        <w:t xml:space="preserve">STEP 12  </w:t>
      </w:r>
      <w:r>
        <w:rPr>
          <w:rFonts w:ascii="Calibri" w:hAnsi="Calibri" w:eastAsia="Calibri"/>
          <w:b/>
          <w:color w:val="0B2545"/>
          <w:sz w:val="24"/>
        </w:rPr>
        <w:t>Run monitored online evaluation</w:t>
      </w:r>
    </w:p>
    <w:p>
      <w:pPr>
        <w:keepLines/>
        <w:spacing w:before="0" w:after="120"/>
      </w:pPr>
      <w:r>
        <w:t>Sample or mirror production traffic to an approved frontier model, such as Gemini, and compare results with the production adapter and RAG challenger. Use AI-as-judge to prioritize disagreements, not to replace human accountability.</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FAF1DC"/>
          </w:tcPr>
          <w:p>
            <w:pPr>
              <w:spacing w:before="0" w:after="0"/>
              <w:jc w:val="left"/>
            </w:pPr>
            <w:r>
              <w:rPr>
                <w:rFonts w:ascii="Calibri" w:hAnsi="Calibri" w:eastAsia="Calibri"/>
                <w:b/>
                <w:color w:val="0B2545"/>
                <w:sz w:val="19"/>
              </w:rPr>
              <w:t>Observed condition</w:t>
            </w:r>
          </w:p>
        </w:tc>
        <w:tc>
          <w:tcPr>
            <w:tcW w:type="dxa" w:w="6360"/>
            <w:tcMar>
              <w:top w:w="80" w:type="dxa"/>
              <w:start w:w="120" w:type="dxa"/>
              <w:bottom w:w="80" w:type="dxa"/>
              <w:end w:w="120" w:type="dxa"/>
            </w:tcMar>
            <w:vAlign w:val="center"/>
            <w:shd w:fill="FAF1DC"/>
          </w:tcPr>
          <w:p>
            <w:pPr>
              <w:spacing w:before="0" w:after="0"/>
              <w:jc w:val="left"/>
            </w:pPr>
            <w:r>
              <w:rPr>
                <w:rFonts w:ascii="Calibri" w:hAnsi="Calibri" w:eastAsia="Calibri"/>
                <w:b/>
                <w:color w:val="0B2545"/>
                <w:sz w:val="19"/>
              </w:rPr>
              <w:t>Recommended action</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High confidence + agreement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Process normally; retain monitoring evidence</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Low confidence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Route to human review or approved fallback</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Model disagreement</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Use judge criteria and risk rules to prioritize human review</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Policy or high-impact class</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Require human approval regardless of confidence</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Threshold breach</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Hold rollout, reduce traffic or roll back</w:t>
            </w:r>
          </w:p>
        </w:tc>
      </w:tr>
    </w:tbl>
    <w:p>
      <w:pPr>
        <w:pStyle w:val="Heading2"/>
      </w:pPr>
      <w:r>
        <w:t>Online monitoring dashboard</w:t>
      </w:r>
    </w:p>
    <w:p>
      <w:pPr>
        <w:spacing w:before="0" w:after="160" w:line="280" w:lineRule="auto"/>
        <w:numPr>
          <w:ilvl w:val="0"/>
          <w:numId w:val="10"/>
        </w:numPr>
      </w:pPr>
      <w:r>
        <w:rPr>
          <w:rFonts w:ascii="Calibri" w:hAnsi="Calibri" w:eastAsia="Calibri"/>
        </w:rPr>
        <w:t>Class distribution, confidence distribution and human override rate</w:t>
      </w:r>
    </w:p>
    <w:p>
      <w:pPr>
        <w:spacing w:before="0" w:after="160" w:line="280" w:lineRule="auto"/>
        <w:numPr>
          <w:ilvl w:val="0"/>
          <w:numId w:val="10"/>
        </w:numPr>
      </w:pPr>
      <w:r>
        <w:rPr>
          <w:rFonts w:ascii="Calibri" w:hAnsi="Calibri" w:eastAsia="Calibri"/>
        </w:rPr>
        <w:t>RAG/PEFT/frontier disagreement rate and judge escalation rate</w:t>
      </w:r>
    </w:p>
    <w:p>
      <w:pPr>
        <w:spacing w:before="0" w:after="160" w:line="280" w:lineRule="auto"/>
        <w:numPr>
          <w:ilvl w:val="0"/>
          <w:numId w:val="10"/>
        </w:numPr>
      </w:pPr>
      <w:r>
        <w:rPr>
          <w:rFonts w:ascii="Calibri" w:hAnsi="Calibri" w:eastAsia="Calibri"/>
        </w:rPr>
        <w:t>Per-class quality on adjudicated samples and business-impact incidents</w:t>
      </w:r>
    </w:p>
    <w:p>
      <w:pPr>
        <w:spacing w:before="0" w:after="160" w:line="280" w:lineRule="auto"/>
        <w:numPr>
          <w:ilvl w:val="0"/>
          <w:numId w:val="10"/>
        </w:numPr>
      </w:pPr>
      <w:r>
        <w:rPr>
          <w:rFonts w:ascii="Calibri" w:hAnsi="Calibri" w:eastAsia="Calibri"/>
        </w:rPr>
        <w:t>Latency, throughput, errors, cost and rollback readiness</w:t>
      </w:r>
    </w:p>
    <w:p>
      <w:pPr>
        <w:pStyle w:val="Heading1"/>
        <w:pageBreakBefore/>
      </w:pPr>
      <w:r>
        <w:t>Phase 4 - Continuous Training and Promotion</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0B2545"/>
          </w:tcPr>
          <w:p>
            <w:pPr>
              <w:jc w:val="center"/>
            </w:pPr>
            <w:r>
              <w:rPr>
                <w:rFonts w:ascii="Calibri" w:hAnsi="Calibri" w:eastAsia="Calibri"/>
                <w:b/>
                <w:color w:val="FFFFFF"/>
                <w:sz w:val="22"/>
              </w:rPr>
              <w:t>PHASE 4</w:t>
            </w:r>
          </w:p>
        </w:tc>
        <w:tc>
          <w:tcPr>
            <w:tcW w:type="dxa" w:w="7560"/>
            <w:tcMar>
              <w:top w:w="80" w:type="dxa"/>
              <w:start w:w="120" w:type="dxa"/>
              <w:bottom w:w="80" w:type="dxa"/>
              <w:end w:w="120" w:type="dxa"/>
            </w:tcMar>
            <w:vAlign w:val="center"/>
            <w:shd w:fill="F2F4F7"/>
          </w:tcPr>
          <w:p>
            <w:pPr>
              <w:spacing w:after="20"/>
            </w:pPr>
            <w:r>
              <w:rPr>
                <w:rFonts w:ascii="Calibri" w:hAnsi="Calibri" w:eastAsia="Calibri"/>
                <w:b/>
                <w:color w:val="0B2545"/>
                <w:sz w:val="26"/>
              </w:rPr>
              <w:t>Convert production evidence into controlled improvement</w:t>
              <w:br/>
            </w:r>
            <w:r>
              <w:rPr>
                <w:rFonts w:ascii="Calibri" w:hAnsi="Calibri" w:eastAsia="Calibri"/>
                <w:color w:val="5E6A76"/>
                <w:sz w:val="19"/>
              </w:rPr>
              <w:t>Outcome: incremental release with demonstrated gain and no unacceptable forgetting</w:t>
            </w:r>
          </w:p>
        </w:tc>
      </w:tr>
    </w:tbl>
    <w:p>
      <w:pPr>
        <w:spacing w:after="0"/>
      </w:pPr>
    </w:p>
    <w:p>
      <w:pPr>
        <w:keepNext/>
        <w:spacing w:before="140" w:after="60"/>
      </w:pPr>
      <w:r>
        <w:rPr>
          <w:rFonts w:ascii="Calibri" w:hAnsi="Calibri" w:eastAsia="Calibri"/>
          <w:b/>
          <w:color w:val="FFFFFF"/>
          <w:sz w:val="20"/>
          <w:shd w:fill="2E74B5"/>
        </w:rPr>
        <w:t xml:space="preserve">STEP 13  </w:t>
      </w:r>
      <w:r>
        <w:rPr>
          <w:rFonts w:ascii="Calibri" w:hAnsi="Calibri" w:eastAsia="Calibri"/>
          <w:b/>
          <w:color w:val="0B2545"/>
          <w:sz w:val="24"/>
        </w:rPr>
        <w:t>Detect drift and trigger the next cycle</w:t>
      </w:r>
    </w:p>
    <w:p>
      <w:pPr>
        <w:keepLines/>
        <w:spacing w:before="0" w:after="120"/>
      </w:pPr>
      <w:r>
        <w:t>Monitor input drift, class-distribution drift, confidence degradation, human overrides, emerging classes and challenger disagreement. Begin a formal review after approximately 90 days or 5,000 new samples, subject to the agreed trigger rule.</w:t>
      </w:r>
    </w:p>
    <w:p>
      <w:pPr>
        <w:keepNext/>
        <w:spacing w:before="140" w:after="60"/>
      </w:pPr>
      <w:r>
        <w:rPr>
          <w:rFonts w:ascii="Calibri" w:hAnsi="Calibri" w:eastAsia="Calibri"/>
          <w:b/>
          <w:color w:val="FFFFFF"/>
          <w:sz w:val="20"/>
          <w:shd w:fill="2E74B5"/>
        </w:rPr>
        <w:t xml:space="preserve">STEP 14  </w:t>
      </w:r>
      <w:r>
        <w:rPr>
          <w:rFonts w:ascii="Calibri" w:hAnsi="Calibri" w:eastAsia="Calibri"/>
          <w:b/>
          <w:color w:val="0B2545"/>
          <w:sz w:val="24"/>
        </w:rPr>
        <w:t>Create a human-reviewed incremental dataset</w:t>
      </w:r>
    </w:p>
    <w:p>
      <w:pPr>
        <w:keepLines/>
        <w:spacing w:before="0" w:after="120"/>
      </w:pPr>
      <w:r>
        <w:t>Prioritize uncertain predictions, model disagreements, emerging patterns, high-impact errors and RAG-versus-PEFT mismatches. Select approximately 1,000 high-value cases for human review and adjudication.</w:t>
      </w:r>
    </w:p>
    <w:p>
      <w:pPr>
        <w:keepNext/>
        <w:spacing w:before="140" w:after="60"/>
      </w:pPr>
      <w:r>
        <w:rPr>
          <w:rFonts w:ascii="Calibri" w:hAnsi="Calibri" w:eastAsia="Calibri"/>
          <w:b/>
          <w:color w:val="FFFFFF"/>
          <w:sz w:val="20"/>
          <w:shd w:fill="2E74B5"/>
        </w:rPr>
        <w:t xml:space="preserve">STEP 15  </w:t>
      </w:r>
      <w:r>
        <w:rPr>
          <w:rFonts w:ascii="Calibri" w:hAnsi="Calibri" w:eastAsia="Calibri"/>
          <w:b/>
          <w:color w:val="0B2545"/>
          <w:sz w:val="24"/>
        </w:rPr>
        <w:t>Retrain, regression-test and promote</w:t>
      </w:r>
    </w:p>
    <w:p>
      <w:pPr>
        <w:keepLines/>
        <w:spacing w:before="0" w:after="120"/>
      </w:pPr>
      <w:r>
        <w:t>Repeat the applicable curation and PEFT steps. Compare the challenger with the current production adapter and promote only when it demonstrates incremental gain without unacceptable regression on the original golden set.</w:t>
      </w:r>
    </w:p>
    <w:p>
      <w:pPr>
        <w:pStyle w:val="Heading2"/>
      </w:pPr>
      <w:r>
        <w:t>Continuous-learning controls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before="0" w:after="0"/>
              <w:jc w:val="left"/>
            </w:pPr>
            <w:r>
              <w:rPr>
                <w:rFonts w:ascii="Calibri" w:hAnsi="Calibri" w:eastAsia="Calibri"/>
                <w:b/>
                <w:color w:val="0B2545"/>
                <w:sz w:val="19"/>
              </w:rPr>
              <w:t>Control</w:t>
            </w:r>
          </w:p>
        </w:tc>
        <w:tc>
          <w:tcPr>
            <w:tcW w:type="dxa" w:w="6960"/>
            <w:tcMar>
              <w:top w:w="80" w:type="dxa"/>
              <w:start w:w="120" w:type="dxa"/>
              <w:bottom w:w="80" w:type="dxa"/>
              <w:end w:w="120" w:type="dxa"/>
            </w:tcMar>
            <w:vAlign w:val="center"/>
            <w:shd w:fill="F2F4F7"/>
          </w:tcPr>
          <w:p>
            <w:pPr>
              <w:spacing w:before="0" w:after="0"/>
              <w:jc w:val="left"/>
            </w:pPr>
            <w:r>
              <w:rPr>
                <w:rFonts w:ascii="Calibri" w:hAnsi="Calibri" w:eastAsia="Calibri"/>
                <w:b/>
                <w:color w:val="0B2545"/>
                <w:sz w:val="19"/>
              </w:rPr>
              <w:t>Purpose</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Replay / retention</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Retain representative prior-task examples so new training does not erase earlier capabilities</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Regression suite</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Evaluate the original golden set and critical-class scenarios after every training round</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Versioning</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Link every adapter to the exact data, labels, teacher/judge versions, code and hyperparameters</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Promotion</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Require documented gain, governance sign-off and rollback readiness before traffic increases</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Retirement</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Archive superseded adapters and retain reproducibility evidence according to policy</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0F8"/>
          </w:tcPr>
          <w:p>
            <w:pPr>
              <w:spacing w:before="40" w:after="40"/>
            </w:pPr>
            <w:r>
              <w:rPr>
                <w:rFonts w:ascii="Calibri" w:hAnsi="Calibri" w:eastAsia="Calibri"/>
                <w:b/>
                <w:color w:val="0B2545"/>
              </w:rPr>
              <w:t xml:space="preserve">Promotion principle: </w:t>
            </w:r>
            <w:r>
              <w:rPr>
                <w:rFonts w:ascii="Calibri" w:hAnsi="Calibri" w:eastAsia="Calibri"/>
                <w:color w:val="222222"/>
              </w:rPr>
              <w:t>The continuous-training loop is not an automatic retraining job. It is a controlled challenger process with human-reviewed data, offline regression evidence and an explicit production decision.</w:t>
            </w:r>
          </w:p>
        </w:tc>
      </w:tr>
    </w:tbl>
    <w:p>
      <w:pPr>
        <w:spacing w:after="0"/>
      </w:pPr>
    </w:p>
    <w:p>
      <w:pPr>
        <w:pStyle w:val="Heading1"/>
        <w:pageBreakBefore/>
      </w:pPr>
      <w:r>
        <w:t>Governance, Decision Gates and Ownership</w:t>
      </w:r>
    </w:p>
    <w:p>
      <w:r>
        <w:t>Each phase should produce a defined artifact and an accountable approval. The suggested roles below can be mapped to the organization’s formal governance structure.</w:t>
      </w:r>
    </w:p>
    <w:tbl>
      <w:tblPr>
        <w:tblStyle w:val="TableGrid"/>
        <w:tblW w:type="dxa" w:w="9360"/>
        <w:tblLayout w:type="fixed"/>
        <w:tblLook w:firstColumn="1" w:firstRow="1" w:lastColumn="0" w:lastRow="0" w:noHBand="0" w:noVBand="1" w:val="04A0"/>
        <w:jc w:val="left"/>
        <w:tblInd w:w="120" w:type="dxa"/>
      </w:tblPr>
      <w:tblGrid>
        <w:gridCol w:w="1900"/>
        <w:gridCol w:w="3280"/>
        <w:gridCol w:w="2380"/>
        <w:gridCol w:w="1800"/>
      </w:tblGrid>
      <w:tr>
        <w:trPr>
          <w:tblHeader w:val="true"/>
        </w:trPr>
        <w:tc>
          <w:tcPr>
            <w:tcW w:type="dxa" w:w="190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Gate</w:t>
            </w:r>
          </w:p>
        </w:tc>
        <w:tc>
          <w:tcPr>
            <w:tcW w:type="dxa" w:w="328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Required evidence</w:t>
            </w:r>
          </w:p>
        </w:tc>
        <w:tc>
          <w:tcPr>
            <w:tcW w:type="dxa" w:w="238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Accountable approval</w:t>
            </w:r>
          </w:p>
        </w:tc>
        <w:tc>
          <w:tcPr>
            <w:tcW w:type="dxa" w:w="180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Decision</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G0 - Use-case qualification</w:t>
            </w:r>
          </w:p>
        </w:tc>
        <w:tc>
          <w:tcPr>
            <w:tcW w:type="dxa" w:w="32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Baseline report and fine-tuning rationale</w:t>
            </w:r>
          </w:p>
        </w:tc>
        <w:tc>
          <w:tcPr>
            <w:tcW w:type="dxa" w:w="23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Product owner + model lead</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Proceed / use prompt-RAG only</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G1 - Data readiness</w:t>
            </w:r>
          </w:p>
        </w:tc>
        <w:tc>
          <w:tcPr>
            <w:tcW w:type="dxa" w:w="32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Taxonomy, data card, QA results and split</w:t>
            </w:r>
          </w:p>
        </w:tc>
        <w:tc>
          <w:tcPr>
            <w:tcW w:type="dxa" w:w="23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Data owner + model risk</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Train / remediate data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G2 - Offline readiness</w:t>
            </w:r>
          </w:p>
        </w:tc>
        <w:tc>
          <w:tcPr>
            <w:tcW w:type="dxa" w:w="32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Eval report, error analysis and risk checks</w:t>
            </w:r>
          </w:p>
        </w:tc>
        <w:tc>
          <w:tcPr>
            <w:tcW w:type="dxa" w:w="23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Model lead + independent validator</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Launch / tune / reject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G3 - Production promotion</w:t>
            </w:r>
          </w:p>
        </w:tc>
        <w:tc>
          <w:tcPr>
            <w:tcW w:type="dxa" w:w="32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Canary results, incidents and rollback test</w:t>
            </w:r>
          </w:p>
        </w:tc>
        <w:tc>
          <w:tcPr>
            <w:tcW w:type="dxa" w:w="23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Business + technology owner</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Promote / hold / roll back</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G4 - Continuous update</w:t>
            </w:r>
          </w:p>
        </w:tc>
        <w:tc>
          <w:tcPr>
            <w:tcW w:type="dxa" w:w="32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Incremental data and regression comparison</w:t>
            </w:r>
          </w:p>
        </w:tc>
        <w:tc>
          <w:tcPr>
            <w:tcW w:type="dxa" w:w="238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Same approvers as G2/G3</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Replace / retain current adapter</w:t>
            </w:r>
          </w:p>
        </w:tc>
      </w:tr>
    </w:tbl>
    <w:p>
      <w:pPr>
        <w:pStyle w:val="Heading2"/>
      </w:pPr>
      <w:r>
        <w:t>Minimum audit trail</w:t>
      </w:r>
    </w:p>
    <w:p>
      <w:pPr>
        <w:spacing w:before="0" w:after="160" w:line="280" w:lineRule="auto"/>
        <w:numPr>
          <w:ilvl w:val="0"/>
          <w:numId w:val="10"/>
        </w:numPr>
      </w:pPr>
      <w:r>
        <w:rPr>
          <w:rFonts w:ascii="Calibri" w:hAnsi="Calibri" w:eastAsia="Calibri"/>
        </w:rPr>
        <w:t>Dataset version, inclusion/exclusion rules, deduplication threshold and human-review records</w:t>
      </w:r>
    </w:p>
    <w:p>
      <w:pPr>
        <w:spacing w:before="0" w:after="160" w:line="280" w:lineRule="auto"/>
        <w:numPr>
          <w:ilvl w:val="0"/>
          <w:numId w:val="10"/>
        </w:numPr>
      </w:pPr>
      <w:r>
        <w:rPr>
          <w:rFonts w:ascii="Calibri" w:hAnsi="Calibri" w:eastAsia="Calibri"/>
        </w:rPr>
        <w:t>Base model, adapter, tokenizer, prompt/schema, teacher model and AI-as-judge versions</w:t>
      </w:r>
    </w:p>
    <w:p>
      <w:pPr>
        <w:spacing w:before="0" w:after="160" w:line="280" w:lineRule="auto"/>
        <w:numPr>
          <w:ilvl w:val="0"/>
          <w:numId w:val="10"/>
        </w:numPr>
      </w:pPr>
      <w:r>
        <w:rPr>
          <w:rFonts w:ascii="Calibri" w:hAnsi="Calibri" w:eastAsia="Calibri"/>
        </w:rPr>
        <w:t>Training configuration, seeds, code commit, environment and hardware</w:t>
      </w:r>
    </w:p>
    <w:p>
      <w:pPr>
        <w:spacing w:before="0" w:after="160" w:line="280" w:lineRule="auto"/>
        <w:numPr>
          <w:ilvl w:val="0"/>
          <w:numId w:val="10"/>
        </w:numPr>
      </w:pPr>
      <w:r>
        <w:rPr>
          <w:rFonts w:ascii="Calibri" w:hAnsi="Calibri" w:eastAsia="Calibri"/>
        </w:rPr>
        <w:t>Offline results, online comparison evidence, approvals, release date and rollback result</w:t>
      </w:r>
    </w:p>
    <w:p>
      <w:pPr>
        <w:spacing w:before="0" w:after="160" w:line="280" w:lineRule="auto"/>
        <w:numPr>
          <w:ilvl w:val="0"/>
          <w:numId w:val="10"/>
        </w:numPr>
      </w:pPr>
      <w:r>
        <w:rPr>
          <w:rFonts w:ascii="Calibri" w:hAnsi="Calibri" w:eastAsia="Calibri"/>
        </w:rPr>
        <w:t>Post-launch drift, overrides, incidents and retraining-intake decisions</w:t>
      </w:r>
    </w:p>
    <w:p>
      <w:pPr>
        <w:pStyle w:val="Heading2"/>
      </w:pPr>
      <w:r>
        <w:t>Recommended promotion criteria</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Criterion</w:t>
            </w:r>
          </w:p>
        </w:tc>
        <w:tc>
          <w:tcPr>
            <w:tcW w:type="dxa" w:w="6360"/>
            <w:tcMar>
              <w:top w:w="80" w:type="dxa"/>
              <w:start w:w="120" w:type="dxa"/>
              <w:bottom w:w="80" w:type="dxa"/>
              <w:end w:w="120" w:type="dxa"/>
            </w:tcMar>
            <w:vAlign w:val="center"/>
            <w:shd w:fill="E8F0F8"/>
          </w:tcPr>
          <w:p>
            <w:pPr>
              <w:spacing w:before="0" w:after="0"/>
              <w:jc w:val="left"/>
            </w:pPr>
            <w:r>
              <w:rPr>
                <w:rFonts w:ascii="Calibri" w:hAnsi="Calibri" w:eastAsia="Calibri"/>
                <w:b/>
                <w:color w:val="0B2545"/>
                <w:sz w:val="19"/>
              </w:rPr>
              <w:t>Gate expectation</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Business-critical classes</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Meet class-specific precision/recall floors; no unresolved severe error</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Overall predictive quality</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Meet agreed macro-F1 and micro-F1 improvement over the production baseline</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Operational performance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Stay within latency, throughput, cost and availability budgets</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Robustness and regression</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No unacceptable degradation on the golden set or general capability checks</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Governance readiness</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Complete lineage, human approvals, monitoring and tested rollback path</w:t>
            </w:r>
          </w:p>
        </w:tc>
      </w:tr>
    </w:tbl>
    <w:p>
      <w:pPr>
        <w:pStyle w:val="Heading1"/>
        <w:pageBreakBefore/>
      </w:pPr>
      <w:r>
        <w:t>Manager Discussion: Decisions to Confirm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AF1DC"/>
          </w:tcPr>
          <w:p>
            <w:pPr>
              <w:spacing w:before="40" w:after="40"/>
            </w:pPr>
            <w:r>
              <w:rPr>
                <w:rFonts w:ascii="Calibri" w:hAnsi="Calibri" w:eastAsia="Calibri"/>
                <w:b/>
                <w:color w:val="B98418"/>
              </w:rPr>
              <w:t xml:space="preserve">Meeting objective: </w:t>
            </w:r>
            <w:r>
              <w:rPr>
                <w:rFonts w:ascii="Calibri" w:hAnsi="Calibri" w:eastAsia="Calibri"/>
                <w:color w:val="222222"/>
              </w:rPr>
              <w:t>Agree on the operating process and ownership first. Numerical thresholds can then be calibrated through baseline results and the first controlled pilot.</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650"/>
        <w:gridCol w:w="2350"/>
        <w:gridCol w:w="6360"/>
      </w:tblGrid>
      <w:tr>
        <w:trPr>
          <w:tblHeader w:val="true"/>
        </w:trPr>
        <w:tc>
          <w:tcPr>
            <w:tcW w:type="dxa" w:w="650"/>
            <w:tcMar>
              <w:top w:w="80" w:type="dxa"/>
              <w:start w:w="120" w:type="dxa"/>
              <w:bottom w:w="80" w:type="dxa"/>
              <w:end w:w="120" w:type="dxa"/>
            </w:tcMar>
            <w:vAlign w:val="center"/>
            <w:shd w:fill="FAF1DC"/>
          </w:tcPr>
          <w:p>
            <w:pPr>
              <w:spacing w:before="0" w:after="0"/>
              <w:jc w:val="left"/>
            </w:pPr>
            <w:r>
              <w:rPr>
                <w:rFonts w:ascii="Calibri" w:hAnsi="Calibri" w:eastAsia="Calibri"/>
                <w:b/>
                <w:color w:val="0B2545"/>
                <w:sz w:val="19"/>
              </w:rPr>
              <w:t>#</w:t>
            </w:r>
          </w:p>
        </w:tc>
        <w:tc>
          <w:tcPr>
            <w:tcW w:type="dxa" w:w="2350"/>
            <w:tcMar>
              <w:top w:w="80" w:type="dxa"/>
              <w:start w:w="120" w:type="dxa"/>
              <w:bottom w:w="80" w:type="dxa"/>
              <w:end w:w="120" w:type="dxa"/>
            </w:tcMar>
            <w:vAlign w:val="center"/>
            <w:shd w:fill="FAF1DC"/>
          </w:tcPr>
          <w:p>
            <w:pPr>
              <w:spacing w:before="0" w:after="0"/>
              <w:jc w:val="left"/>
            </w:pPr>
            <w:r>
              <w:rPr>
                <w:rFonts w:ascii="Calibri" w:hAnsi="Calibri" w:eastAsia="Calibri"/>
                <w:b/>
                <w:color w:val="0B2545"/>
                <w:sz w:val="19"/>
              </w:rPr>
              <w:t>Decision area</w:t>
            </w:r>
          </w:p>
        </w:tc>
        <w:tc>
          <w:tcPr>
            <w:tcW w:type="dxa" w:w="6360"/>
            <w:tcMar>
              <w:top w:w="80" w:type="dxa"/>
              <w:start w:w="120" w:type="dxa"/>
              <w:bottom w:w="80" w:type="dxa"/>
              <w:end w:w="120" w:type="dxa"/>
            </w:tcMar>
            <w:vAlign w:val="center"/>
            <w:shd w:fill="FAF1DC"/>
          </w:tcPr>
          <w:p>
            <w:pPr>
              <w:spacing w:before="0" w:after="0"/>
              <w:jc w:val="left"/>
            </w:pPr>
            <w:r>
              <w:rPr>
                <w:rFonts w:ascii="Calibri" w:hAnsi="Calibri" w:eastAsia="Calibri"/>
                <w:b/>
                <w:color w:val="0B2545"/>
                <w:sz w:val="19"/>
              </w:rPr>
              <w:t>What to confirm</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1</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Dataset scale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Confirm approximately 12K total records with a 10K training / 2K holdout split</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2</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Model scope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Confirm whether this process targets a 7B-class base model and whether LoRA is the default</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3</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Human review</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Confirm reviewers, adjudication rules, expected turnaround and approximately 1K incremental reviews</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4</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RAG role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Choose benchmark, challenger, fallback, or a combination with explicit routing rules</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5</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AI-as-judge</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Approve rubric, judge model, sampling rate and mandatory human-escalation conditions</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6</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Retraining trigger</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Define whether 90 days or 5K new samples means whichever occurs first or a combined threshold</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7</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Release gates</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Set precision/recall floors, macro/micro F1 improvement, latency budget and observation period</w:t>
            </w:r>
          </w:p>
        </w:tc>
      </w:tr>
      <w:tr>
        <w:tc>
          <w:tcPr>
            <w:tcW w:type="dxa" w:w="6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8</w:t>
            </w:r>
          </w:p>
        </w:tc>
        <w:tc>
          <w:tcPr>
            <w:tcW w:type="dxa" w:w="235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Ownership</w:t>
            </w:r>
          </w:p>
        </w:tc>
        <w:tc>
          <w:tcPr>
            <w:tcW w:type="dxa" w:w="6360"/>
            <w:tcMar>
              <w:top w:w="80" w:type="dxa"/>
              <w:start w:w="120" w:type="dxa"/>
              <w:bottom w:w="80" w:type="dxa"/>
              <w:end w:w="120" w:type="dxa"/>
            </w:tcMar>
            <w:vAlign w:val="center"/>
          </w:tcPr>
          <w:p>
            <w:pPr>
              <w:spacing w:before="0" w:after="0" w:line="252" w:lineRule="auto"/>
            </w:pPr>
            <w:r>
              <w:rPr>
                <w:rFonts w:ascii="Calibri" w:hAnsi="Calibri" w:eastAsia="Calibri"/>
                <w:color w:val="222222"/>
                <w:sz w:val="19"/>
              </w:rPr>
              <w:t>Assign data, model, validation, production-monitoring and rollback accountability</w:t>
            </w:r>
          </w:p>
        </w:tc>
      </w:tr>
    </w:tbl>
    <w:p>
      <w:pPr>
        <w:pStyle w:val="Heading2"/>
      </w:pPr>
      <w:r>
        <w:t>Suggested next-step sequence</w:t>
      </w:r>
    </w:p>
    <w:p>
      <w:pPr>
        <w:spacing w:before="0" w:after="160" w:line="280" w:lineRule="auto"/>
        <w:numPr>
          <w:ilvl w:val="0"/>
          <w:numId w:val="11"/>
        </w:numPr>
      </w:pPr>
      <w:r>
        <w:rPr>
          <w:rFonts w:ascii="Calibri" w:hAnsi="Calibri" w:eastAsia="Calibri"/>
        </w:rPr>
        <w:t>Approve the taxonomy, ground-truth definition and dataset acceptance criteria.</w:t>
      </w:r>
    </w:p>
    <w:p>
      <w:pPr>
        <w:spacing w:before="0" w:after="160" w:line="280" w:lineRule="auto"/>
        <w:numPr>
          <w:ilvl w:val="0"/>
          <w:numId w:val="11"/>
        </w:numPr>
      </w:pPr>
      <w:r>
        <w:rPr>
          <w:rFonts w:ascii="Calibri" w:hAnsi="Calibri" w:eastAsia="Calibri"/>
        </w:rPr>
        <w:t>Build the reproducible base-model and RAG baseline using actual model outputs.</w:t>
      </w:r>
    </w:p>
    <w:p>
      <w:pPr>
        <w:spacing w:before="0" w:after="160" w:line="280" w:lineRule="auto"/>
        <w:numPr>
          <w:ilvl w:val="0"/>
          <w:numId w:val="11"/>
        </w:numPr>
      </w:pPr>
      <w:r>
        <w:rPr>
          <w:rFonts w:ascii="Calibri" w:hAnsi="Calibri" w:eastAsia="Calibri"/>
        </w:rPr>
        <w:t>Run a limited curation pilot to validate class balance, deduplication and reviewer effort.</w:t>
      </w:r>
    </w:p>
    <w:p>
      <w:pPr>
        <w:spacing w:before="0" w:after="160" w:line="280" w:lineRule="auto"/>
        <w:numPr>
          <w:ilvl w:val="0"/>
          <w:numId w:val="11"/>
        </w:numPr>
      </w:pPr>
      <w:r>
        <w:rPr>
          <w:rFonts w:ascii="Calibri" w:hAnsi="Calibri" w:eastAsia="Calibri"/>
        </w:rPr>
        <w:t>Finalize release thresholds and governance sign-offs before full PEFT training.</w:t>
      </w:r>
    </w:p>
    <w:p>
      <w:pPr>
        <w:spacing w:before="0" w:after="160" w:line="280" w:lineRule="auto"/>
        <w:numPr>
          <w:ilvl w:val="0"/>
          <w:numId w:val="11"/>
        </w:numPr>
      </w:pPr>
      <w:r>
        <w:rPr>
          <w:rFonts w:ascii="Calibri" w:hAnsi="Calibri" w:eastAsia="Calibri"/>
        </w:rPr>
        <w:t>Create the detailed Draw.io architecture and operating-process map after process approval.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5F3F1"/>
          </w:tcPr>
          <w:p>
            <w:pPr>
              <w:spacing w:before="40" w:after="40"/>
            </w:pPr>
            <w:r>
              <w:rPr>
                <w:rFonts w:ascii="Calibri" w:hAnsi="Calibri" w:eastAsia="Calibri"/>
                <w:b/>
                <w:color w:val="2B7A78"/>
              </w:rPr>
              <w:t xml:space="preserve">Expected decision: </w:t>
            </w:r>
            <w:r>
              <w:rPr>
                <w:rFonts w:ascii="Calibri" w:hAnsi="Calibri" w:eastAsia="Calibri"/>
                <w:color w:val="222222"/>
              </w:rPr>
              <w:t>Approve this lifecycle as the working model-factory process and authorize a pilot to calibrate volumes, thresholds, cost and reviewer capacity.</w:t>
            </w:r>
          </w:p>
        </w:tc>
      </w:tr>
    </w:tbl>
    <w:p>
      <w:pPr>
        <w:spacing w:after="0"/>
      </w:pPr>
    </w:p>
    <w:sectPr w:rsidR="00FC693F" w:rsidRPr="0006063C" w:rsidSect="00034616">
      <w:headerReference w:type="default" r:id="rId10"/>
      <w:footerReference w:type="default" r:id="rId11"/>
      <w:pgSz w:w="12240" w:h="15840"/>
      <w:pgMar w:top="864" w:right="1440" w:bottom="86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jc w:val="left"/>
      <w:tblInd w:w="0" w:type="dxa"/>
    </w:tblPr>
    <w:tblGrid>
      <w:gridCol w:w="7000"/>
      <w:gridCol w:w="2360"/>
    </w:tblGrid>
    <w:tr>
      <w:tc>
        <w:tcPr>
          <w:tcW w:type="dxa" w:w="7000"/>
          <w:tcMar>
            <w:top w:w="80" w:type="dxa"/>
            <w:start w:w="120" w:type="dxa"/>
            <w:bottom w:w="80" w:type="dxa"/>
            <w:end w:w="120" w:type="dxa"/>
          </w:tcMar>
          <w:vAlign w:val="center"/>
        </w:tcPr>
        <w:p>
          <w:pPr>
            <w:spacing w:after="0"/>
          </w:pPr>
          <w:r>
            <w:rPr>
              <w:rFonts w:ascii="Calibri" w:hAnsi="Calibri" w:eastAsia="Calibri"/>
              <w:color w:val="5E6A76"/>
              <w:sz w:val="17"/>
            </w:rPr>
            <w:t>Internal working draft | August 2026</w:t>
          </w:r>
        </w:p>
      </w:tc>
      <w:tc>
        <w:tcPr>
          <w:tcW w:type="dxa" w:w="2360"/>
          <w:tcMar>
            <w:top w:w="80" w:type="dxa"/>
            <w:start w:w="120" w:type="dxa"/>
            <w:bottom w:w="80" w:type="dxa"/>
            <w:end w:w="120" w:type="dxa"/>
          </w:tcMar>
          <w:vAlign w:val="center"/>
        </w:tcPr>
        <w:p>
          <w:pPr>
            <w:spacing w:after="0"/>
            <w:jc w:val="right"/>
          </w:pPr>
          <w:r>
            <w:rPr>
              <w:rFonts w:ascii="Calibri" w:hAnsi="Calibri" w:eastAsia="Calibri"/>
              <w:color w:val="5E6A76"/>
              <w:sz w:val="17"/>
            </w:rPr>
            <w:t xml:space="preserve">Page </w:t>
          </w:r>
          <w:r>
            <w:rPr>
              <w:rFonts w:ascii="Calibri" w:hAnsi="Calibri" w:eastAsia="Calibri"/>
              <w:color w:val="5E6A76"/>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8DEE6"/>
      </w:pBdr>
    </w:pPr>
    <w:r>
      <w:rPr>
        <w:rFonts w:ascii="Calibri" w:hAnsi="Calibri" w:eastAsia="Calibri"/>
        <w:b/>
        <w:color w:val="5E6A76"/>
        <w:sz w:val="17"/>
      </w:rPr>
      <w:t>PEFT MODEL LIFECYCLE  |  MANAGEMENT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E6A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E6A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PEFT Model Fine-Tuning and Continuous-Improvement Process</dc:title>
  <dc:subject>Manager-ready PEFT process and governance guide</dc:subject>
  <dc:creator>Krishna Kumar</dc:creator>
  <cp:keywords>PEFT, LoRA, QLoRA, model evaluation, continuous training, human-in-the-loop</cp:keywords>
  <dc:description>Internal working draft generated for management discussion.</dc:description>
  <cp:lastModifiedBy/>
  <cp:revision>1</cp:revision>
  <dcterms:created xsi:type="dcterms:W3CDTF">2013-12-23T23:15:00Z</dcterms:created>
  <dcterms:modified xsi:type="dcterms:W3CDTF">2013-12-23T23:15:00Z</dcterms:modified>
  <cp:category/>
</cp:coreProperties>
</file>