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Operations Technology Ownership of Domain Agents</w:t>
      </w:r>
    </w:p>
    <w:p>
      <w:pPr>
        <w:pStyle w:val="BriefSubtitle"/>
      </w:pPr>
      <w:r>
        <w:t>Executive briefing note for the ownership discussion</w:t>
      </w:r>
    </w:p>
    <w:p>
      <w:r>
        <w:rPr>
          <w:b/>
        </w:rPr>
        <w:t xml:space="preserve">Recommendation. </w:t>
      </w:r>
      <w:r>
        <w:t>Market Operations Technology should own the domain-agent product from investigation through governed action. GRU should retain authority for generating and transmitting the break. Operations and subject matter experts should define policy and review exceptions, while platform engineering supplies the common runtime and controls.</w:t>
      </w:r>
    </w:p>
    <w:p>
      <w:r>
        <w:rPr>
          <w:b/>
        </w:rPr>
        <w:t xml:space="preserve">Important distinction. </w:t>
      </w:r>
      <w:r>
        <w:t>Ownership does not mean that Operations analysts alone write production code. Analysts and SMEs specify business intent, required evidence, exception paths and acceptance criteria. MOT engineers convert that knowledge into a versioned package of prompts, tools, skills, deterministic agents, evaluations and workflow controls.</w:t>
      </w:r>
    </w:p>
    <w:p>
      <w:pPr>
        <w:pStyle w:val="Heading1"/>
        <w:keepNext/>
      </w:pPr>
      <w:r>
        <w:t>The core rationale</w:t>
      </w:r>
    </w:p>
    <w:p>
      <w:pPr>
        <w:pStyle w:val="ListBullet"/>
      </w:pPr>
      <w:r>
        <w:rPr>
          <w:b/>
        </w:rPr>
        <w:t xml:space="preserve">Ownership follows resolution accountability. </w:t>
      </w:r>
      <w:r>
        <w:t>MOT owns the operational systems and the logic used to investigate, explain and resolve breaks. The owner of the outcome should control the agent behavior that produces it.</w:t>
      </w:r>
    </w:p>
    <w:p>
      <w:pPr>
        <w:pStyle w:val="ListBullet"/>
      </w:pPr>
      <w:r>
        <w:rPr>
          <w:b/>
        </w:rPr>
        <w:t xml:space="preserve">Most of the agent is domain software. </w:t>
      </w:r>
      <w:r>
        <w:t>In the Fails agent, approximately 70 to 75 percent of behavior comes from deterministic checks, system queries, workflow sequencing and controlled write-back. The LLM performs approximately 25 to 30 percent of the work, primarily classification, synthesis, commentary and interpretation of ambiguous cases.</w:t>
      </w:r>
    </w:p>
    <w:p>
      <w:pPr>
        <w:pStyle w:val="ListBullet"/>
      </w:pPr>
      <w:r>
        <w:rPr>
          <w:b/>
        </w:rPr>
        <w:t xml:space="preserve">Evaluations are business policy. </w:t>
      </w:r>
      <w:r>
        <w:t>An evaluation decides whether evidence is sufficient, whether a policy threshold has been met, whether an action is permitted and when a human must review the case. These are domain decisions, not generic model-quality checks.</w:t>
      </w:r>
    </w:p>
    <w:p>
      <w:pPr>
        <w:pStyle w:val="ListBullet"/>
      </w:pPr>
      <w:r>
        <w:rPr>
          <w:b/>
        </w:rPr>
        <w:t xml:space="preserve">Agents change with the process. </w:t>
      </w:r>
      <w:r>
        <w:t>New products, policy changes and exception paths alter both the agent logic and its tests. MOT needs a short feedback loop with Operations and SMEs so that human corrections become controlled updates to rules, prompts, skills and evaluations.</w:t>
      </w:r>
    </w:p>
    <w:p>
      <w:pPr>
        <w:pStyle w:val="Heading1"/>
        <w:keepNext/>
      </w:pPr>
      <w:r>
        <w:t>What MOT owns</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3331"/>
        <w:gridCol w:w="3331"/>
        <w:gridCol w:w="3331"/>
      </w:tblGrid>
      <w:tr>
        <w:trPr>
          <w:tblHeader w:val="true"/>
        </w:trPr>
        <w:tc>
          <w:tcPr>
            <w:tcW w:type="dxa" w:w="2232"/>
            <w:shd w:fill="0A2342"/>
            <w:tcMar>
              <w:top w:w="110" w:type="dxa"/>
              <w:start w:w="130" w:type="dxa"/>
              <w:bottom w:w="110" w:type="dxa"/>
              <w:end w:w="130" w:type="dxa"/>
            </w:tcMar>
            <w:vAlign w:val="center"/>
          </w:tcPr>
          <w:p>
            <w:pPr>
              <w:jc w:val="left"/>
            </w:pPr>
            <w:r>
              <w:rPr>
                <w:b/>
                <w:color w:val="FFFFFF"/>
                <w:sz w:val="19"/>
              </w:rPr>
              <w:t>Component</w:t>
            </w:r>
          </w:p>
        </w:tc>
        <w:tc>
          <w:tcPr>
            <w:tcW w:type="dxa" w:w="4680"/>
            <w:shd w:fill="0A2342"/>
            <w:tcMar>
              <w:top w:w="110" w:type="dxa"/>
              <w:start w:w="130" w:type="dxa"/>
              <w:bottom w:w="110" w:type="dxa"/>
              <w:end w:w="130" w:type="dxa"/>
            </w:tcMar>
            <w:vAlign w:val="center"/>
          </w:tcPr>
          <w:p>
            <w:pPr>
              <w:jc w:val="left"/>
            </w:pPr>
            <w:r>
              <w:rPr>
                <w:b/>
                <w:color w:val="FFFFFF"/>
                <w:sz w:val="19"/>
              </w:rPr>
              <w:t>Business purpose</w:t>
            </w:r>
          </w:p>
        </w:tc>
        <w:tc>
          <w:tcPr>
            <w:tcW w:type="dxa" w:w="2952"/>
            <w:shd w:fill="0A2342"/>
            <w:tcMar>
              <w:top w:w="110" w:type="dxa"/>
              <w:start w:w="130" w:type="dxa"/>
              <w:bottom w:w="110" w:type="dxa"/>
              <w:end w:w="130" w:type="dxa"/>
            </w:tcMar>
            <w:vAlign w:val="center"/>
          </w:tcPr>
          <w:p>
            <w:pPr>
              <w:jc w:val="left"/>
            </w:pPr>
            <w:r>
              <w:rPr>
                <w:b/>
                <w:color w:val="FFFFFF"/>
                <w:sz w:val="19"/>
              </w:rPr>
              <w:t>Why MOT ownership matters</w:t>
            </w:r>
          </w:p>
        </w:tc>
      </w:tr>
      <w:tr>
        <w:tc>
          <w:tcPr>
            <w:tcW w:type="dxa" w:w="2232"/>
            <w:tcMar>
              <w:top w:w="110" w:type="dxa"/>
              <w:start w:w="130" w:type="dxa"/>
              <w:bottom w:w="110" w:type="dxa"/>
              <w:end w:w="130" w:type="dxa"/>
            </w:tcMar>
            <w:vAlign w:val="center"/>
          </w:tcPr>
          <w:p>
            <w:pPr>
              <w:spacing w:after="0"/>
            </w:pPr>
            <w:r>
              <w:rPr>
                <w:sz w:val="18"/>
              </w:rPr>
              <w:t>Prompts and context</w:t>
            </w:r>
          </w:p>
        </w:tc>
        <w:tc>
          <w:tcPr>
            <w:tcW w:type="dxa" w:w="4680"/>
            <w:tcMar>
              <w:top w:w="110" w:type="dxa"/>
              <w:start w:w="130" w:type="dxa"/>
              <w:bottom w:w="110" w:type="dxa"/>
              <w:end w:w="130" w:type="dxa"/>
            </w:tcMar>
            <w:vAlign w:val="center"/>
          </w:tcPr>
          <w:p>
            <w:pPr>
              <w:spacing w:after="0"/>
            </w:pPr>
            <w:r>
              <w:rPr>
                <w:sz w:val="18"/>
              </w:rPr>
              <w:t>Express business intent and provide case evidence</w:t>
            </w:r>
          </w:p>
        </w:tc>
        <w:tc>
          <w:tcPr>
            <w:tcW w:type="dxa" w:w="2952"/>
            <w:tcMar>
              <w:top w:w="110" w:type="dxa"/>
              <w:start w:w="130" w:type="dxa"/>
              <w:bottom w:w="110" w:type="dxa"/>
              <w:end w:w="130" w:type="dxa"/>
            </w:tcMar>
            <w:vAlign w:val="center"/>
          </w:tcPr>
          <w:p>
            <w:pPr>
              <w:spacing w:after="0"/>
            </w:pPr>
            <w:r>
              <w:rPr>
                <w:sz w:val="18"/>
              </w:rPr>
              <w:t>Requires domain vocabulary, process state and policy interpretation</w:t>
            </w:r>
          </w:p>
        </w:tc>
      </w:tr>
      <w:tr>
        <w:tc>
          <w:tcPr>
            <w:tcW w:type="dxa" w:w="2232"/>
            <w:tcMar>
              <w:top w:w="110" w:type="dxa"/>
              <w:start w:w="130" w:type="dxa"/>
              <w:bottom w:w="110" w:type="dxa"/>
              <w:end w:w="130" w:type="dxa"/>
            </w:tcMar>
            <w:vAlign w:val="center"/>
            <w:shd w:fill="F3F7FB"/>
          </w:tcPr>
          <w:p>
            <w:pPr>
              <w:spacing w:after="0"/>
            </w:pPr>
            <w:r>
              <w:rPr>
                <w:sz w:val="18"/>
              </w:rPr>
              <w:t>Skills and tools</w:t>
            </w:r>
          </w:p>
        </w:tc>
        <w:tc>
          <w:tcPr>
            <w:tcW w:type="dxa" w:w="4680"/>
            <w:tcMar>
              <w:top w:w="110" w:type="dxa"/>
              <w:start w:w="130" w:type="dxa"/>
              <w:bottom w:w="110" w:type="dxa"/>
              <w:end w:w="130" w:type="dxa"/>
            </w:tcMar>
            <w:vAlign w:val="center"/>
            <w:shd w:fill="F3F7FB"/>
          </w:tcPr>
          <w:p>
            <w:pPr>
              <w:spacing w:after="0"/>
            </w:pPr>
            <w:r>
              <w:rPr>
                <w:sz w:val="18"/>
              </w:rPr>
              <w:t>Access approved systems and execute bounded capabilities</w:t>
            </w:r>
          </w:p>
        </w:tc>
        <w:tc>
          <w:tcPr>
            <w:tcW w:type="dxa" w:w="2952"/>
            <w:tcMar>
              <w:top w:w="110" w:type="dxa"/>
              <w:start w:w="130" w:type="dxa"/>
              <w:bottom w:w="110" w:type="dxa"/>
              <w:end w:w="130" w:type="dxa"/>
            </w:tcMar>
            <w:vAlign w:val="center"/>
            <w:shd w:fill="F3F7FB"/>
          </w:tcPr>
          <w:p>
            <w:pPr>
              <w:spacing w:after="0"/>
            </w:pPr>
            <w:r>
              <w:rPr>
                <w:sz w:val="18"/>
              </w:rPr>
              <w:t>Depends on system ownership, data meaning and entitlements</w:t>
            </w:r>
          </w:p>
        </w:tc>
      </w:tr>
      <w:tr>
        <w:tc>
          <w:tcPr>
            <w:tcW w:type="dxa" w:w="2232"/>
            <w:tcMar>
              <w:top w:w="110" w:type="dxa"/>
              <w:start w:w="130" w:type="dxa"/>
              <w:bottom w:w="110" w:type="dxa"/>
              <w:end w:w="130" w:type="dxa"/>
            </w:tcMar>
            <w:vAlign w:val="center"/>
          </w:tcPr>
          <w:p>
            <w:pPr>
              <w:spacing w:after="0"/>
            </w:pPr>
            <w:r>
              <w:rPr>
                <w:sz w:val="18"/>
              </w:rPr>
              <w:t>Deterministic agents</w:t>
            </w:r>
          </w:p>
        </w:tc>
        <w:tc>
          <w:tcPr>
            <w:tcW w:type="dxa" w:w="4680"/>
            <w:tcMar>
              <w:top w:w="110" w:type="dxa"/>
              <w:start w:w="130" w:type="dxa"/>
              <w:bottom w:w="110" w:type="dxa"/>
              <w:end w:w="130" w:type="dxa"/>
            </w:tcMar>
            <w:vAlign w:val="center"/>
          </w:tcPr>
          <w:p>
            <w:pPr>
              <w:spacing w:after="0"/>
            </w:pPr>
            <w:r>
              <w:rPr>
                <w:sz w:val="18"/>
              </w:rPr>
              <w:t>Run checks, comparisons, sequencing and controlled write-back</w:t>
            </w:r>
          </w:p>
        </w:tc>
        <w:tc>
          <w:tcPr>
            <w:tcW w:type="dxa" w:w="2952"/>
            <w:tcMar>
              <w:top w:w="110" w:type="dxa"/>
              <w:start w:w="130" w:type="dxa"/>
              <w:bottom w:w="110" w:type="dxa"/>
              <w:end w:w="130" w:type="dxa"/>
            </w:tcMar>
            <w:vAlign w:val="center"/>
          </w:tcPr>
          <w:p>
            <w:pPr>
              <w:spacing w:after="0"/>
            </w:pPr>
            <w:r>
              <w:rPr>
                <w:sz w:val="18"/>
              </w:rPr>
              <w:t>Implements the existing operational code path and controls</w:t>
            </w:r>
          </w:p>
        </w:tc>
      </w:tr>
      <w:tr>
        <w:tc>
          <w:tcPr>
            <w:tcW w:type="dxa" w:w="2232"/>
            <w:tcMar>
              <w:top w:w="110" w:type="dxa"/>
              <w:start w:w="130" w:type="dxa"/>
              <w:bottom w:w="110" w:type="dxa"/>
              <w:end w:w="130" w:type="dxa"/>
            </w:tcMar>
            <w:vAlign w:val="center"/>
            <w:shd w:fill="F3F7FB"/>
          </w:tcPr>
          <w:p>
            <w:pPr>
              <w:spacing w:after="0"/>
            </w:pPr>
            <w:r>
              <w:rPr>
                <w:sz w:val="18"/>
              </w:rPr>
              <w:t>Evaluations and guardrails</w:t>
            </w:r>
          </w:p>
        </w:tc>
        <w:tc>
          <w:tcPr>
            <w:tcW w:type="dxa" w:w="4680"/>
            <w:tcMar>
              <w:top w:w="110" w:type="dxa"/>
              <w:start w:w="130" w:type="dxa"/>
              <w:bottom w:w="110" w:type="dxa"/>
              <w:end w:w="130" w:type="dxa"/>
            </w:tcMar>
            <w:vAlign w:val="center"/>
            <w:shd w:fill="F3F7FB"/>
          </w:tcPr>
          <w:p>
            <w:pPr>
              <w:spacing w:after="0"/>
            </w:pPr>
            <w:r>
              <w:rPr>
                <w:sz w:val="18"/>
              </w:rPr>
              <w:t>Test facts, policy compliance, confidence and completeness</w:t>
            </w:r>
          </w:p>
        </w:tc>
        <w:tc>
          <w:tcPr>
            <w:tcW w:type="dxa" w:w="2952"/>
            <w:tcMar>
              <w:top w:w="110" w:type="dxa"/>
              <w:start w:w="130" w:type="dxa"/>
              <w:bottom w:w="110" w:type="dxa"/>
              <w:end w:w="130" w:type="dxa"/>
            </w:tcMar>
            <w:vAlign w:val="center"/>
            <w:shd w:fill="F3F7FB"/>
          </w:tcPr>
          <w:p>
            <w:pPr>
              <w:spacing w:after="0"/>
            </w:pPr>
            <w:r>
              <w:rPr>
                <w:sz w:val="18"/>
              </w:rPr>
              <w:t>Encodes the domain standard for a defensible decision</w:t>
            </w:r>
          </w:p>
        </w:tc>
      </w:tr>
      <w:tr>
        <w:tc>
          <w:tcPr>
            <w:tcW w:type="dxa" w:w="2232"/>
            <w:tcMar>
              <w:top w:w="110" w:type="dxa"/>
              <w:start w:w="130" w:type="dxa"/>
              <w:bottom w:w="110" w:type="dxa"/>
              <w:end w:w="130" w:type="dxa"/>
            </w:tcMar>
            <w:vAlign w:val="center"/>
          </w:tcPr>
          <w:p>
            <w:pPr>
              <w:spacing w:after="0"/>
            </w:pPr>
            <w:r>
              <w:rPr>
                <w:sz w:val="18"/>
              </w:rPr>
              <w:t>Human review</w:t>
            </w:r>
          </w:p>
        </w:tc>
        <w:tc>
          <w:tcPr>
            <w:tcW w:type="dxa" w:w="4680"/>
            <w:tcMar>
              <w:top w:w="110" w:type="dxa"/>
              <w:start w:w="130" w:type="dxa"/>
              <w:bottom w:w="110" w:type="dxa"/>
              <w:end w:w="130" w:type="dxa"/>
            </w:tcMar>
            <w:vAlign w:val="center"/>
          </w:tcPr>
          <w:p>
            <w:pPr>
              <w:spacing w:after="0"/>
            </w:pPr>
            <w:r>
              <w:rPr>
                <w:sz w:val="18"/>
              </w:rPr>
              <w:t>Approve, correct or escalate before consequential action</w:t>
            </w:r>
          </w:p>
        </w:tc>
        <w:tc>
          <w:tcPr>
            <w:tcW w:type="dxa" w:w="2952"/>
            <w:tcMar>
              <w:top w:w="110" w:type="dxa"/>
              <w:start w:w="130" w:type="dxa"/>
              <w:bottom w:w="110" w:type="dxa"/>
              <w:end w:w="130" w:type="dxa"/>
            </w:tcMar>
            <w:vAlign w:val="center"/>
          </w:tcPr>
          <w:p>
            <w:pPr>
              <w:spacing w:after="0"/>
            </w:pPr>
            <w:r>
              <w:rPr>
                <w:sz w:val="18"/>
              </w:rPr>
              <w:t>Creates feedback that can reveal a policy gap or incorrect enforcement</w:t>
            </w:r>
          </w:p>
        </w:tc>
      </w:tr>
    </w:tbl>
    <w:p>
      <w:r>
        <w:br w:type="page"/>
      </w:r>
    </w:p>
    <w:p>
      <w:pPr>
        <w:pStyle w:val="Heading1"/>
        <w:keepNext/>
      </w:pPr>
      <w:r>
        <w:t>Federated ownership model</w:t>
      </w:r>
    </w:p>
    <w:p>
      <w:r>
        <w:t>The clean separation is between break-source authority, domain resolution authority and platform capability. This allows agents to communicate across domains without transferring accountability or creating one unbounded agent that is difficult to test and audit.</w:t>
      </w:r>
    </w:p>
    <w:tbl>
      <w:tblPr>
        <w:tblW w:type="auto" w:w="0"/>
        <w:jc w:val="center"/>
        <w:tblLayout w:type="fixed"/>
        <w:tblLook w:firstColumn="1" w:firstRow="1" w:lastColumn="0" w:lastRow="0" w:noHBand="0" w:noVBand="1" w:val="04A0"/>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498"/>
        <w:gridCol w:w="2498"/>
        <w:gridCol w:w="2498"/>
        <w:gridCol w:w="2498"/>
      </w:tblGrid>
      <w:tr>
        <w:trPr>
          <w:tblHeader w:val="true"/>
        </w:trPr>
        <w:tc>
          <w:tcPr>
            <w:tcW w:type="dxa" w:w="2016"/>
            <w:shd w:fill="0057B8"/>
            <w:tcMar>
              <w:top w:w="110" w:type="dxa"/>
              <w:start w:w="130" w:type="dxa"/>
              <w:bottom w:w="110" w:type="dxa"/>
              <w:end w:w="130" w:type="dxa"/>
            </w:tcMar>
            <w:vAlign w:val="center"/>
          </w:tcPr>
          <w:p>
            <w:r>
              <w:rPr>
                <w:b/>
                <w:color w:val="FFFFFF"/>
                <w:sz w:val="18"/>
              </w:rPr>
              <w:t>Team</w:t>
            </w:r>
          </w:p>
        </w:tc>
        <w:tc>
          <w:tcPr>
            <w:tcW w:type="dxa" w:w="3312"/>
            <w:shd w:fill="0057B8"/>
            <w:tcMar>
              <w:top w:w="110" w:type="dxa"/>
              <w:start w:w="130" w:type="dxa"/>
              <w:bottom w:w="110" w:type="dxa"/>
              <w:end w:w="130" w:type="dxa"/>
            </w:tcMar>
            <w:vAlign w:val="center"/>
          </w:tcPr>
          <w:p>
            <w:r>
              <w:rPr>
                <w:b/>
                <w:color w:val="FFFFFF"/>
                <w:sz w:val="18"/>
              </w:rPr>
              <w:t>Primary accountability</w:t>
            </w:r>
          </w:p>
        </w:tc>
        <w:tc>
          <w:tcPr>
            <w:tcW w:type="dxa" w:w="2880"/>
            <w:shd w:fill="0057B8"/>
            <w:tcMar>
              <w:top w:w="110" w:type="dxa"/>
              <w:start w:w="130" w:type="dxa"/>
              <w:bottom w:w="110" w:type="dxa"/>
              <w:end w:w="130" w:type="dxa"/>
            </w:tcMar>
            <w:vAlign w:val="center"/>
          </w:tcPr>
          <w:p>
            <w:r>
              <w:rPr>
                <w:b/>
                <w:color w:val="FFFFFF"/>
                <w:sz w:val="18"/>
              </w:rPr>
              <w:t>Key deliverables</w:t>
            </w:r>
          </w:p>
        </w:tc>
        <w:tc>
          <w:tcPr>
            <w:tcW w:type="dxa" w:w="1728"/>
            <w:shd w:fill="0057B8"/>
            <w:tcMar>
              <w:top w:w="110" w:type="dxa"/>
              <w:start w:w="130" w:type="dxa"/>
              <w:bottom w:w="110" w:type="dxa"/>
              <w:end w:w="130" w:type="dxa"/>
            </w:tcMar>
            <w:vAlign w:val="center"/>
          </w:tcPr>
          <w:p>
            <w:r>
              <w:rPr>
                <w:b/>
                <w:color w:val="FFFFFF"/>
                <w:sz w:val="18"/>
              </w:rPr>
              <w:t>Decision right</w:t>
            </w:r>
          </w:p>
        </w:tc>
      </w:tr>
      <w:tr>
        <w:tc>
          <w:tcPr>
            <w:tcW w:type="dxa" w:w="2016"/>
            <w:tcMar>
              <w:top w:w="110" w:type="dxa"/>
              <w:start w:w="130" w:type="dxa"/>
              <w:bottom w:w="110" w:type="dxa"/>
              <w:end w:w="130" w:type="dxa"/>
            </w:tcMar>
            <w:vAlign w:val="center"/>
          </w:tcPr>
          <w:p>
            <w:pPr>
              <w:spacing w:after="0"/>
            </w:pPr>
            <w:r>
              <w:rPr>
                <w:sz w:val="17"/>
              </w:rPr>
              <w:t>GRU</w:t>
            </w:r>
          </w:p>
        </w:tc>
        <w:tc>
          <w:tcPr>
            <w:tcW w:type="dxa" w:w="3312"/>
            <w:tcMar>
              <w:top w:w="110" w:type="dxa"/>
              <w:start w:w="130" w:type="dxa"/>
              <w:bottom w:w="110" w:type="dxa"/>
              <w:end w:w="130" w:type="dxa"/>
            </w:tcMar>
            <w:vAlign w:val="center"/>
          </w:tcPr>
          <w:p>
            <w:pPr>
              <w:spacing w:after="0"/>
            </w:pPr>
            <w:r>
              <w:rPr>
                <w:sz w:val="17"/>
              </w:rPr>
              <w:t>Create and transmit the authoritative break</w:t>
            </w:r>
          </w:p>
        </w:tc>
        <w:tc>
          <w:tcPr>
            <w:tcW w:type="dxa" w:w="2880"/>
            <w:tcMar>
              <w:top w:w="110" w:type="dxa"/>
              <w:start w:w="130" w:type="dxa"/>
              <w:bottom w:w="110" w:type="dxa"/>
              <w:end w:w="130" w:type="dxa"/>
            </w:tcMar>
            <w:vAlign w:val="center"/>
          </w:tcPr>
          <w:p>
            <w:pPr>
              <w:spacing w:after="0"/>
            </w:pPr>
            <w:r>
              <w:rPr>
                <w:sz w:val="17"/>
              </w:rPr>
              <w:t>Break payload, source schema, break taxonomy and root-to-root contract</w:t>
            </w:r>
          </w:p>
        </w:tc>
        <w:tc>
          <w:tcPr>
            <w:tcW w:type="dxa" w:w="1728"/>
            <w:tcMar>
              <w:top w:w="110" w:type="dxa"/>
              <w:start w:w="130" w:type="dxa"/>
              <w:bottom w:w="110" w:type="dxa"/>
              <w:end w:w="130" w:type="dxa"/>
            </w:tcMar>
            <w:vAlign w:val="center"/>
          </w:tcPr>
          <w:p>
            <w:pPr>
              <w:spacing w:after="0"/>
            </w:pPr>
            <w:r>
              <w:rPr>
                <w:sz w:val="17"/>
              </w:rPr>
              <w:t>What constitutes a break</w:t>
            </w:r>
          </w:p>
        </w:tc>
      </w:tr>
      <w:tr>
        <w:tc>
          <w:tcPr>
            <w:tcW w:type="dxa" w:w="2016"/>
            <w:tcMar>
              <w:top w:w="110" w:type="dxa"/>
              <w:start w:w="130" w:type="dxa"/>
              <w:bottom w:w="110" w:type="dxa"/>
              <w:end w:w="130" w:type="dxa"/>
            </w:tcMar>
            <w:vAlign w:val="center"/>
            <w:shd w:fill="EAF2FC"/>
          </w:tcPr>
          <w:p>
            <w:pPr>
              <w:spacing w:after="0"/>
            </w:pPr>
            <w:r>
              <w:rPr>
                <w:sz w:val="17"/>
              </w:rPr>
              <w:t>MOT</w:t>
            </w:r>
          </w:p>
        </w:tc>
        <w:tc>
          <w:tcPr>
            <w:tcW w:type="dxa" w:w="3312"/>
            <w:tcMar>
              <w:top w:w="110" w:type="dxa"/>
              <w:start w:w="130" w:type="dxa"/>
              <w:bottom w:w="110" w:type="dxa"/>
              <w:end w:w="130" w:type="dxa"/>
            </w:tcMar>
            <w:vAlign w:val="center"/>
            <w:shd w:fill="EAF2FC"/>
          </w:tcPr>
          <w:p>
            <w:pPr>
              <w:spacing w:after="0"/>
            </w:pPr>
            <w:r>
              <w:rPr>
                <w:sz w:val="17"/>
              </w:rPr>
              <w:t>Own the investigation-to-action agent product</w:t>
            </w:r>
          </w:p>
        </w:tc>
        <w:tc>
          <w:tcPr>
            <w:tcW w:type="dxa" w:w="2880"/>
            <w:tcMar>
              <w:top w:w="110" w:type="dxa"/>
              <w:start w:w="130" w:type="dxa"/>
              <w:bottom w:w="110" w:type="dxa"/>
              <w:end w:w="130" w:type="dxa"/>
            </w:tcMar>
            <w:vAlign w:val="center"/>
            <w:shd w:fill="EAF2FC"/>
          </w:tcPr>
          <w:p>
            <w:pPr>
              <w:spacing w:after="0"/>
            </w:pPr>
            <w:r>
              <w:rPr>
                <w:sz w:val="17"/>
              </w:rPr>
              <w:t>Agent code, prompts, skills, tools, evaluations, deployment, monitoring and change control</w:t>
            </w:r>
          </w:p>
        </w:tc>
        <w:tc>
          <w:tcPr>
            <w:tcW w:type="dxa" w:w="1728"/>
            <w:tcMar>
              <w:top w:w="110" w:type="dxa"/>
              <w:start w:w="130" w:type="dxa"/>
              <w:bottom w:w="110" w:type="dxa"/>
              <w:end w:w="130" w:type="dxa"/>
            </w:tcMar>
            <w:vAlign w:val="center"/>
            <w:shd w:fill="EAF2FC"/>
          </w:tcPr>
          <w:p>
            <w:pPr>
              <w:spacing w:after="0"/>
            </w:pPr>
            <w:r>
              <w:rPr>
                <w:sz w:val="17"/>
              </w:rPr>
              <w:t>How the break is investigated and resolved</w:t>
            </w:r>
          </w:p>
        </w:tc>
      </w:tr>
      <w:tr>
        <w:tc>
          <w:tcPr>
            <w:tcW w:type="dxa" w:w="2016"/>
            <w:tcMar>
              <w:top w:w="110" w:type="dxa"/>
              <w:start w:w="130" w:type="dxa"/>
              <w:bottom w:w="110" w:type="dxa"/>
              <w:end w:w="130" w:type="dxa"/>
            </w:tcMar>
            <w:vAlign w:val="center"/>
          </w:tcPr>
          <w:p>
            <w:pPr>
              <w:spacing w:after="0"/>
            </w:pPr>
            <w:r>
              <w:rPr>
                <w:sz w:val="17"/>
              </w:rPr>
              <w:t>Operations and SMEs</w:t>
            </w:r>
          </w:p>
        </w:tc>
        <w:tc>
          <w:tcPr>
            <w:tcW w:type="dxa" w:w="3312"/>
            <w:tcMar>
              <w:top w:w="110" w:type="dxa"/>
              <w:start w:w="130" w:type="dxa"/>
              <w:bottom w:w="110" w:type="dxa"/>
              <w:end w:w="130" w:type="dxa"/>
            </w:tcMar>
            <w:vAlign w:val="center"/>
          </w:tcPr>
          <w:p>
            <w:pPr>
              <w:spacing w:after="0"/>
            </w:pPr>
            <w:r>
              <w:rPr>
                <w:sz w:val="17"/>
              </w:rPr>
              <w:t>Own policy intent and human judgment</w:t>
            </w:r>
          </w:p>
        </w:tc>
        <w:tc>
          <w:tcPr>
            <w:tcW w:type="dxa" w:w="2880"/>
            <w:tcMar>
              <w:top w:w="110" w:type="dxa"/>
              <w:start w:w="130" w:type="dxa"/>
              <w:bottom w:w="110" w:type="dxa"/>
              <w:end w:w="130" w:type="dxa"/>
            </w:tcMar>
            <w:vAlign w:val="center"/>
          </w:tcPr>
          <w:p>
            <w:pPr>
              <w:spacing w:after="0"/>
            </w:pPr>
            <w:r>
              <w:rPr>
                <w:sz w:val="17"/>
              </w:rPr>
              <w:t>Policy interpretation, exception review, approval criteria and correction feedback</w:t>
            </w:r>
          </w:p>
        </w:tc>
        <w:tc>
          <w:tcPr>
            <w:tcW w:type="dxa" w:w="1728"/>
            <w:tcMar>
              <w:top w:w="110" w:type="dxa"/>
              <w:start w:w="130" w:type="dxa"/>
              <w:bottom w:w="110" w:type="dxa"/>
              <w:end w:w="130" w:type="dxa"/>
            </w:tcMar>
            <w:vAlign w:val="center"/>
          </w:tcPr>
          <w:p>
            <w:pPr>
              <w:spacing w:after="0"/>
            </w:pPr>
            <w:r>
              <w:rPr>
                <w:sz w:val="17"/>
              </w:rPr>
              <w:t>Whether evidence supports the proposed action</w:t>
            </w:r>
          </w:p>
        </w:tc>
      </w:tr>
      <w:tr>
        <w:tc>
          <w:tcPr>
            <w:tcW w:type="dxa" w:w="2016"/>
            <w:tcMar>
              <w:top w:w="110" w:type="dxa"/>
              <w:start w:w="130" w:type="dxa"/>
              <w:bottom w:w="110" w:type="dxa"/>
              <w:end w:w="130" w:type="dxa"/>
            </w:tcMar>
            <w:vAlign w:val="center"/>
            <w:shd w:fill="EAF2FC"/>
          </w:tcPr>
          <w:p>
            <w:pPr>
              <w:spacing w:after="0"/>
            </w:pPr>
            <w:r>
              <w:rPr>
                <w:sz w:val="17"/>
              </w:rPr>
              <w:t>Platform engineering</w:t>
            </w:r>
          </w:p>
        </w:tc>
        <w:tc>
          <w:tcPr>
            <w:tcW w:type="dxa" w:w="3312"/>
            <w:tcMar>
              <w:top w:w="110" w:type="dxa"/>
              <w:start w:w="130" w:type="dxa"/>
              <w:bottom w:w="110" w:type="dxa"/>
              <w:end w:w="130" w:type="dxa"/>
            </w:tcMar>
            <w:vAlign w:val="center"/>
            <w:shd w:fill="EAF2FC"/>
          </w:tcPr>
          <w:p>
            <w:pPr>
              <w:spacing w:after="0"/>
            </w:pPr>
            <w:r>
              <w:rPr>
                <w:sz w:val="17"/>
              </w:rPr>
              <w:t>Provide reusable enterprise capabilities</w:t>
            </w:r>
          </w:p>
        </w:tc>
        <w:tc>
          <w:tcPr>
            <w:tcW w:type="dxa" w:w="2880"/>
            <w:tcMar>
              <w:top w:w="110" w:type="dxa"/>
              <w:start w:w="130" w:type="dxa"/>
              <w:bottom w:w="110" w:type="dxa"/>
              <w:end w:w="130" w:type="dxa"/>
            </w:tcMar>
            <w:vAlign w:val="center"/>
            <w:shd w:fill="EAF2FC"/>
          </w:tcPr>
          <w:p>
            <w:pPr>
              <w:spacing w:after="0"/>
            </w:pPr>
            <w:r>
              <w:rPr>
                <w:sz w:val="17"/>
              </w:rPr>
              <w:t>Secure runtime, tool gateway, identity, observability, CI/CD, scaling and resilience</w:t>
            </w:r>
          </w:p>
        </w:tc>
        <w:tc>
          <w:tcPr>
            <w:tcW w:type="dxa" w:w="1728"/>
            <w:tcMar>
              <w:top w:w="110" w:type="dxa"/>
              <w:start w:w="130" w:type="dxa"/>
              <w:bottom w:w="110" w:type="dxa"/>
              <w:end w:w="130" w:type="dxa"/>
            </w:tcMar>
            <w:vAlign w:val="center"/>
            <w:shd w:fill="EAF2FC"/>
          </w:tcPr>
          <w:p>
            <w:pPr>
              <w:spacing w:after="0"/>
            </w:pPr>
            <w:r>
              <w:rPr>
                <w:sz w:val="17"/>
              </w:rPr>
              <w:t>How the runtime meets technology standards</w:t>
            </w:r>
          </w:p>
        </w:tc>
      </w:tr>
    </w:tbl>
    <w:p>
      <w:pPr>
        <w:pStyle w:val="Heading1"/>
        <w:keepNext/>
      </w:pPr>
      <w:r>
        <w:t>Lifecycle and feedback</w:t>
      </w:r>
    </w:p>
    <w:p>
      <w:r>
        <w:t>The workflow may be asynchronous, but it remains one controlled lifecycle. GRU sends the break. MOT triages and investigates it, obtains human review where required, executes or coordinates the approved action, and sends the outcome and evidence back to the break ecosystem. MOT and Operations then use the feedback to fix the immediate case and, where appropriate, remove the root cause.</w:t>
      </w:r>
    </w:p>
    <w:p>
      <w:pPr>
        <w:pStyle w:val="Heading2"/>
        <w:keepNext/>
      </w:pPr>
      <w:r>
        <w:t>Conversation AI as decision support</w:t>
      </w:r>
    </w:p>
    <w:p>
      <w:r>
        <w:t>Conversation AI should sit beside the domain agents. It can inspect approved tool responses, the event trajectory, evaluation results and workflow state, then explain the evidence to an Operations analyst. It should support the decision, not create authority. The underlying tools, entitlements, policies and action gates continue to control what the system can do.</w:t>
      </w:r>
    </w:p>
    <w:p>
      <w:pPr>
        <w:pStyle w:val="Heading1"/>
        <w:keepNext/>
      </w:pPr>
      <w:r>
        <w:t>Fails agent example</w:t>
      </w:r>
    </w:p>
    <w:p>
      <w:pPr>
        <w:pStyle w:val="ListBullet"/>
      </w:pPr>
      <w:r>
        <w:rPr>
          <w:b/>
        </w:rPr>
        <w:t xml:space="preserve">Break intake. </w:t>
      </w:r>
      <w:r>
        <w:t>ATM supplies the Fails break and remains the source authority for that event.</w:t>
      </w:r>
    </w:p>
    <w:p>
      <w:pPr>
        <w:pStyle w:val="ListBullet"/>
      </w:pPr>
      <w:r>
        <w:rPr>
          <w:b/>
        </w:rPr>
        <w:t xml:space="preserve">MOT investigation. </w:t>
      </w:r>
      <w:r>
        <w:t>The MOT orchestrator classifies the case, calls the relevant systems, performs deterministic comparisons, develops the root-cause analysis and prepares evidence-backed commentary.</w:t>
      </w:r>
    </w:p>
    <w:p>
      <w:pPr>
        <w:pStyle w:val="ListBullet"/>
      </w:pPr>
      <w:r>
        <w:rPr>
          <w:b/>
        </w:rPr>
        <w:t xml:space="preserve">Human review and action. </w:t>
      </w:r>
      <w:r>
        <w:t>The workflow creates review tasks for analysts. After the required approval, the email drafting and send components produce the communication and the resolution action proceeds under the applicable guardrails.</w:t>
      </w:r>
    </w:p>
    <w:p>
      <w:pPr>
        <w:pStyle w:val="ListBullet"/>
      </w:pPr>
      <w:r>
        <w:rPr>
          <w:b/>
        </w:rPr>
        <w:t xml:space="preserve">Feedback. </w:t>
      </w:r>
      <w:r>
        <w:t>The workflow records the action, returns the resolution state to the break ecosystem and identifies process or policy changes that MOT and Operations need to address.</w:t>
      </w:r>
    </w:p>
    <w:p>
      <w:r>
        <w:br w:type="page"/>
      </w:r>
    </w:p>
    <w:p>
      <w:pPr>
        <w:pStyle w:val="Heading1"/>
        <w:keepNext/>
      </w:pPr>
      <w:r>
        <w:t>Likely challenge and response</w:t>
      </w:r>
    </w:p>
    <w:p>
      <w:pPr>
        <w:spacing w:before="100"/>
      </w:pPr>
      <w:r>
        <w:rPr>
          <w:b/>
          <w:color w:val="0057B8"/>
        </w:rPr>
        <w:t>Why should Operations analysts write agents?</w:t>
      </w:r>
    </w:p>
    <w:p>
      <w:pPr>
        <w:ind w:left="259"/>
      </w:pPr>
      <w:r>
        <w:t>They should not carry the production engineering burden alone. Analysts and SMEs co-author the business behavior and acceptance tests. MOT engineers own implementation, deployment and monitoring. The ownership claim concerns the domain-agent product and its accountability.</w:t>
      </w:r>
    </w:p>
    <w:p>
      <w:pPr>
        <w:spacing w:before="100"/>
      </w:pPr>
      <w:r>
        <w:rPr>
          <w:b/>
          <w:color w:val="0057B8"/>
        </w:rPr>
        <w:t>Should GRU own the whole agent because it generates the break?</w:t>
      </w:r>
    </w:p>
    <w:p>
      <w:pPr>
        <w:ind w:left="259"/>
      </w:pPr>
      <w:r>
        <w:t>GRU should own break detection and the authoritative payload. The investigation and resolution logic belongs with the team that owns the affected systems and closes the break. This preserves clear domain boundaries.</w:t>
      </w:r>
    </w:p>
    <w:p>
      <w:pPr>
        <w:spacing w:before="100"/>
      </w:pPr>
      <w:r>
        <w:rPr>
          <w:b/>
          <w:color w:val="0057B8"/>
        </w:rPr>
        <w:t>Why not centralize all agents in a platform team?</w:t>
      </w:r>
    </w:p>
    <w:p>
      <w:pPr>
        <w:ind w:left="259"/>
      </w:pPr>
      <w:r>
        <w:t>A platform team should centralize runtime capabilities and controls. Centralizing business decisions would separate policy from accountability and slow changes when exceptions or operating rules evolve.</w:t>
      </w:r>
    </w:p>
    <w:p>
      <w:pPr>
        <w:spacing w:before="100"/>
      </w:pPr>
      <w:r>
        <w:rPr>
          <w:b/>
          <w:color w:val="0057B8"/>
        </w:rPr>
        <w:t>Does the LLM make the solution an AI product rather than a domain product?</w:t>
      </w:r>
    </w:p>
    <w:p>
      <w:pPr>
        <w:ind w:left="259"/>
      </w:pPr>
      <w:r>
        <w:t>The LLM is one component. In the Fails implementation, deterministic logic and workflow components perform most of the work. The domain package determines what evidence the model sees, which tools it may call, how outputs are evaluated and when action is allowed.</w:t>
      </w:r>
    </w:p>
    <w:p>
      <w:pPr>
        <w:spacing w:before="100"/>
      </w:pPr>
      <w:r>
        <w:rPr>
          <w:b/>
          <w:color w:val="0057B8"/>
        </w:rPr>
        <w:t>Who owns a bad decision?</w:t>
      </w:r>
    </w:p>
    <w:p>
      <w:pPr>
        <w:ind w:left="259"/>
      </w:pPr>
      <w:r>
        <w:t>The ownership model makes accountability explicit. MOT owns the agent behavior and production controls. Operations owns the business approval where human judgment is required. GRU owns the fidelity of the break it supplied. Platform engineering owns runtime reliability and common controls.</w:t>
      </w:r>
    </w:p>
    <w:p>
      <w:pPr>
        <w:pStyle w:val="Heading1"/>
        <w:keepNext/>
      </w:pPr>
      <w:r>
        <w:t>Suggested meeting narrative</w:t>
      </w:r>
    </w:p>
    <w:p>
      <w:r>
        <w:t>Our proposal does not ask Operations analysts to become production engineers. It says that the domain-agent product should sit with Market Operations Technology because that team owns the systems, data meaning and resolution logic behind the break. The agent is a governed software package that combines prompts with approved tools, deterministic workflows, evaluations and human controls. In Fails, approximately three quarters of the behavior is deterministic domain logic; the LLM performs the smaller language and interpretation layer. GRU should continue to own break detection and the authoritative break payload. MOT should own investigation, analysis and governed action, working continuously with Operations and SMEs. Platform engineering should provide the secure runtime, observability and reusable controls. This model keeps business knowledge close to accountability while preserving strong separation of concerns.</w:t>
      </w:r>
    </w:p>
    <w:p>
      <w:pPr>
        <w:pStyle w:val="Heading1"/>
        <w:keepNext/>
      </w:pPr>
      <w:r>
        <w:t>Decision requested</w:t>
      </w:r>
    </w:p>
    <w:p>
      <w:r>
        <w:t>Confirm a federated model in which GRU owns break creation, MOT owns the domain-agent product from investigation through action, Operations and SMEs own policy judgment and approval, and platform engineering owns reusable runtime services.</w:t>
      </w:r>
    </w:p>
    <w:sectPr w:rsidR="00FC693F" w:rsidRPr="0006063C" w:rsidSect="0003461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Subtitle">
    <w:name w:val="Brief Subtitle"/>
    <w:pPr>
      <w:spacing w:after="260"/>
    </w:pPr>
    <w:rPr>
      <w:rFonts w:ascii="Arial" w:hAnsi="Arial"/>
      <w:color w:val="5C6A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Operations Technology Ownership of Domain Agents</dc:title>
  <dc:subject>Executive briefing note</dc:subject>
  <dc:creator>Market Operations Technology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