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7365D"/>
          <w:sz w:val="48"/>
        </w:rPr>
        <w:t>BUSINESS REQUIREMENTS DOCUMENT</w:t>
      </w:r>
    </w:p>
    <w:p>
      <w:pPr>
        <w:spacing w:before="200"/>
        <w:jc w:val="center"/>
      </w:pPr>
      <w:r>
        <w:rPr>
          <w:rFonts w:ascii="Aptos Display" w:hAnsi="Aptos Display"/>
          <w:b/>
          <w:color w:val="2F5597"/>
          <w:sz w:val="36"/>
        </w:rPr>
        <w:t>Enterprise SWIFT Address Town/Country Extraction,</w:t>
        <w:br/>
        <w:t>Validation, Scoring and Human-in-the-Loop Processing</w:t>
      </w:r>
    </w:p>
    <w:p>
      <w:pPr>
        <w:spacing w:before="500"/>
        <w:jc w:val="center"/>
      </w:pPr>
      <w:r>
        <w:rPr>
          <w:i/>
          <w:sz w:val="22"/>
        </w:rPr>
        <w:t>Enterprise Target-State BRD grounded in the Phase 1 reference implementation</w:t>
      </w:r>
    </w:p>
    <w:p>
      <w:pPr>
        <w:jc w:val="center"/>
      </w:pPr>
      <w:r>
        <w:rPr>
          <w:color w:val="595959"/>
          <w:sz w:val="18"/>
        </w:rPr>
        <w:t>Repository: kkveena/swift_tc | Main branch baseline: d2db01f7fab3f1acefdd733a1f5d6fe823e7daa6</w:t>
      </w:r>
    </w:p>
    <w:p>
      <w:pPr>
        <w:spacing w:before="1200"/>
        <w:jc w:val="center"/>
      </w:pPr>
      <w:r>
        <w:rPr>
          <w:b/>
          <w:sz w:val="22"/>
        </w:rPr>
        <w:t>Version 1.0 - Draft for Enterprise Implementation</w:t>
      </w:r>
    </w:p>
    <w:p>
      <w:pPr>
        <w:jc w:val="center"/>
      </w:pPr>
      <w:r>
        <w:rPr>
          <w:sz w:val="20"/>
        </w:rPr>
        <w:t>15 August 2026</w:t>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5112"/>
        <w:gridCol w:w="5112"/>
      </w:tblGrid>
      <w:tr>
        <w:tc>
          <w:tcPr>
            <w:tcW w:type="dxa" w:w="2592"/>
            <w:shd w:fill="D9EAF7"/>
            <w:tcMar>
              <w:top w:w="60" w:type="dxa"/>
              <w:start w:w="80" w:type="dxa"/>
              <w:bottom w:w="60" w:type="dxa"/>
              <w:end w:w="80" w:type="dxa"/>
            </w:tcMar>
          </w:tcPr>
          <w:p>
            <w:r>
              <w:rPr>
                <w:b/>
                <w:sz w:val="18"/>
              </w:rPr>
              <w:t>Document Title</w:t>
            </w:r>
          </w:p>
        </w:tc>
        <w:tc>
          <w:tcPr>
            <w:tcW w:type="dxa" w:w="8208"/>
            <w:tcMar>
              <w:top w:w="60" w:type="dxa"/>
              <w:start w:w="80" w:type="dxa"/>
              <w:bottom w:w="60" w:type="dxa"/>
              <w:end w:w="80" w:type="dxa"/>
            </w:tcMar>
          </w:tcPr>
          <w:p>
            <w:r>
              <w:rPr>
                <w:sz w:val="18"/>
              </w:rPr>
              <w:t>Enterprise SWIFT Address Town/Country Extraction, Validation, Scoring and HITL Processing</w:t>
            </w:r>
          </w:p>
        </w:tc>
      </w:tr>
      <w:tr>
        <w:tc>
          <w:tcPr>
            <w:tcW w:type="dxa" w:w="2592"/>
            <w:shd w:fill="D9EAF7"/>
            <w:tcMar>
              <w:top w:w="60" w:type="dxa"/>
              <w:start w:w="80" w:type="dxa"/>
              <w:bottom w:w="60" w:type="dxa"/>
              <w:end w:w="80" w:type="dxa"/>
            </w:tcMar>
          </w:tcPr>
          <w:p>
            <w:r>
              <w:rPr>
                <w:b/>
                <w:sz w:val="18"/>
              </w:rPr>
              <w:t>Document Type</w:t>
            </w:r>
          </w:p>
        </w:tc>
        <w:tc>
          <w:tcPr>
            <w:tcW w:type="dxa" w:w="8208"/>
            <w:tcMar>
              <w:top w:w="60" w:type="dxa"/>
              <w:start w:w="80" w:type="dxa"/>
              <w:bottom w:w="60" w:type="dxa"/>
              <w:end w:w="80" w:type="dxa"/>
            </w:tcMar>
          </w:tcPr>
          <w:p>
            <w:r>
              <w:rPr>
                <w:sz w:val="18"/>
              </w:rPr>
              <w:t>Business Requirements Document (BRD)</w:t>
            </w:r>
          </w:p>
        </w:tc>
      </w:tr>
      <w:tr>
        <w:tc>
          <w:tcPr>
            <w:tcW w:type="dxa" w:w="2592"/>
            <w:shd w:fill="D9EAF7"/>
            <w:tcMar>
              <w:top w:w="60" w:type="dxa"/>
              <w:start w:w="80" w:type="dxa"/>
              <w:bottom w:w="60" w:type="dxa"/>
              <w:end w:w="80" w:type="dxa"/>
            </w:tcMar>
          </w:tcPr>
          <w:p>
            <w:r>
              <w:rPr>
                <w:b/>
                <w:sz w:val="18"/>
              </w:rPr>
              <w:t>Version</w:t>
            </w:r>
          </w:p>
        </w:tc>
        <w:tc>
          <w:tcPr>
            <w:tcW w:type="dxa" w:w="8208"/>
            <w:tcMar>
              <w:top w:w="60" w:type="dxa"/>
              <w:start w:w="80" w:type="dxa"/>
              <w:bottom w:w="60" w:type="dxa"/>
              <w:end w:w="80" w:type="dxa"/>
            </w:tcMar>
          </w:tcPr>
          <w:p>
            <w:r>
              <w:rPr>
                <w:sz w:val="18"/>
              </w:rPr>
              <w:t>1.0 - Draft</w:t>
            </w:r>
          </w:p>
        </w:tc>
      </w:tr>
      <w:tr>
        <w:tc>
          <w:tcPr>
            <w:tcW w:type="dxa" w:w="2592"/>
            <w:shd w:fill="D9EAF7"/>
            <w:tcMar>
              <w:top w:w="60" w:type="dxa"/>
              <w:start w:w="80" w:type="dxa"/>
              <w:bottom w:w="60" w:type="dxa"/>
              <w:end w:w="80" w:type="dxa"/>
            </w:tcMar>
          </w:tcPr>
          <w:p>
            <w:r>
              <w:rPr>
                <w:b/>
                <w:sz w:val="18"/>
              </w:rPr>
              <w:t>Reference Implementation</w:t>
            </w:r>
          </w:p>
        </w:tc>
        <w:tc>
          <w:tcPr>
            <w:tcW w:type="dxa" w:w="8208"/>
            <w:tcMar>
              <w:top w:w="60" w:type="dxa"/>
              <w:start w:w="80" w:type="dxa"/>
              <w:bottom w:w="60" w:type="dxa"/>
              <w:end w:w="80" w:type="dxa"/>
            </w:tcMar>
          </w:tcPr>
          <w:p>
            <w:r>
              <w:rPr>
                <w:sz w:val="18"/>
              </w:rPr>
              <w:t>kkveena/swift_tc, main branch</w:t>
            </w:r>
          </w:p>
        </w:tc>
      </w:tr>
      <w:tr>
        <w:tc>
          <w:tcPr>
            <w:tcW w:type="dxa" w:w="2592"/>
            <w:shd w:fill="D9EAF7"/>
            <w:tcMar>
              <w:top w:w="60" w:type="dxa"/>
              <w:start w:w="80" w:type="dxa"/>
              <w:bottom w:w="60" w:type="dxa"/>
              <w:end w:w="80" w:type="dxa"/>
            </w:tcMar>
          </w:tcPr>
          <w:p>
            <w:r>
              <w:rPr>
                <w:b/>
                <w:sz w:val="18"/>
              </w:rPr>
              <w:t>Reference Baseline</w:t>
            </w:r>
          </w:p>
        </w:tc>
        <w:tc>
          <w:tcPr>
            <w:tcW w:type="dxa" w:w="8208"/>
            <w:tcMar>
              <w:top w:w="60" w:type="dxa"/>
              <w:start w:w="80" w:type="dxa"/>
              <w:bottom w:w="60" w:type="dxa"/>
              <w:end w:w="80" w:type="dxa"/>
            </w:tcMar>
          </w:tcPr>
          <w:p>
            <w:r>
              <w:rPr>
                <w:sz w:val="18"/>
              </w:rPr>
              <w:t>Merge commit d2db01f7fab3f1acefdd733a1f5d6fe823e7daa6</w:t>
            </w:r>
          </w:p>
        </w:tc>
      </w:tr>
      <w:tr>
        <w:tc>
          <w:tcPr>
            <w:tcW w:type="dxa" w:w="2592"/>
            <w:shd w:fill="D9EAF7"/>
            <w:tcMar>
              <w:top w:w="60" w:type="dxa"/>
              <w:start w:w="80" w:type="dxa"/>
              <w:bottom w:w="60" w:type="dxa"/>
              <w:end w:w="80" w:type="dxa"/>
            </w:tcMar>
          </w:tcPr>
          <w:p>
            <w:r>
              <w:rPr>
                <w:b/>
                <w:sz w:val="18"/>
              </w:rPr>
              <w:t>Primary Purpose</w:t>
            </w:r>
          </w:p>
        </w:tc>
        <w:tc>
          <w:tcPr>
            <w:tcW w:type="dxa" w:w="8208"/>
            <w:tcMar>
              <w:top w:w="60" w:type="dxa"/>
              <w:start w:w="80" w:type="dxa"/>
              <w:bottom w:w="60" w:type="dxa"/>
              <w:end w:w="80" w:type="dxa"/>
            </w:tcMar>
          </w:tcPr>
          <w:p>
            <w:r>
              <w:rPr>
                <w:sz w:val="18"/>
              </w:rPr>
              <w:t>Define business, functional, control, data, audit and enterprise target-state requirements for production implementation.</w:t>
            </w:r>
          </w:p>
        </w:tc>
      </w:tr>
      <w:tr>
        <w:tc>
          <w:tcPr>
            <w:tcW w:type="dxa" w:w="2592"/>
            <w:shd w:fill="D9EAF7"/>
            <w:tcMar>
              <w:top w:w="60" w:type="dxa"/>
              <w:start w:w="80" w:type="dxa"/>
              <w:bottom w:w="60" w:type="dxa"/>
              <w:end w:w="80" w:type="dxa"/>
            </w:tcMar>
          </w:tcPr>
          <w:p>
            <w:r>
              <w:rPr>
                <w:b/>
                <w:sz w:val="18"/>
              </w:rPr>
              <w:t>Status</w:t>
            </w:r>
          </w:p>
        </w:tc>
        <w:tc>
          <w:tcPr>
            <w:tcW w:type="dxa" w:w="8208"/>
            <w:tcMar>
              <w:top w:w="60" w:type="dxa"/>
              <w:start w:w="80" w:type="dxa"/>
              <w:bottom w:w="60" w:type="dxa"/>
              <w:end w:w="80" w:type="dxa"/>
            </w:tcMar>
          </w:tcPr>
          <w:p>
            <w:r>
              <w:rPr>
                <w:sz w:val="18"/>
              </w:rPr>
              <w:t>For business, architecture, model-risk, engineering and operations review</w:t>
            </w:r>
          </w:p>
        </w:tc>
      </w:tr>
    </w:tbl>
    <w:p>
      <w:pPr>
        <w:pStyle w:val="Heading2"/>
      </w:pPr>
      <w:r>
        <w:t>1.1 Source Basis and Traceability</w:t>
      </w:r>
    </w:p>
    <w:p>
      <w:r>
        <w:t>This BRD is intentionally grounded in the implemented Phase 1 repository rather than an aspirational design. The enterprise recommendations are explicitly separated from functionality already proven in the reference implementation.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tcMar>
              <w:top w:w="60" w:type="dxa"/>
              <w:start w:w="80" w:type="dxa"/>
              <w:bottom w:w="60" w:type="dxa"/>
              <w:end w:w="80" w:type="dxa"/>
            </w:tcMar>
            <w:vAlign w:val="center"/>
            <w:shd w:fill="17365D"/>
          </w:tcPr>
          <w:p>
            <w:r>
              <w:rPr>
                <w:b/>
                <w:color w:val="FFFFFF"/>
                <w:sz w:val="16"/>
              </w:rPr>
              <w:t>Repository Source</w:t>
            </w:r>
          </w:p>
        </w:tc>
        <w:tc>
          <w:tcPr>
            <w:tcW w:type="dxa" w:w="7920"/>
            <w:tcMar>
              <w:top w:w="60" w:type="dxa"/>
              <w:start w:w="80" w:type="dxa"/>
              <w:bottom w:w="60" w:type="dxa"/>
              <w:end w:w="80" w:type="dxa"/>
            </w:tcMar>
            <w:vAlign w:val="center"/>
            <w:shd w:fill="17365D"/>
          </w:tcPr>
          <w:p>
            <w:r>
              <w:rPr>
                <w:b/>
                <w:color w:val="FFFFFF"/>
                <w:sz w:val="16"/>
              </w:rPr>
              <w:t>BRD Use</w:t>
            </w:r>
          </w:p>
        </w:tc>
      </w:tr>
      <w:tr>
        <w:tc>
          <w:tcPr>
            <w:tcW w:type="dxa" w:w="2880"/>
            <w:tcMar>
              <w:top w:w="60" w:type="dxa"/>
              <w:start w:w="80" w:type="dxa"/>
              <w:bottom w:w="60" w:type="dxa"/>
              <w:end w:w="80" w:type="dxa"/>
            </w:tcMar>
            <w:vAlign w:val="center"/>
          </w:tcPr>
          <w:p>
            <w:r>
              <w:rPr>
                <w:sz w:val="16"/>
              </w:rPr>
              <w:t>README.md</w:t>
            </w:r>
          </w:p>
        </w:tc>
        <w:tc>
          <w:tcPr>
            <w:tcW w:type="dxa" w:w="7920"/>
            <w:tcMar>
              <w:top w:w="60" w:type="dxa"/>
              <w:start w:w="80" w:type="dxa"/>
              <w:bottom w:w="60" w:type="dxa"/>
              <w:end w:w="80" w:type="dxa"/>
            </w:tcMar>
            <w:vAlign w:val="center"/>
          </w:tcPr>
          <w:p>
            <w:r>
              <w:rPr>
                <w:sz w:val="16"/>
              </w:rPr>
              <w:t>Current functional behavior, output contract, validation semantics, cross-entropy, retraction and JSONL audit output.</w:t>
            </w:r>
          </w:p>
        </w:tc>
      </w:tr>
      <w:tr>
        <w:tc>
          <w:tcPr>
            <w:tcW w:type="dxa" w:w="2880"/>
            <w:tcMar>
              <w:top w:w="60" w:type="dxa"/>
              <w:start w:w="80" w:type="dxa"/>
              <w:bottom w:w="60" w:type="dxa"/>
              <w:end w:w="80" w:type="dxa"/>
            </w:tcMar>
            <w:vAlign w:val="center"/>
            <w:shd w:fill="F3F6FA"/>
          </w:tcPr>
          <w:p>
            <w:r>
              <w:rPr>
                <w:sz w:val="16"/>
              </w:rPr>
              <w:t>architecture.md</w:t>
            </w:r>
          </w:p>
        </w:tc>
        <w:tc>
          <w:tcPr>
            <w:tcW w:type="dxa" w:w="7920"/>
            <w:tcMar>
              <w:top w:w="60" w:type="dxa"/>
              <w:start w:w="80" w:type="dxa"/>
              <w:bottom w:w="60" w:type="dxa"/>
              <w:end w:w="80" w:type="dxa"/>
            </w:tcMar>
            <w:vAlign w:val="center"/>
            <w:shd w:fill="F3F6FA"/>
          </w:tcPr>
          <w:p>
            <w:r>
              <w:rPr>
                <w:sz w:val="16"/>
              </w:rPr>
              <w:t>Two-pass architecture, reference-provider model, scoring architecture, security controls, output surfaces and future BIC/SWIFTRef integration point.</w:t>
            </w:r>
          </w:p>
        </w:tc>
      </w:tr>
      <w:tr>
        <w:tc>
          <w:tcPr>
            <w:tcW w:type="dxa" w:w="2880"/>
            <w:tcMar>
              <w:top w:w="60" w:type="dxa"/>
              <w:start w:w="80" w:type="dxa"/>
              <w:bottom w:w="60" w:type="dxa"/>
              <w:end w:w="80" w:type="dxa"/>
            </w:tcMar>
            <w:vAlign w:val="center"/>
          </w:tcPr>
          <w:p>
            <w:r>
              <w:rPr>
                <w:sz w:val="16"/>
              </w:rPr>
              <w:t>SCORING_SPEC.md</w:t>
            </w:r>
          </w:p>
        </w:tc>
        <w:tc>
          <w:tcPr>
            <w:tcW w:type="dxa" w:w="7920"/>
            <w:tcMar>
              <w:top w:w="60" w:type="dxa"/>
              <w:start w:w="80" w:type="dxa"/>
              <w:bottom w:w="60" w:type="dxa"/>
              <w:end w:w="80" w:type="dxa"/>
            </w:tcMar>
            <w:vAlign w:val="center"/>
          </w:tcPr>
          <w:p>
            <w:r>
              <w:rPr>
                <w:sz w:val="16"/>
              </w:rPr>
              <w:t>Composite Weighted Score formula, reliability-weight matrix, ambiguity override, threshold analysis and cross-entropy distinction.</w:t>
            </w:r>
          </w:p>
        </w:tc>
      </w:tr>
      <w:tr>
        <w:tc>
          <w:tcPr>
            <w:tcW w:type="dxa" w:w="2880"/>
            <w:tcMar>
              <w:top w:w="60" w:type="dxa"/>
              <w:start w:w="80" w:type="dxa"/>
              <w:bottom w:w="60" w:type="dxa"/>
              <w:end w:w="80" w:type="dxa"/>
            </w:tcMar>
            <w:vAlign w:val="center"/>
            <w:shd w:fill="F3F6FA"/>
          </w:tcPr>
          <w:p>
            <w:r>
              <w:rPr>
                <w:sz w:val="16"/>
              </w:rPr>
              <w:t>src/swift_address/evaluation.py</w:t>
            </w:r>
          </w:p>
        </w:tc>
        <w:tc>
          <w:tcPr>
            <w:tcW w:type="dxa" w:w="7920"/>
            <w:tcMar>
              <w:top w:w="60" w:type="dxa"/>
              <w:start w:w="80" w:type="dxa"/>
              <w:bottom w:w="60" w:type="dxa"/>
              <w:end w:w="80" w:type="dxa"/>
            </w:tcMar>
            <w:vAlign w:val="center"/>
            <w:shd w:fill="F3F6FA"/>
          </w:tcPr>
          <w:p>
            <w:r>
              <w:rPr>
                <w:sz w:val="16"/>
              </w:rPr>
              <w:t>Current ground-truth availability semantics and binary cross-entropy implementation.</w:t>
            </w:r>
          </w:p>
        </w:tc>
      </w:tr>
      <w:tr>
        <w:tc>
          <w:tcPr>
            <w:tcW w:type="dxa" w:w="2880"/>
            <w:tcMar>
              <w:top w:w="60" w:type="dxa"/>
              <w:start w:w="80" w:type="dxa"/>
              <w:bottom w:w="60" w:type="dxa"/>
              <w:end w:w="80" w:type="dxa"/>
            </w:tcMar>
            <w:vAlign w:val="center"/>
          </w:tcPr>
          <w:p>
            <w:r>
              <w:rPr>
                <w:sz w:val="16"/>
              </w:rPr>
              <w:t>src/swift_address/serialization.py</w:t>
            </w:r>
          </w:p>
        </w:tc>
        <w:tc>
          <w:tcPr>
            <w:tcW w:type="dxa" w:w="7920"/>
            <w:tcMar>
              <w:top w:w="60" w:type="dxa"/>
              <w:start w:w="80" w:type="dxa"/>
              <w:bottom w:w="60" w:type="dxa"/>
              <w:end w:w="80" w:type="dxa"/>
            </w:tcMar>
            <w:vAlign w:val="center"/>
          </w:tcPr>
          <w:p>
            <w:r>
              <w:rPr>
                <w:sz w:val="16"/>
              </w:rPr>
              <w:t>Streaming nested JSON/JSONL contract, null handling and per-record/per-group audit structure.</w:t>
            </w:r>
          </w:p>
        </w:tc>
      </w:tr>
      <w:tr>
        <w:tc>
          <w:tcPr>
            <w:tcW w:type="dxa" w:w="2880"/>
            <w:tcMar>
              <w:top w:w="60" w:type="dxa"/>
              <w:start w:w="80" w:type="dxa"/>
              <w:bottom w:w="60" w:type="dxa"/>
              <w:end w:w="80" w:type="dxa"/>
            </w:tcMar>
            <w:vAlign w:val="center"/>
            <w:shd w:fill="F3F6FA"/>
          </w:tcPr>
          <w:p>
            <w:r>
              <w:rPr>
                <w:sz w:val="16"/>
              </w:rPr>
              <w:t>src/swift_address/retraction.py</w:t>
            </w:r>
          </w:p>
        </w:tc>
        <w:tc>
          <w:tcPr>
            <w:tcW w:type="dxa" w:w="7920"/>
            <w:tcMar>
              <w:top w:w="60" w:type="dxa"/>
              <w:start w:w="80" w:type="dxa"/>
              <w:bottom w:w="60" w:type="dxa"/>
              <w:end w:w="80" w:type="dxa"/>
            </w:tcMar>
            <w:vAlign w:val="center"/>
            <w:shd w:fill="F3F6FA"/>
          </w:tcPr>
          <w:p>
            <w:r>
              <w:rPr>
                <w:sz w:val="16"/>
              </w:rPr>
              <w:t>Token-span retraction logic and source-column-level before/after audit.</w:t>
            </w:r>
          </w:p>
        </w:tc>
      </w:tr>
      <w:tr>
        <w:tc>
          <w:tcPr>
            <w:tcW w:type="dxa" w:w="2880"/>
            <w:tcMar>
              <w:top w:w="60" w:type="dxa"/>
              <w:start w:w="80" w:type="dxa"/>
              <w:bottom w:w="60" w:type="dxa"/>
              <w:end w:w="80" w:type="dxa"/>
            </w:tcMar>
            <w:vAlign w:val="center"/>
          </w:tcPr>
          <w:p>
            <w:r>
              <w:rPr>
                <w:sz w:val="16"/>
              </w:rPr>
              <w:t>Merged PR #1</w:t>
            </w:r>
          </w:p>
        </w:tc>
        <w:tc>
          <w:tcPr>
            <w:tcW w:type="dxa" w:w="7920"/>
            <w:tcMar>
              <w:top w:w="60" w:type="dxa"/>
              <w:start w:w="80" w:type="dxa"/>
              <w:bottom w:w="60" w:type="dxa"/>
              <w:end w:w="80" w:type="dxa"/>
            </w:tcMar>
            <w:vAlign w:val="center"/>
          </w:tcPr>
          <w:p>
            <w:r>
              <w:rPr>
                <w:sz w:val="16"/>
              </w:rPr>
              <w:t>Initial two-pass Phase 1 pipeline, deterministic scoring, null skip, dedupe, caching, errors and 222-test baseline.</w:t>
            </w:r>
          </w:p>
        </w:tc>
      </w:tr>
      <w:tr>
        <w:tc>
          <w:tcPr>
            <w:tcW w:type="dxa" w:w="2880"/>
            <w:tcMar>
              <w:top w:w="60" w:type="dxa"/>
              <w:start w:w="80" w:type="dxa"/>
              <w:bottom w:w="60" w:type="dxa"/>
              <w:end w:w="80" w:type="dxa"/>
            </w:tcMar>
            <w:vAlign w:val="center"/>
            <w:shd w:fill="F3F6FA"/>
          </w:tcPr>
          <w:p>
            <w:r>
              <w:rPr>
                <w:sz w:val="16"/>
              </w:rPr>
              <w:t>Merged PR #2</w:t>
            </w:r>
          </w:p>
        </w:tc>
        <w:tc>
          <w:tcPr>
            <w:tcW w:type="dxa" w:w="7920"/>
            <w:tcMar>
              <w:top w:w="60" w:type="dxa"/>
              <w:start w:w="80" w:type="dxa"/>
              <w:bottom w:w="60" w:type="dxa"/>
              <w:end w:w="80" w:type="dxa"/>
            </w:tcMar>
            <w:vAlign w:val="center"/>
            <w:shd w:fill="F3F6FA"/>
          </w:tcPr>
          <w:p>
            <w:r>
              <w:rPr>
                <w:sz w:val="16"/>
              </w:rPr>
              <w:t>Country name, Town/Country reference provider, executive reporting and provisional HITL guidance.</w:t>
            </w:r>
          </w:p>
        </w:tc>
      </w:tr>
      <w:tr>
        <w:tc>
          <w:tcPr>
            <w:tcW w:type="dxa" w:w="2880"/>
            <w:tcMar>
              <w:top w:w="60" w:type="dxa"/>
              <w:start w:w="80" w:type="dxa"/>
              <w:bottom w:w="60" w:type="dxa"/>
              <w:end w:w="80" w:type="dxa"/>
            </w:tcMar>
            <w:vAlign w:val="center"/>
          </w:tcPr>
          <w:p>
            <w:r>
              <w:rPr>
                <w:sz w:val="16"/>
              </w:rPr>
              <w:t>Merged PR #3</w:t>
            </w:r>
          </w:p>
        </w:tc>
        <w:tc>
          <w:tcPr>
            <w:tcW w:type="dxa" w:w="7920"/>
            <w:tcMar>
              <w:top w:w="60" w:type="dxa"/>
              <w:start w:w="80" w:type="dxa"/>
              <w:bottom w:w="60" w:type="dxa"/>
              <w:end w:w="80" w:type="dxa"/>
            </w:tcMar>
            <w:vAlign w:val="center"/>
          </w:tcPr>
          <w:p>
            <w:r>
              <w:rPr>
                <w:sz w:val="16"/>
              </w:rPr>
              <w:t>Ground-truth labels, cross-entropy, retraction and detailed nested JSON/JSONL.</w:t>
            </w:r>
          </w:p>
        </w:tc>
      </w:tr>
      <w:tr>
        <w:tc>
          <w:tcPr>
            <w:tcW w:type="dxa" w:w="2880"/>
            <w:tcMar>
              <w:top w:w="60" w:type="dxa"/>
              <w:start w:w="80" w:type="dxa"/>
              <w:bottom w:w="60" w:type="dxa"/>
              <w:end w:w="80" w:type="dxa"/>
            </w:tcMar>
            <w:vAlign w:val="center"/>
            <w:shd w:fill="F3F6FA"/>
          </w:tcPr>
          <w:p>
            <w:r>
              <w:rPr>
                <w:sz w:val="16"/>
              </w:rPr>
              <w:t>Merged PR #4</w:t>
            </w:r>
          </w:p>
        </w:tc>
        <w:tc>
          <w:tcPr>
            <w:tcW w:type="dxa" w:w="7920"/>
            <w:tcMar>
              <w:top w:w="60" w:type="dxa"/>
              <w:start w:w="80" w:type="dxa"/>
              <w:bottom w:w="60" w:type="dxa"/>
              <w:end w:w="80" w:type="dxa"/>
            </w:tcMar>
            <w:vAlign w:val="center"/>
            <w:shd w:fill="F3F6FA"/>
          </w:tcPr>
          <w:p>
            <w:r>
              <w:rPr>
                <w:sz w:val="16"/>
              </w:rPr>
              <w:t>Clarified audit semantics for ungrounded cross-entropy components and refreshed dry-run outputs; latest merge report states 442 tests pass.</w:t>
            </w:r>
          </w:p>
        </w:tc>
      </w:tr>
    </w:tbl>
    <w:tbl>
      <w:tblPr>
        <w:tblW w:type="auto" w:w="0"/>
        <w:jc w:val="center"/>
        <w:tblLook w:firstColumn="1" w:firstRow="1" w:lastColumn="0" w:lastRow="0" w:noHBand="0" w:noVBand="1" w:val="04A0"/>
      </w:tblPr>
      <w:tblGrid>
        <w:gridCol w:w="10224"/>
      </w:tblGrid>
      <w:tr>
        <w:tc>
          <w:tcPr>
            <w:tcW w:type="dxa" w:w="10224"/>
            <w:shd w:fill="D9EAF7"/>
            <w:tcBorders>
              <w:top w:val="single" w:sz="6" w:color="2F5597"/>
              <w:start w:val="single" w:sz="6" w:color="2F5597"/>
              <w:bottom w:val="single" w:sz="6" w:color="2F5597"/>
              <w:end w:val="single" w:sz="6" w:color="2F5597"/>
            </w:tcBorders>
          </w:tcPr>
          <w:p>
            <w:pPr>
              <w:spacing w:after="40"/>
            </w:pPr>
            <w:r>
              <w:rPr>
                <w:b/>
                <w:color w:val="17365D"/>
              </w:rPr>
              <w:t xml:space="preserve">Important distinction: </w:t>
            </w:r>
            <w:r>
              <w:rPr>
                <w:sz w:val="18"/>
              </w:rPr>
              <w:t>Requirements in Sections 3-13 largely reflect implemented behavior. Section 14 onward contains enterprise target-state recommendations (for example S3/Kafka ingestion, Avro-governed schemas and canonical JSON outputs) that are recommended for production but are not claimed to exist in the local Phase 1 prototype.</w:t>
            </w:r>
          </w:p>
        </w:tc>
      </w:tr>
    </w:tbl>
    <w:p>
      <w:pPr>
        <w:pStyle w:val="Heading1"/>
      </w:pPr>
      <w:r>
        <w:t>2. Executive Summary</w:t>
      </w:r>
    </w:p>
    <w:p>
      <w:r>
        <w:t>The business requirement is to convert multi-line, partially structured address information into a controlled Town/Country outcome that can be used safely in downstream payment and SWIFT-related processes. The solution must preserve source data, minimize unnecessary LLM calls, use deterministic validation wherever possible, quantify operational confidence, route uncertain cases to Human-in-the-Loop (HITL), and retain a complete audit trail.</w:t>
      </w:r>
    </w:p>
    <w:p>
      <w:r>
        <w:t>The Phase 1 reference implementation demonstrates a viable pattern: deterministic preprocessing and grouping; unique-address deduplication; structured Gemini extraction; ISO and Town/Country reference validation; policy-driven Composite Weighted Score; explicit ambiguity handling; cross-entropy evaluation when independent ground truth is available; token-safe address retraction; detailed per-record JSONL audit; and executive reporting.</w:t>
      </w:r>
    </w:p>
    <w:p>
      <w:r>
        <w:t>For enterprise implementation, this BRD recommends that the canonical business interface become schema-governed JSON delivered through either S3 (batch) or Kafka (streaming), with an Avro-managed contract and schema versioning. The canonical result and full audit trail should be emitted as JSON/JSONL rather than relying on an ever-widening flat CSV. CSV may remain as a compatibility or analyst-facing derivative.</w:t>
      </w:r>
    </w:p>
    <w:p>
      <w:pPr>
        <w:pStyle w:val="Heading2"/>
      </w:pPr>
      <w:r>
        <w:t>2.1 Business Outcomes</w:t>
      </w:r>
    </w:p>
    <w:p>
      <w:pPr>
        <w:pStyle w:val="ListBullet"/>
        <w:spacing w:after="40"/>
      </w:pPr>
      <w:r>
        <w:rPr>
          <w:sz w:val="19"/>
        </w:rPr>
        <w:t>Produce a defensible Town and Country from configured multi-line address groups.</w:t>
      </w:r>
    </w:p>
    <w:p>
      <w:pPr>
        <w:pStyle w:val="ListBullet"/>
        <w:spacing w:after="40"/>
      </w:pPr>
      <w:r>
        <w:rPr>
          <w:sz w:val="19"/>
        </w:rPr>
        <w:t>Maximize straight-through processing only where evidence and confidence justify automation.</w:t>
      </w:r>
    </w:p>
    <w:p>
      <w:pPr>
        <w:pStyle w:val="ListBullet"/>
        <w:spacing w:after="40"/>
      </w:pPr>
      <w:r>
        <w:rPr>
          <w:sz w:val="19"/>
        </w:rPr>
        <w:t>Route ambiguous, low-confidence, conflicting or failed cases to a controlled HITL process.</w:t>
      </w:r>
    </w:p>
    <w:p>
      <w:pPr>
        <w:pStyle w:val="ListBullet"/>
        <w:spacing w:after="40"/>
      </w:pPr>
      <w:r>
        <w:rPr>
          <w:sz w:val="19"/>
        </w:rPr>
        <w:t>Keep operational routing logic outside the LLM so prompt changes cannot silently change business decisions.</w:t>
      </w:r>
    </w:p>
    <w:p>
      <w:pPr>
        <w:pStyle w:val="ListBullet"/>
        <w:spacing w:after="40"/>
      </w:pPr>
      <w:r>
        <w:rPr>
          <w:sz w:val="19"/>
        </w:rPr>
        <w:t>Evaluate model-confidence quality separately from operational routing using cross-entropy when independent ground truth exists.</w:t>
      </w:r>
    </w:p>
    <w:p>
      <w:pPr>
        <w:pStyle w:val="ListBullet"/>
        <w:spacing w:after="40"/>
      </w:pPr>
      <w:r>
        <w:rPr>
          <w:sz w:val="19"/>
        </w:rPr>
        <w:t>Maintain full reproducibility and auditability across source data, model version, prompt version, reference data, policy weights, thresholds and human decisions.</w:t>
      </w:r>
    </w:p>
    <w:p>
      <w:pPr>
        <w:pStyle w:val="ListBullet"/>
        <w:spacing w:after="40"/>
      </w:pPr>
      <w:r>
        <w:rPr>
          <w:sz w:val="19"/>
        </w:rPr>
        <w:t>Support an enterprise transition from local CSV processing to schema-governed S3/Kafka inputs and JSON outputs without changing the core business semantics.</w:t>
      </w:r>
    </w:p>
    <w:p>
      <w:pPr>
        <w:pStyle w:val="Heading1"/>
      </w:pPr>
      <w:r>
        <w:t>3. Business Context and Problem Statement</w:t>
      </w:r>
    </w:p>
    <w:p>
      <w:r>
        <w:t>Address information can be distributed across several source fields and may contain Town/Country explicitly, partially, ambiguously or not at all. A simple substring or dictionary lookup is insufficient because the same token can represent ordinary text, a geographic name, a country code, or an institution/location fragment. The business therefore needs a controlled extraction and validation process that combines semantic inference with deterministic evidence checks and explicit exception handling.</w:t>
      </w:r>
    </w:p>
    <w:p>
      <w:r>
        <w:t>The reference implementation addresses this by separating four concerns: (1) extraction, (2) deterministic verification and reference validation, (3) operational scoring/HITL routing, and (4) offline/evaluation measures such as cross-entropy. This separation is a core business-control requirement for enterprise adoption.</w:t>
      </w:r>
    </w:p>
    <w:p>
      <w:pPr>
        <w:pStyle w:val="Heading2"/>
      </w:pPr>
      <w:r>
        <w:t>3.1 In Scope</w:t>
      </w:r>
    </w:p>
    <w:p>
      <w:pPr>
        <w:pStyle w:val="ListBullet"/>
        <w:spacing w:after="40"/>
      </w:pPr>
      <w:r>
        <w:rPr>
          <w:sz w:val="19"/>
        </w:rPr>
        <w:t>Configurable grouping of one or more address source fields into logical address groups.</w:t>
      </w:r>
    </w:p>
    <w:p>
      <w:pPr>
        <w:pStyle w:val="ListBullet"/>
        <w:spacing w:after="40"/>
      </w:pPr>
      <w:r>
        <w:rPr>
          <w:sz w:val="19"/>
        </w:rPr>
        <w:t>Town extraction and Country candidate extraction using an enterprise-approved LLM with structured output.</w:t>
      </w:r>
    </w:p>
    <w:p>
      <w:pPr>
        <w:pStyle w:val="ListBullet"/>
        <w:spacing w:after="40"/>
      </w:pPr>
      <w:r>
        <w:rPr>
          <w:sz w:val="19"/>
        </w:rPr>
        <w:t>ISO 3166-1 alpha-2 validation and deterministic country-name expansion.</w:t>
      </w:r>
    </w:p>
    <w:p>
      <w:pPr>
        <w:pStyle w:val="ListBullet"/>
        <w:spacing w:after="40"/>
      </w:pPr>
      <w:r>
        <w:rPr>
          <w:sz w:val="19"/>
        </w:rPr>
        <w:t>Post-extraction Town/Country reference validation.</w:t>
      </w:r>
    </w:p>
    <w:p>
      <w:pPr>
        <w:pStyle w:val="ListBullet"/>
        <w:spacing w:after="40"/>
      </w:pPr>
      <w:r>
        <w:rPr>
          <w:sz w:val="19"/>
        </w:rPr>
        <w:t>Policy-driven Composite Weighted Score and HITL routing.</w:t>
      </w:r>
    </w:p>
    <w:p>
      <w:pPr>
        <w:pStyle w:val="ListBullet"/>
        <w:spacing w:after="40"/>
      </w:pPr>
      <w:r>
        <w:rPr>
          <w:sz w:val="19"/>
        </w:rPr>
        <w:t>Ground-truth availability tracking and cross-entropy evaluation where independent deterministic evidence exists.</w:t>
      </w:r>
    </w:p>
    <w:p>
      <w:pPr>
        <w:pStyle w:val="ListBullet"/>
        <w:spacing w:after="40"/>
      </w:pPr>
      <w:r>
        <w:rPr>
          <w:sz w:val="19"/>
        </w:rPr>
        <w:t>Address retraction of only explicitly verified Town/Country evidence, without mutating original source columns.</w:t>
      </w:r>
    </w:p>
    <w:p>
      <w:pPr>
        <w:pStyle w:val="ListBullet"/>
        <w:spacing w:after="40"/>
      </w:pPr>
      <w:r>
        <w:rPr>
          <w:sz w:val="19"/>
        </w:rPr>
        <w:t>Detailed record/group audit output and executive operational reporting.</w:t>
      </w:r>
    </w:p>
    <w:p>
      <w:pPr>
        <w:pStyle w:val="ListBullet"/>
        <w:spacing w:after="40"/>
      </w:pPr>
      <w:r>
        <w:rPr>
          <w:sz w:val="19"/>
        </w:rPr>
        <w:t>Enterprise target-state ingestion through S3 and/or Kafka with schema governance.</w:t>
      </w:r>
    </w:p>
    <w:p>
      <w:pPr>
        <w:pStyle w:val="ListBullet"/>
        <w:spacing w:after="40"/>
      </w:pPr>
      <w:r>
        <w:rPr>
          <w:sz w:val="19"/>
        </w:rPr>
        <w:t>Canonical JSON output and full audit trail.</w:t>
      </w:r>
    </w:p>
    <w:p>
      <w:pPr>
        <w:pStyle w:val="Heading2"/>
      </w:pPr>
      <w:r>
        <w:t>3.2 Out of Scope for the Current BRD Baseline</w:t>
      </w:r>
    </w:p>
    <w:p>
      <w:pPr>
        <w:pStyle w:val="ListBullet"/>
        <w:spacing w:after="40"/>
      </w:pPr>
      <w:r>
        <w:rPr>
          <w:sz w:val="19"/>
        </w:rPr>
        <w:t>Automated SWIFTRef/BIC enrichment in production (the codebase contains an integration point, not an entitled implementation).</w:t>
      </w:r>
    </w:p>
    <w:p>
      <w:pPr>
        <w:pStyle w:val="ListBullet"/>
        <w:spacing w:after="40"/>
      </w:pPr>
      <w:r>
        <w:rPr>
          <w:sz w:val="19"/>
        </w:rPr>
        <w:t>Selection of a final production HITL threshold without labeled production-like validation data.</w:t>
      </w:r>
    </w:p>
    <w:p>
      <w:pPr>
        <w:pStyle w:val="ListBullet"/>
        <w:spacing w:after="40"/>
      </w:pPr>
      <w:r>
        <w:rPr>
          <w:sz w:val="19"/>
        </w:rPr>
        <w:t>Replacement of enterprise master/reference data with the development Town/Country reference file.</w:t>
      </w:r>
    </w:p>
    <w:p>
      <w:pPr>
        <w:pStyle w:val="ListBullet"/>
        <w:spacing w:after="40"/>
      </w:pPr>
      <w:r>
        <w:rPr>
          <w:sz w:val="19"/>
        </w:rPr>
        <w:t>Automatic amendment or transmission of payment instructions without downstream control approval.</w:t>
      </w:r>
    </w:p>
    <w:p>
      <w:pPr>
        <w:pStyle w:val="ListBullet"/>
        <w:spacing w:after="40"/>
      </w:pPr>
      <w:r>
        <w:rPr>
          <w:sz w:val="19"/>
        </w:rPr>
        <w:t>Use of public web-search grounding on customer/payment address data unless enterprise data governance explicitly approves it.</w:t>
      </w:r>
    </w:p>
    <w:p>
      <w:pPr>
        <w:pStyle w:val="Heading1"/>
      </w:pPr>
      <w:r>
        <w:t>4. Stakeholders and Roles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tcMar>
              <w:top w:w="60" w:type="dxa"/>
              <w:start w:w="80" w:type="dxa"/>
              <w:bottom w:w="60" w:type="dxa"/>
              <w:end w:w="80" w:type="dxa"/>
            </w:tcMar>
            <w:vAlign w:val="center"/>
            <w:shd w:fill="17365D"/>
          </w:tcPr>
          <w:p>
            <w:r>
              <w:rPr>
                <w:b/>
                <w:color w:val="FFFFFF"/>
                <w:sz w:val="16"/>
              </w:rPr>
              <w:t>Stakeholder</w:t>
            </w:r>
          </w:p>
        </w:tc>
        <w:tc>
          <w:tcPr>
            <w:tcW w:type="dxa" w:w="7344"/>
            <w:tcMar>
              <w:top w:w="60" w:type="dxa"/>
              <w:start w:w="80" w:type="dxa"/>
              <w:bottom w:w="60" w:type="dxa"/>
              <w:end w:w="80" w:type="dxa"/>
            </w:tcMar>
            <w:vAlign w:val="center"/>
            <w:shd w:fill="17365D"/>
          </w:tcPr>
          <w:p>
            <w:r>
              <w:rPr>
                <w:b/>
                <w:color w:val="FFFFFF"/>
                <w:sz w:val="16"/>
              </w:rPr>
              <w:t>Primary Responsibility</w:t>
            </w:r>
          </w:p>
        </w:tc>
      </w:tr>
      <w:tr>
        <w:tc>
          <w:tcPr>
            <w:tcW w:type="dxa" w:w="3456"/>
            <w:tcMar>
              <w:top w:w="60" w:type="dxa"/>
              <w:start w:w="80" w:type="dxa"/>
              <w:bottom w:w="60" w:type="dxa"/>
              <w:end w:w="80" w:type="dxa"/>
            </w:tcMar>
            <w:vAlign w:val="center"/>
          </w:tcPr>
          <w:p>
            <w:r>
              <w:rPr>
                <w:sz w:val="16"/>
              </w:rPr>
              <w:t>Business / Operations Product Owner</w:t>
            </w:r>
          </w:p>
        </w:tc>
        <w:tc>
          <w:tcPr>
            <w:tcW w:type="dxa" w:w="7344"/>
            <w:tcMar>
              <w:top w:w="60" w:type="dxa"/>
              <w:start w:w="80" w:type="dxa"/>
              <w:bottom w:w="60" w:type="dxa"/>
              <w:end w:w="80" w:type="dxa"/>
            </w:tcMar>
            <w:vAlign w:val="center"/>
          </w:tcPr>
          <w:p>
            <w:r>
              <w:rPr>
                <w:sz w:val="16"/>
              </w:rPr>
              <w:t>Owns business outcome, risk appetite, HITL operating model and production threshold acceptance.</w:t>
            </w:r>
          </w:p>
        </w:tc>
      </w:tr>
      <w:tr>
        <w:tc>
          <w:tcPr>
            <w:tcW w:type="dxa" w:w="3456"/>
            <w:tcMar>
              <w:top w:w="60" w:type="dxa"/>
              <w:start w:w="80" w:type="dxa"/>
              <w:bottom w:w="60" w:type="dxa"/>
              <w:end w:w="80" w:type="dxa"/>
            </w:tcMar>
            <w:vAlign w:val="center"/>
            <w:shd w:fill="F3F6FA"/>
          </w:tcPr>
          <w:p>
            <w:r>
              <w:rPr>
                <w:sz w:val="16"/>
              </w:rPr>
              <w:t>Market / Payment Operations</w:t>
            </w:r>
          </w:p>
        </w:tc>
        <w:tc>
          <w:tcPr>
            <w:tcW w:type="dxa" w:w="7344"/>
            <w:tcMar>
              <w:top w:w="60" w:type="dxa"/>
              <w:start w:w="80" w:type="dxa"/>
              <w:bottom w:w="60" w:type="dxa"/>
              <w:end w:w="80" w:type="dxa"/>
            </w:tcMar>
            <w:vAlign w:val="center"/>
            <w:shd w:fill="F3F6FA"/>
          </w:tcPr>
          <w:p>
            <w:r>
              <w:rPr>
                <w:sz w:val="16"/>
              </w:rPr>
              <w:t>Reviews exceptions and validates business usability of extracted/structured addresses.</w:t>
            </w:r>
          </w:p>
        </w:tc>
      </w:tr>
      <w:tr>
        <w:tc>
          <w:tcPr>
            <w:tcW w:type="dxa" w:w="3456"/>
            <w:tcMar>
              <w:top w:w="60" w:type="dxa"/>
              <w:start w:w="80" w:type="dxa"/>
              <w:bottom w:w="60" w:type="dxa"/>
              <w:end w:w="80" w:type="dxa"/>
            </w:tcMar>
            <w:vAlign w:val="center"/>
          </w:tcPr>
          <w:p>
            <w:r>
              <w:rPr>
                <w:sz w:val="16"/>
              </w:rPr>
              <w:t>Technology / Engineering</w:t>
            </w:r>
          </w:p>
        </w:tc>
        <w:tc>
          <w:tcPr>
            <w:tcW w:type="dxa" w:w="7344"/>
            <w:tcMar>
              <w:top w:w="60" w:type="dxa"/>
              <w:start w:w="80" w:type="dxa"/>
              <w:bottom w:w="60" w:type="dxa"/>
              <w:end w:w="80" w:type="dxa"/>
            </w:tcMar>
            <w:vAlign w:val="center"/>
          </w:tcPr>
          <w:p>
            <w:r>
              <w:rPr>
                <w:sz w:val="16"/>
              </w:rPr>
              <w:t>Builds enterprise ingestion, processing, persistence, schema governance, replay and observability.</w:t>
            </w:r>
          </w:p>
        </w:tc>
      </w:tr>
      <w:tr>
        <w:tc>
          <w:tcPr>
            <w:tcW w:type="dxa" w:w="3456"/>
            <w:tcMar>
              <w:top w:w="60" w:type="dxa"/>
              <w:start w:w="80" w:type="dxa"/>
              <w:bottom w:w="60" w:type="dxa"/>
              <w:end w:w="80" w:type="dxa"/>
            </w:tcMar>
            <w:vAlign w:val="center"/>
            <w:shd w:fill="F3F6FA"/>
          </w:tcPr>
          <w:p>
            <w:r>
              <w:rPr>
                <w:sz w:val="16"/>
              </w:rPr>
              <w:t>Data Science / GenAI</w:t>
            </w:r>
          </w:p>
        </w:tc>
        <w:tc>
          <w:tcPr>
            <w:tcW w:type="dxa" w:w="7344"/>
            <w:tcMar>
              <w:top w:w="60" w:type="dxa"/>
              <w:start w:w="80" w:type="dxa"/>
              <w:bottom w:w="60" w:type="dxa"/>
              <w:end w:w="80" w:type="dxa"/>
            </w:tcMar>
            <w:vAlign w:val="center"/>
            <w:shd w:fill="F3F6FA"/>
          </w:tcPr>
          <w:p>
            <w:r>
              <w:rPr>
                <w:sz w:val="16"/>
              </w:rPr>
              <w:t>Owns model/prompt behavior, confidence evaluation, calibration analysis and challenger testing.</w:t>
            </w:r>
          </w:p>
        </w:tc>
      </w:tr>
      <w:tr>
        <w:tc>
          <w:tcPr>
            <w:tcW w:type="dxa" w:w="3456"/>
            <w:tcMar>
              <w:top w:w="60" w:type="dxa"/>
              <w:start w:w="80" w:type="dxa"/>
              <w:bottom w:w="60" w:type="dxa"/>
              <w:end w:w="80" w:type="dxa"/>
            </w:tcMar>
            <w:vAlign w:val="center"/>
          </w:tcPr>
          <w:p>
            <w:r>
              <w:rPr>
                <w:sz w:val="16"/>
              </w:rPr>
              <w:t>Architecture</w:t>
            </w:r>
          </w:p>
        </w:tc>
        <w:tc>
          <w:tcPr>
            <w:tcW w:type="dxa" w:w="7344"/>
            <w:tcMar>
              <w:top w:w="60" w:type="dxa"/>
              <w:start w:w="80" w:type="dxa"/>
              <w:bottom w:w="60" w:type="dxa"/>
              <w:end w:w="80" w:type="dxa"/>
            </w:tcMar>
            <w:vAlign w:val="center"/>
          </w:tcPr>
          <w:p>
            <w:r>
              <w:rPr>
                <w:sz w:val="16"/>
              </w:rPr>
              <w:t>Approves enterprise event/data contracts, integration patterns, non-functional requirements and platform controls.</w:t>
            </w:r>
          </w:p>
        </w:tc>
      </w:tr>
      <w:tr>
        <w:tc>
          <w:tcPr>
            <w:tcW w:type="dxa" w:w="3456"/>
            <w:tcMar>
              <w:top w:w="60" w:type="dxa"/>
              <w:start w:w="80" w:type="dxa"/>
              <w:bottom w:w="60" w:type="dxa"/>
              <w:end w:w="80" w:type="dxa"/>
            </w:tcMar>
            <w:vAlign w:val="center"/>
            <w:shd w:fill="F3F6FA"/>
          </w:tcPr>
          <w:p>
            <w:r>
              <w:rPr>
                <w:sz w:val="16"/>
              </w:rPr>
              <w:t>Model Risk / AI Governance</w:t>
            </w:r>
          </w:p>
        </w:tc>
        <w:tc>
          <w:tcPr>
            <w:tcW w:type="dxa" w:w="7344"/>
            <w:tcMar>
              <w:top w:w="60" w:type="dxa"/>
              <w:start w:w="80" w:type="dxa"/>
              <w:bottom w:w="60" w:type="dxa"/>
              <w:end w:w="80" w:type="dxa"/>
            </w:tcMar>
            <w:vAlign w:val="center"/>
            <w:shd w:fill="F3F6FA"/>
          </w:tcPr>
          <w:p>
            <w:r>
              <w:rPr>
                <w:sz w:val="16"/>
              </w:rPr>
              <w:t>Reviews model use, confidence behavior, evaluation methodology, explainability, human controls and change governance.</w:t>
            </w:r>
          </w:p>
        </w:tc>
      </w:tr>
      <w:tr>
        <w:tc>
          <w:tcPr>
            <w:tcW w:type="dxa" w:w="3456"/>
            <w:tcMar>
              <w:top w:w="60" w:type="dxa"/>
              <w:start w:w="80" w:type="dxa"/>
              <w:bottom w:w="60" w:type="dxa"/>
              <w:end w:w="80" w:type="dxa"/>
            </w:tcMar>
            <w:vAlign w:val="center"/>
          </w:tcPr>
          <w:p>
            <w:r>
              <w:rPr>
                <w:sz w:val="16"/>
              </w:rPr>
              <w:t>Data Governance / Reference Data</w:t>
            </w:r>
          </w:p>
        </w:tc>
        <w:tc>
          <w:tcPr>
            <w:tcW w:type="dxa" w:w="7344"/>
            <w:tcMar>
              <w:top w:w="60" w:type="dxa"/>
              <w:start w:w="80" w:type="dxa"/>
              <w:bottom w:w="60" w:type="dxa"/>
              <w:end w:w="80" w:type="dxa"/>
            </w:tcMar>
            <w:vAlign w:val="center"/>
          </w:tcPr>
          <w:p>
            <w:r>
              <w:rPr>
                <w:sz w:val="16"/>
              </w:rPr>
              <w:t>Approves ISO, Town/Country and future SWIFTRef/BIC reference sources and provenance.</w:t>
            </w:r>
          </w:p>
        </w:tc>
      </w:tr>
      <w:tr>
        <w:tc>
          <w:tcPr>
            <w:tcW w:type="dxa" w:w="3456"/>
            <w:tcMar>
              <w:top w:w="60" w:type="dxa"/>
              <w:start w:w="80" w:type="dxa"/>
              <w:bottom w:w="60" w:type="dxa"/>
              <w:end w:w="80" w:type="dxa"/>
            </w:tcMar>
            <w:vAlign w:val="center"/>
            <w:shd w:fill="F3F6FA"/>
          </w:tcPr>
          <w:p>
            <w:r>
              <w:rPr>
                <w:sz w:val="16"/>
              </w:rPr>
              <w:t>Information Security / Privacy</w:t>
            </w:r>
          </w:p>
        </w:tc>
        <w:tc>
          <w:tcPr>
            <w:tcW w:type="dxa" w:w="7344"/>
            <w:tcMar>
              <w:top w:w="60" w:type="dxa"/>
              <w:start w:w="80" w:type="dxa"/>
              <w:bottom w:w="60" w:type="dxa"/>
              <w:end w:w="80" w:type="dxa"/>
            </w:tcMar>
            <w:vAlign w:val="center"/>
            <w:shd w:fill="F3F6FA"/>
          </w:tcPr>
          <w:p>
            <w:r>
              <w:rPr>
                <w:sz w:val="16"/>
              </w:rPr>
              <w:t>Approves handling, retention, access, logging and movement of sensitive address data.</w:t>
            </w:r>
          </w:p>
        </w:tc>
      </w:tr>
      <w:tr>
        <w:tc>
          <w:tcPr>
            <w:tcW w:type="dxa" w:w="3456"/>
            <w:tcMar>
              <w:top w:w="60" w:type="dxa"/>
              <w:start w:w="80" w:type="dxa"/>
              <w:bottom w:w="60" w:type="dxa"/>
              <w:end w:w="80" w:type="dxa"/>
            </w:tcMar>
            <w:vAlign w:val="center"/>
          </w:tcPr>
          <w:p>
            <w:r>
              <w:rPr>
                <w:sz w:val="16"/>
              </w:rPr>
              <w:t>Support / Production Operations</w:t>
            </w:r>
          </w:p>
        </w:tc>
        <w:tc>
          <w:tcPr>
            <w:tcW w:type="dxa" w:w="7344"/>
            <w:tcMar>
              <w:top w:w="60" w:type="dxa"/>
              <w:start w:w="80" w:type="dxa"/>
              <w:bottom w:w="60" w:type="dxa"/>
              <w:end w:w="80" w:type="dxa"/>
            </w:tcMar>
            <w:vAlign w:val="center"/>
          </w:tcPr>
          <w:p>
            <w:r>
              <w:rPr>
                <w:sz w:val="16"/>
              </w:rPr>
              <w:t>Owns operational monitoring, alerting, replay, incident procedures and capacity management.</w:t>
            </w:r>
          </w:p>
        </w:tc>
      </w:tr>
    </w:tbl>
    <w:p>
      <w:pPr>
        <w:pStyle w:val="Heading1"/>
      </w:pPr>
      <w:r>
        <w:t>5. Phase 1 Reference Implementation Baseline</w:t>
      </w:r>
    </w:p>
    <w:p>
      <w:r>
        <w:t>The current implementation is notebook-first but module-backed. Business logic is in reusable Python modules, and the notebooks orchestrate runs and present executive reporting. The current flat output contract has 17 generated fields per enabled group; the sample configuration has 16 groups, which means 272 generated fields in addition to source columns. The implementation therefore already introduced a detailed nested JSONL output to avoid putting every audit detail into the flat CSV.</w:t>
      </w:r>
    </w:p>
    <w:p>
      <w:pPr>
        <w:pStyle w:val="Heading2"/>
      </w:pPr>
      <w:r>
        <w:t>5.1 Logical Processing Flow</w:t>
      </w:r>
    </w:p>
    <w:p>
      <w:pPr>
        <w:pStyle w:val="ListNumber"/>
        <w:spacing w:after="40"/>
      </w:pPr>
      <w:r>
        <w:t>Validate input schema and external address-group configuration.</w:t>
      </w:r>
    </w:p>
    <w:p>
      <w:pPr>
        <w:pStyle w:val="ListNumber"/>
        <w:spacing w:after="40"/>
      </w:pPr>
      <w:r>
        <w:t>Build and clean combined addresses deterministically; discard only null/blank fields or a whole field exactly equal to "0".</w:t>
      </w:r>
    </w:p>
    <w:p>
      <w:pPr>
        <w:pStyle w:val="ListNumber"/>
        <w:spacing w:after="40"/>
      </w:pPr>
      <w:r>
        <w:t>Short-circuit empty combined addresses with NO_TOWN / NO_COUNTRY and no LLM call.</w:t>
      </w:r>
    </w:p>
    <w:p>
      <w:pPr>
        <w:pStyle w:val="ListNumber"/>
        <w:spacing w:after="40"/>
      </w:pPr>
      <w:r>
        <w:t>Deduplicate non-empty cleaned addresses across rows and groups.</w:t>
      </w:r>
    </w:p>
    <w:p>
      <w:pPr>
        <w:pStyle w:val="ListNumber"/>
        <w:spacing w:after="40"/>
      </w:pPr>
      <w:r>
        <w:t>Call the LLM with structured JSON output for Town/Country candidates, evidence, ambiguity flags, confidences and rationales.</w:t>
      </w:r>
    </w:p>
    <w:p>
      <w:pPr>
        <w:pStyle w:val="ListNumber"/>
        <w:spacing w:after="40"/>
      </w:pPr>
      <w:r>
        <w:t>Verify evidence and ISO Country codes in Python; prevent substring false positives.</w:t>
      </w:r>
    </w:p>
    <w:p>
      <w:pPr>
        <w:pStyle w:val="ListNumber"/>
        <w:spacing w:after="40"/>
      </w:pPr>
      <w:r>
        <w:t>Apply Town/Country reference validation post-extraction.</w:t>
      </w:r>
    </w:p>
    <w:p>
      <w:pPr>
        <w:pStyle w:val="ListNumber"/>
        <w:spacing w:after="40"/>
      </w:pPr>
      <w:r>
        <w:t>Select a deterministic policy scenario and calculate Composite Weighted Score.</w:t>
      </w:r>
    </w:p>
    <w:p>
      <w:pPr>
        <w:pStyle w:val="ListNumber"/>
        <w:spacing w:after="40"/>
      </w:pPr>
      <w:r>
        <w:t>Calculate independent ground-truth labels and cross-entropy only when evidence is grounded.</w:t>
      </w:r>
    </w:p>
    <w:p>
      <w:pPr>
        <w:pStyle w:val="ListNumber"/>
        <w:spacing w:after="40"/>
      </w:pPr>
      <w:r>
        <w:t>Retract only explicitly verified Town/Country evidence from copies of source fields and preserve original fields unchanged.</w:t>
      </w:r>
    </w:p>
    <w:p>
      <w:pPr>
        <w:pStyle w:val="ListNumber"/>
        <w:spacing w:after="40"/>
      </w:pPr>
      <w:r>
        <w:t>Map unique-address decisions back to all record/group occurrences.</w:t>
      </w:r>
    </w:p>
    <w:p>
      <w:pPr>
        <w:pStyle w:val="ListNumber"/>
        <w:spacing w:after="40"/>
      </w:pPr>
      <w:r>
        <w:t>Write compatibility CSV, detailed nested JSONL, run metrics, error sidecar and executive reports.</w:t>
      </w:r>
    </w:p>
    <w:p>
      <w:pPr>
        <w:pStyle w:val="Heading1"/>
      </w:pPr>
      <w:r>
        <w:t>6. Functional Requirements</w:t>
      </w:r>
    </w:p>
    <w:p>
      <w:pPr>
        <w:pStyle w:val="Heading3"/>
      </w:pPr>
      <w:r>
        <w:t>6.1 Ingestion, Grouping and Preprocessing</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008"/>
            <w:tcMar>
              <w:top w:w="60" w:type="dxa"/>
              <w:start w:w="80" w:type="dxa"/>
              <w:bottom w:w="60" w:type="dxa"/>
              <w:end w:w="80" w:type="dxa"/>
            </w:tcMar>
            <w:vAlign w:val="center"/>
            <w:shd w:fill="17365D"/>
          </w:tcPr>
          <w:p>
            <w:r>
              <w:rPr>
                <w:b/>
                <w:color w:val="FFFFFF"/>
                <w:sz w:val="16"/>
              </w:rPr>
              <w:t>ID</w:t>
            </w:r>
          </w:p>
        </w:tc>
        <w:tc>
          <w:tcPr>
            <w:tcW w:type="dxa" w:w="5328"/>
            <w:tcMar>
              <w:top w:w="60" w:type="dxa"/>
              <w:start w:w="80" w:type="dxa"/>
              <w:bottom w:w="60" w:type="dxa"/>
              <w:end w:w="80" w:type="dxa"/>
            </w:tcMar>
            <w:vAlign w:val="center"/>
            <w:shd w:fill="17365D"/>
          </w:tcPr>
          <w:p>
            <w:r>
              <w:rPr>
                <w:b/>
                <w:color w:val="FFFFFF"/>
                <w:sz w:val="16"/>
              </w:rPr>
              <w:t>Business / Functional Requirement</w:t>
            </w:r>
          </w:p>
        </w:tc>
        <w:tc>
          <w:tcPr>
            <w:tcW w:type="dxa" w:w="1008"/>
            <w:tcMar>
              <w:top w:w="60" w:type="dxa"/>
              <w:start w:w="80" w:type="dxa"/>
              <w:bottom w:w="60" w:type="dxa"/>
              <w:end w:w="80" w:type="dxa"/>
            </w:tcMar>
            <w:vAlign w:val="center"/>
            <w:shd w:fill="17365D"/>
          </w:tcPr>
          <w:p>
            <w:r>
              <w:rPr>
                <w:b/>
                <w:color w:val="FFFFFF"/>
                <w:sz w:val="16"/>
              </w:rPr>
              <w:t>Priority</w:t>
            </w:r>
          </w:p>
        </w:tc>
        <w:tc>
          <w:tcPr>
            <w:tcW w:type="dxa" w:w="3168"/>
            <w:tcMar>
              <w:top w:w="60" w:type="dxa"/>
              <w:start w:w="80" w:type="dxa"/>
              <w:bottom w:w="60" w:type="dxa"/>
              <w:end w:w="80" w:type="dxa"/>
            </w:tcMar>
            <w:vAlign w:val="center"/>
            <w:shd w:fill="17365D"/>
          </w:tcPr>
          <w:p>
            <w:r>
              <w:rPr>
                <w:b/>
                <w:color w:val="FFFFFF"/>
                <w:sz w:val="16"/>
              </w:rPr>
              <w:t>Acceptance / Verification</w:t>
            </w:r>
          </w:p>
        </w:tc>
      </w:tr>
      <w:tr>
        <w:tc>
          <w:tcPr>
            <w:tcW w:type="dxa" w:w="1008"/>
            <w:tcMar>
              <w:top w:w="60" w:type="dxa"/>
              <w:start w:w="80" w:type="dxa"/>
              <w:bottom w:w="60" w:type="dxa"/>
              <w:end w:w="80" w:type="dxa"/>
            </w:tcMar>
            <w:vAlign w:val="center"/>
          </w:tcPr>
          <w:p>
            <w:r>
              <w:rPr>
                <w:sz w:val="16"/>
              </w:rPr>
              <w:t>FR-001</w:t>
            </w:r>
          </w:p>
        </w:tc>
        <w:tc>
          <w:tcPr>
            <w:tcW w:type="dxa" w:w="5328"/>
            <w:tcMar>
              <w:top w:w="60" w:type="dxa"/>
              <w:start w:w="80" w:type="dxa"/>
              <w:bottom w:w="60" w:type="dxa"/>
              <w:end w:w="80" w:type="dxa"/>
            </w:tcMar>
            <w:vAlign w:val="center"/>
          </w:tcPr>
          <w:p>
            <w:r>
              <w:rPr>
                <w:sz w:val="16"/>
              </w:rPr>
              <w:t>The solution shall accept a stable record identifier and preserve it exactly throughout processing.</w:t>
            </w:r>
          </w:p>
        </w:tc>
        <w:tc>
          <w:tcPr>
            <w:tcW w:type="dxa" w:w="1008"/>
            <w:tcMar>
              <w:top w:w="60" w:type="dxa"/>
              <w:start w:w="80" w:type="dxa"/>
              <w:bottom w:w="60" w:type="dxa"/>
              <w:end w:w="80" w:type="dxa"/>
            </w:tcMar>
            <w:vAlign w:val="center"/>
          </w:tcPr>
          <w:p>
            <w:r>
              <w:rPr>
                <w:sz w:val="16"/>
              </w:rPr>
              <w:t>Must</w:t>
            </w:r>
          </w:p>
        </w:tc>
        <w:tc>
          <w:tcPr>
            <w:tcW w:type="dxa" w:w="3168"/>
            <w:tcMar>
              <w:top w:w="60" w:type="dxa"/>
              <w:start w:w="80" w:type="dxa"/>
              <w:bottom w:w="60" w:type="dxa"/>
              <w:end w:w="80" w:type="dxa"/>
            </w:tcMar>
            <w:vAlign w:val="center"/>
          </w:tcPr>
          <w:p>
            <w:r>
              <w:rPr>
                <w:sz w:val="16"/>
              </w:rPr>
              <w:t>Output record identifier equals input identifier for every record.</w:t>
            </w:r>
          </w:p>
        </w:tc>
      </w:tr>
      <w:tr>
        <w:tc>
          <w:tcPr>
            <w:tcW w:type="dxa" w:w="1008"/>
            <w:tcMar>
              <w:top w:w="60" w:type="dxa"/>
              <w:start w:w="80" w:type="dxa"/>
              <w:bottom w:w="60" w:type="dxa"/>
              <w:end w:w="80" w:type="dxa"/>
            </w:tcMar>
            <w:vAlign w:val="center"/>
            <w:shd w:fill="F3F6FA"/>
          </w:tcPr>
          <w:p>
            <w:r>
              <w:rPr>
                <w:sz w:val="16"/>
              </w:rPr>
              <w:t>FR-002</w:t>
            </w:r>
          </w:p>
        </w:tc>
        <w:tc>
          <w:tcPr>
            <w:tcW w:type="dxa" w:w="5328"/>
            <w:tcMar>
              <w:top w:w="60" w:type="dxa"/>
              <w:start w:w="80" w:type="dxa"/>
              <w:bottom w:w="60" w:type="dxa"/>
              <w:end w:w="80" w:type="dxa"/>
            </w:tcMar>
            <w:vAlign w:val="center"/>
            <w:shd w:fill="F3F6FA"/>
          </w:tcPr>
          <w:p>
            <w:r>
              <w:rPr>
                <w:sz w:val="16"/>
              </w:rPr>
              <w:t>The solution shall support externally configured address groups and ordered source fields; group count and field count shall not be hard-coded.</w:t>
            </w:r>
          </w:p>
        </w:tc>
        <w:tc>
          <w:tcPr>
            <w:tcW w:type="dxa" w:w="1008"/>
            <w:tcMar>
              <w:top w:w="60" w:type="dxa"/>
              <w:start w:w="80" w:type="dxa"/>
              <w:bottom w:w="60" w:type="dxa"/>
              <w:end w:w="80" w:type="dxa"/>
            </w:tcMar>
            <w:vAlign w:val="center"/>
            <w:shd w:fill="F3F6FA"/>
          </w:tcPr>
          <w:p>
            <w:r>
              <w:rPr>
                <w:sz w:val="16"/>
              </w:rPr>
              <w:t>Must</w:t>
            </w:r>
          </w:p>
        </w:tc>
        <w:tc>
          <w:tcPr>
            <w:tcW w:type="dxa" w:w="3168"/>
            <w:tcMar>
              <w:top w:w="60" w:type="dxa"/>
              <w:start w:w="80" w:type="dxa"/>
              <w:bottom w:w="60" w:type="dxa"/>
              <w:end w:w="80" w:type="dxa"/>
            </w:tcMar>
            <w:vAlign w:val="center"/>
            <w:shd w:fill="F3F6FA"/>
          </w:tcPr>
          <w:p>
            <w:r>
              <w:rPr>
                <w:sz w:val="16"/>
              </w:rPr>
              <w:t>Changing config changes grouping without code changes.</w:t>
            </w:r>
          </w:p>
        </w:tc>
      </w:tr>
      <w:tr>
        <w:tc>
          <w:tcPr>
            <w:tcW w:type="dxa" w:w="1008"/>
            <w:tcMar>
              <w:top w:w="60" w:type="dxa"/>
              <w:start w:w="80" w:type="dxa"/>
              <w:bottom w:w="60" w:type="dxa"/>
              <w:end w:w="80" w:type="dxa"/>
            </w:tcMar>
            <w:vAlign w:val="center"/>
          </w:tcPr>
          <w:p>
            <w:r>
              <w:rPr>
                <w:sz w:val="16"/>
              </w:rPr>
              <w:t>FR-003</w:t>
            </w:r>
          </w:p>
        </w:tc>
        <w:tc>
          <w:tcPr>
            <w:tcW w:type="dxa" w:w="5328"/>
            <w:tcMar>
              <w:top w:w="60" w:type="dxa"/>
              <w:start w:w="80" w:type="dxa"/>
              <w:bottom w:w="60" w:type="dxa"/>
              <w:end w:w="80" w:type="dxa"/>
            </w:tcMar>
            <w:vAlign w:val="center"/>
          </w:tcPr>
          <w:p>
            <w:r>
              <w:rPr>
                <w:sz w:val="16"/>
              </w:rPr>
              <w:t>All original input fields shall be preserved unchanged in compatibility outputs and audit records.</w:t>
            </w:r>
          </w:p>
        </w:tc>
        <w:tc>
          <w:tcPr>
            <w:tcW w:type="dxa" w:w="1008"/>
            <w:tcMar>
              <w:top w:w="60" w:type="dxa"/>
              <w:start w:w="80" w:type="dxa"/>
              <w:bottom w:w="60" w:type="dxa"/>
              <w:end w:w="80" w:type="dxa"/>
            </w:tcMar>
            <w:vAlign w:val="center"/>
          </w:tcPr>
          <w:p>
            <w:r>
              <w:rPr>
                <w:sz w:val="16"/>
              </w:rPr>
              <w:t>Must</w:t>
            </w:r>
          </w:p>
        </w:tc>
        <w:tc>
          <w:tcPr>
            <w:tcW w:type="dxa" w:w="3168"/>
            <w:tcMar>
              <w:top w:w="60" w:type="dxa"/>
              <w:start w:w="80" w:type="dxa"/>
              <w:bottom w:w="60" w:type="dxa"/>
              <w:end w:w="80" w:type="dxa"/>
            </w:tcMar>
            <w:vAlign w:val="center"/>
          </w:tcPr>
          <w:p>
            <w:r>
              <w:rPr>
                <w:sz w:val="16"/>
              </w:rPr>
              <w:t>Column/value comparison demonstrates no mutation of source fields.</w:t>
            </w:r>
          </w:p>
        </w:tc>
      </w:tr>
      <w:tr>
        <w:tc>
          <w:tcPr>
            <w:tcW w:type="dxa" w:w="1008"/>
            <w:tcMar>
              <w:top w:w="60" w:type="dxa"/>
              <w:start w:w="80" w:type="dxa"/>
              <w:bottom w:w="60" w:type="dxa"/>
              <w:end w:w="80" w:type="dxa"/>
            </w:tcMar>
            <w:vAlign w:val="center"/>
            <w:shd w:fill="F3F6FA"/>
          </w:tcPr>
          <w:p>
            <w:r>
              <w:rPr>
                <w:sz w:val="16"/>
              </w:rPr>
              <w:t>FR-004</w:t>
            </w:r>
          </w:p>
        </w:tc>
        <w:tc>
          <w:tcPr>
            <w:tcW w:type="dxa" w:w="5328"/>
            <w:tcMar>
              <w:top w:w="60" w:type="dxa"/>
              <w:start w:w="80" w:type="dxa"/>
              <w:bottom w:w="60" w:type="dxa"/>
              <w:end w:w="80" w:type="dxa"/>
            </w:tcMar>
            <w:vAlign w:val="center"/>
            <w:shd w:fill="F3F6FA"/>
          </w:tcPr>
          <w:p>
            <w:r>
              <w:rPr>
                <w:sz w:val="16"/>
              </w:rPr>
              <w:t>A source field shall be treated as missing only when null, blank/whitespace, or the entire trimmed value is exactly "0".</w:t>
            </w:r>
          </w:p>
        </w:tc>
        <w:tc>
          <w:tcPr>
            <w:tcW w:type="dxa" w:w="1008"/>
            <w:tcMar>
              <w:top w:w="60" w:type="dxa"/>
              <w:start w:w="80" w:type="dxa"/>
              <w:bottom w:w="60" w:type="dxa"/>
              <w:end w:w="80" w:type="dxa"/>
            </w:tcMar>
            <w:vAlign w:val="center"/>
            <w:shd w:fill="F3F6FA"/>
          </w:tcPr>
          <w:p>
            <w:r>
              <w:rPr>
                <w:sz w:val="16"/>
              </w:rPr>
              <w:t>Must</w:t>
            </w:r>
          </w:p>
        </w:tc>
        <w:tc>
          <w:tcPr>
            <w:tcW w:type="dxa" w:w="3168"/>
            <w:tcMar>
              <w:top w:w="60" w:type="dxa"/>
              <w:start w:w="80" w:type="dxa"/>
              <w:bottom w:w="60" w:type="dxa"/>
              <w:end w:w="80" w:type="dxa"/>
            </w:tcMar>
            <w:vAlign w:val="center"/>
            <w:shd w:fill="F3F6FA"/>
          </w:tcPr>
          <w:p>
            <w:r>
              <w:rPr>
                <w:sz w:val="16"/>
              </w:rPr>
              <w:t>Digits embedded in legitimate addresses/postal codes remain intact.</w:t>
            </w:r>
          </w:p>
        </w:tc>
      </w:tr>
      <w:tr>
        <w:tc>
          <w:tcPr>
            <w:tcW w:type="dxa" w:w="1008"/>
            <w:tcMar>
              <w:top w:w="60" w:type="dxa"/>
              <w:start w:w="80" w:type="dxa"/>
              <w:bottom w:w="60" w:type="dxa"/>
              <w:end w:w="80" w:type="dxa"/>
            </w:tcMar>
            <w:vAlign w:val="center"/>
          </w:tcPr>
          <w:p>
            <w:r>
              <w:rPr>
                <w:sz w:val="16"/>
              </w:rPr>
              <w:t>FR-005</w:t>
            </w:r>
          </w:p>
        </w:tc>
        <w:tc>
          <w:tcPr>
            <w:tcW w:type="dxa" w:w="5328"/>
            <w:tcMar>
              <w:top w:w="60" w:type="dxa"/>
              <w:start w:w="80" w:type="dxa"/>
              <w:bottom w:w="60" w:type="dxa"/>
              <w:end w:w="80" w:type="dxa"/>
            </w:tcMar>
            <w:vAlign w:val="center"/>
          </w:tcPr>
          <w:p>
            <w:r>
              <w:rPr>
                <w:sz w:val="16"/>
              </w:rPr>
              <w:t>The solution shall create a deterministic combined and cleaned address per enabled group.</w:t>
            </w:r>
          </w:p>
        </w:tc>
        <w:tc>
          <w:tcPr>
            <w:tcW w:type="dxa" w:w="1008"/>
            <w:tcMar>
              <w:top w:w="60" w:type="dxa"/>
              <w:start w:w="80" w:type="dxa"/>
              <w:bottom w:w="60" w:type="dxa"/>
              <w:end w:w="80" w:type="dxa"/>
            </w:tcMar>
            <w:vAlign w:val="center"/>
          </w:tcPr>
          <w:p>
            <w:r>
              <w:rPr>
                <w:sz w:val="16"/>
              </w:rPr>
              <w:t>Must</w:t>
            </w:r>
          </w:p>
        </w:tc>
        <w:tc>
          <w:tcPr>
            <w:tcW w:type="dxa" w:w="3168"/>
            <w:tcMar>
              <w:top w:w="60" w:type="dxa"/>
              <w:start w:w="80" w:type="dxa"/>
              <w:bottom w:w="60" w:type="dxa"/>
              <w:end w:w="80" w:type="dxa"/>
            </w:tcMar>
            <w:vAlign w:val="center"/>
          </w:tcPr>
          <w:p>
            <w:r>
              <w:rPr>
                <w:sz w:val="16"/>
              </w:rPr>
              <w:t>Repeated runs over the same source values produce the same result.</w:t>
            </w:r>
          </w:p>
        </w:tc>
      </w:tr>
      <w:tr>
        <w:tc>
          <w:tcPr>
            <w:tcW w:type="dxa" w:w="1008"/>
            <w:tcMar>
              <w:top w:w="60" w:type="dxa"/>
              <w:start w:w="80" w:type="dxa"/>
              <w:bottom w:w="60" w:type="dxa"/>
              <w:end w:w="80" w:type="dxa"/>
            </w:tcMar>
            <w:vAlign w:val="center"/>
            <w:shd w:fill="F3F6FA"/>
          </w:tcPr>
          <w:p>
            <w:r>
              <w:rPr>
                <w:sz w:val="16"/>
              </w:rPr>
              <w:t>FR-006</w:t>
            </w:r>
          </w:p>
        </w:tc>
        <w:tc>
          <w:tcPr>
            <w:tcW w:type="dxa" w:w="5328"/>
            <w:tcMar>
              <w:top w:w="60" w:type="dxa"/>
              <w:start w:w="80" w:type="dxa"/>
              <w:bottom w:w="60" w:type="dxa"/>
              <w:end w:w="80" w:type="dxa"/>
            </w:tcMar>
            <w:vAlign w:val="center"/>
            <w:shd w:fill="F3F6FA"/>
          </w:tcPr>
          <w:p>
            <w:r>
              <w:rPr>
                <w:sz w:val="16"/>
              </w:rPr>
              <w:t>An empty combined address shall be finalized without an LLM call.</w:t>
            </w:r>
          </w:p>
        </w:tc>
        <w:tc>
          <w:tcPr>
            <w:tcW w:type="dxa" w:w="1008"/>
            <w:tcMar>
              <w:top w:w="60" w:type="dxa"/>
              <w:start w:w="80" w:type="dxa"/>
              <w:bottom w:w="60" w:type="dxa"/>
              <w:end w:w="80" w:type="dxa"/>
            </w:tcMar>
            <w:vAlign w:val="center"/>
            <w:shd w:fill="F3F6FA"/>
          </w:tcPr>
          <w:p>
            <w:r>
              <w:rPr>
                <w:sz w:val="16"/>
              </w:rPr>
              <w:t>Must</w:t>
            </w:r>
          </w:p>
        </w:tc>
        <w:tc>
          <w:tcPr>
            <w:tcW w:type="dxa" w:w="3168"/>
            <w:tcMar>
              <w:top w:w="60" w:type="dxa"/>
              <w:start w:w="80" w:type="dxa"/>
              <w:bottom w:w="60" w:type="dxa"/>
              <w:end w:w="80" w:type="dxa"/>
            </w:tcMar>
            <w:vAlign w:val="center"/>
            <w:shd w:fill="F3F6FA"/>
          </w:tcPr>
          <w:p>
            <w:r>
              <w:rPr>
                <w:sz w:val="16"/>
              </w:rPr>
              <w:t>Call count remains zero for empty-group fixtures.</w:t>
            </w:r>
          </w:p>
        </w:tc>
      </w:tr>
    </w:tbl>
    <w:p>
      <w:pPr>
        <w:pStyle w:val="Heading3"/>
      </w:pPr>
      <w:r>
        <w:t>6.2 LLM Extraction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008"/>
            <w:tcMar>
              <w:top w:w="60" w:type="dxa"/>
              <w:start w:w="80" w:type="dxa"/>
              <w:bottom w:w="60" w:type="dxa"/>
              <w:end w:w="80" w:type="dxa"/>
            </w:tcMar>
            <w:vAlign w:val="center"/>
            <w:shd w:fill="17365D"/>
          </w:tcPr>
          <w:p>
            <w:r>
              <w:rPr>
                <w:b/>
                <w:color w:val="FFFFFF"/>
                <w:sz w:val="16"/>
              </w:rPr>
              <w:t>ID</w:t>
            </w:r>
          </w:p>
        </w:tc>
        <w:tc>
          <w:tcPr>
            <w:tcW w:type="dxa" w:w="5328"/>
            <w:tcMar>
              <w:top w:w="60" w:type="dxa"/>
              <w:start w:w="80" w:type="dxa"/>
              <w:bottom w:w="60" w:type="dxa"/>
              <w:end w:w="80" w:type="dxa"/>
            </w:tcMar>
            <w:vAlign w:val="center"/>
            <w:shd w:fill="17365D"/>
          </w:tcPr>
          <w:p>
            <w:r>
              <w:rPr>
                <w:b/>
                <w:color w:val="FFFFFF"/>
                <w:sz w:val="16"/>
              </w:rPr>
              <w:t>Business / Functional Requirement</w:t>
            </w:r>
          </w:p>
        </w:tc>
        <w:tc>
          <w:tcPr>
            <w:tcW w:type="dxa" w:w="1008"/>
            <w:tcMar>
              <w:top w:w="60" w:type="dxa"/>
              <w:start w:w="80" w:type="dxa"/>
              <w:bottom w:w="60" w:type="dxa"/>
              <w:end w:w="80" w:type="dxa"/>
            </w:tcMar>
            <w:vAlign w:val="center"/>
            <w:shd w:fill="17365D"/>
          </w:tcPr>
          <w:p>
            <w:r>
              <w:rPr>
                <w:b/>
                <w:color w:val="FFFFFF"/>
                <w:sz w:val="16"/>
              </w:rPr>
              <w:t>Priority</w:t>
            </w:r>
          </w:p>
        </w:tc>
        <w:tc>
          <w:tcPr>
            <w:tcW w:type="dxa" w:w="3168"/>
            <w:tcMar>
              <w:top w:w="60" w:type="dxa"/>
              <w:start w:w="80" w:type="dxa"/>
              <w:bottom w:w="60" w:type="dxa"/>
              <w:end w:w="80" w:type="dxa"/>
            </w:tcMar>
            <w:vAlign w:val="center"/>
            <w:shd w:fill="17365D"/>
          </w:tcPr>
          <w:p>
            <w:r>
              <w:rPr>
                <w:b/>
                <w:color w:val="FFFFFF"/>
                <w:sz w:val="16"/>
              </w:rPr>
              <w:t>Acceptance / Verification</w:t>
            </w:r>
          </w:p>
        </w:tc>
      </w:tr>
      <w:tr>
        <w:tc>
          <w:tcPr>
            <w:tcW w:type="dxa" w:w="1008"/>
            <w:tcMar>
              <w:top w:w="60" w:type="dxa"/>
              <w:start w:w="80" w:type="dxa"/>
              <w:bottom w:w="60" w:type="dxa"/>
              <w:end w:w="80" w:type="dxa"/>
            </w:tcMar>
            <w:vAlign w:val="center"/>
          </w:tcPr>
          <w:p>
            <w:r>
              <w:rPr>
                <w:sz w:val="16"/>
              </w:rPr>
              <w:t>FR-010</w:t>
            </w:r>
          </w:p>
        </w:tc>
        <w:tc>
          <w:tcPr>
            <w:tcW w:type="dxa" w:w="5328"/>
            <w:tcMar>
              <w:top w:w="60" w:type="dxa"/>
              <w:start w:w="80" w:type="dxa"/>
              <w:bottom w:w="60" w:type="dxa"/>
              <w:end w:w="80" w:type="dxa"/>
            </w:tcMar>
            <w:vAlign w:val="center"/>
          </w:tcPr>
          <w:p>
            <w:r>
              <w:rPr>
                <w:sz w:val="16"/>
              </w:rPr>
              <w:t>For each unique non-empty address, the solution shall request structured Town/Country extraction from an enterprise-approved LLM.</w:t>
            </w:r>
          </w:p>
        </w:tc>
        <w:tc>
          <w:tcPr>
            <w:tcW w:type="dxa" w:w="1008"/>
            <w:tcMar>
              <w:top w:w="60" w:type="dxa"/>
              <w:start w:w="80" w:type="dxa"/>
              <w:bottom w:w="60" w:type="dxa"/>
              <w:end w:w="80" w:type="dxa"/>
            </w:tcMar>
            <w:vAlign w:val="center"/>
          </w:tcPr>
          <w:p>
            <w:r>
              <w:rPr>
                <w:sz w:val="16"/>
              </w:rPr>
              <w:t>Must</w:t>
            </w:r>
          </w:p>
        </w:tc>
        <w:tc>
          <w:tcPr>
            <w:tcW w:type="dxa" w:w="3168"/>
            <w:tcMar>
              <w:top w:w="60" w:type="dxa"/>
              <w:start w:w="80" w:type="dxa"/>
              <w:bottom w:w="60" w:type="dxa"/>
              <w:end w:w="80" w:type="dxa"/>
            </w:tcMar>
            <w:vAlign w:val="center"/>
          </w:tcPr>
          <w:p>
            <w:r>
              <w:rPr>
                <w:sz w:val="16"/>
              </w:rPr>
              <w:t>Response validates against a structured schema before downstream use.</w:t>
            </w:r>
          </w:p>
        </w:tc>
      </w:tr>
      <w:tr>
        <w:tc>
          <w:tcPr>
            <w:tcW w:type="dxa" w:w="1008"/>
            <w:tcMar>
              <w:top w:w="60" w:type="dxa"/>
              <w:start w:w="80" w:type="dxa"/>
              <w:bottom w:w="60" w:type="dxa"/>
              <w:end w:w="80" w:type="dxa"/>
            </w:tcMar>
            <w:vAlign w:val="center"/>
            <w:shd w:fill="F3F6FA"/>
          </w:tcPr>
          <w:p>
            <w:r>
              <w:rPr>
                <w:sz w:val="16"/>
              </w:rPr>
              <w:t>FR-011</w:t>
            </w:r>
          </w:p>
        </w:tc>
        <w:tc>
          <w:tcPr>
            <w:tcW w:type="dxa" w:w="5328"/>
            <w:tcMar>
              <w:top w:w="60" w:type="dxa"/>
              <w:start w:w="80" w:type="dxa"/>
              <w:bottom w:w="60" w:type="dxa"/>
              <w:end w:w="80" w:type="dxa"/>
            </w:tcMar>
            <w:vAlign w:val="center"/>
            <w:shd w:fill="F3F6FA"/>
          </w:tcPr>
          <w:p>
            <w:r>
              <w:rPr>
                <w:sz w:val="16"/>
              </w:rPr>
              <w:t>The LLM response shall include Town, Country candidate set, model confidences, evidence/explicitness indicators, ambiguity indicators and rationales needed for deterministic verification.</w:t>
            </w:r>
          </w:p>
        </w:tc>
        <w:tc>
          <w:tcPr>
            <w:tcW w:type="dxa" w:w="1008"/>
            <w:tcMar>
              <w:top w:w="60" w:type="dxa"/>
              <w:start w:w="80" w:type="dxa"/>
              <w:bottom w:w="60" w:type="dxa"/>
              <w:end w:w="80" w:type="dxa"/>
            </w:tcMar>
            <w:vAlign w:val="center"/>
            <w:shd w:fill="F3F6FA"/>
          </w:tcPr>
          <w:p>
            <w:r>
              <w:rPr>
                <w:sz w:val="16"/>
              </w:rPr>
              <w:t>Must</w:t>
            </w:r>
          </w:p>
        </w:tc>
        <w:tc>
          <w:tcPr>
            <w:tcW w:type="dxa" w:w="3168"/>
            <w:tcMar>
              <w:top w:w="60" w:type="dxa"/>
              <w:start w:w="80" w:type="dxa"/>
              <w:bottom w:w="60" w:type="dxa"/>
              <w:end w:w="80" w:type="dxa"/>
            </w:tcMar>
            <w:vAlign w:val="center"/>
            <w:shd w:fill="F3F6FA"/>
          </w:tcPr>
          <w:p>
            <w:r>
              <w:rPr>
                <w:sz w:val="16"/>
              </w:rPr>
              <w:t>All mandatory response fields are present and schema-valid.</w:t>
            </w:r>
          </w:p>
        </w:tc>
      </w:tr>
      <w:tr>
        <w:tc>
          <w:tcPr>
            <w:tcW w:type="dxa" w:w="1008"/>
            <w:tcMar>
              <w:top w:w="60" w:type="dxa"/>
              <w:start w:w="80" w:type="dxa"/>
              <w:bottom w:w="60" w:type="dxa"/>
              <w:end w:w="80" w:type="dxa"/>
            </w:tcMar>
            <w:vAlign w:val="center"/>
          </w:tcPr>
          <w:p>
            <w:r>
              <w:rPr>
                <w:sz w:val="16"/>
              </w:rPr>
              <w:t>FR-012</w:t>
            </w:r>
          </w:p>
        </w:tc>
        <w:tc>
          <w:tcPr>
            <w:tcW w:type="dxa" w:w="5328"/>
            <w:tcMar>
              <w:top w:w="60" w:type="dxa"/>
              <w:start w:w="80" w:type="dxa"/>
              <w:bottom w:w="60" w:type="dxa"/>
              <w:end w:w="80" w:type="dxa"/>
            </w:tcMar>
            <w:vAlign w:val="center"/>
          </w:tcPr>
          <w:p>
            <w:r>
              <w:rPr>
                <w:sz w:val="16"/>
              </w:rPr>
              <w:t>Country candidates shall be normalized to ISO 3166-1 alpha-2 codes; invalid codes shall not be accepted as production results.</w:t>
            </w:r>
          </w:p>
        </w:tc>
        <w:tc>
          <w:tcPr>
            <w:tcW w:type="dxa" w:w="1008"/>
            <w:tcMar>
              <w:top w:w="60" w:type="dxa"/>
              <w:start w:w="80" w:type="dxa"/>
              <w:bottom w:w="60" w:type="dxa"/>
              <w:end w:w="80" w:type="dxa"/>
            </w:tcMar>
            <w:vAlign w:val="center"/>
          </w:tcPr>
          <w:p>
            <w:r>
              <w:rPr>
                <w:sz w:val="16"/>
              </w:rPr>
              <w:t>Must</w:t>
            </w:r>
          </w:p>
        </w:tc>
        <w:tc>
          <w:tcPr>
            <w:tcW w:type="dxa" w:w="3168"/>
            <w:tcMar>
              <w:top w:w="60" w:type="dxa"/>
              <w:start w:w="80" w:type="dxa"/>
              <w:bottom w:w="60" w:type="dxa"/>
              <w:end w:w="80" w:type="dxa"/>
            </w:tcMar>
            <w:vAlign w:val="center"/>
          </w:tcPr>
          <w:p>
            <w:r>
              <w:rPr>
                <w:sz w:val="16"/>
              </w:rPr>
              <w:t>Invalid-code test fails validation or is removed according to implementation rules.</w:t>
            </w:r>
          </w:p>
        </w:tc>
      </w:tr>
      <w:tr>
        <w:tc>
          <w:tcPr>
            <w:tcW w:type="dxa" w:w="1008"/>
            <w:tcMar>
              <w:top w:w="60" w:type="dxa"/>
              <w:start w:w="80" w:type="dxa"/>
              <w:bottom w:w="60" w:type="dxa"/>
              <w:end w:w="80" w:type="dxa"/>
            </w:tcMar>
            <w:vAlign w:val="center"/>
            <w:shd w:fill="F3F6FA"/>
          </w:tcPr>
          <w:p>
            <w:r>
              <w:rPr>
                <w:sz w:val="16"/>
              </w:rPr>
              <w:t>FR-013</w:t>
            </w:r>
          </w:p>
        </w:tc>
        <w:tc>
          <w:tcPr>
            <w:tcW w:type="dxa" w:w="5328"/>
            <w:tcMar>
              <w:top w:w="60" w:type="dxa"/>
              <w:start w:w="80" w:type="dxa"/>
              <w:bottom w:w="60" w:type="dxa"/>
              <w:end w:w="80" w:type="dxa"/>
            </w:tcMar>
            <w:vAlign w:val="center"/>
            <w:shd w:fill="F3F6FA"/>
          </w:tcPr>
          <w:p>
            <w:r>
              <w:rPr>
                <w:sz w:val="16"/>
              </w:rPr>
              <w:t>The solution shall deduplicate identical normalized addresses so the same unique address need not be sent repeatedly to the LLM.</w:t>
            </w:r>
          </w:p>
        </w:tc>
        <w:tc>
          <w:tcPr>
            <w:tcW w:type="dxa" w:w="1008"/>
            <w:tcMar>
              <w:top w:w="60" w:type="dxa"/>
              <w:start w:w="80" w:type="dxa"/>
              <w:bottom w:w="60" w:type="dxa"/>
              <w:end w:w="80" w:type="dxa"/>
            </w:tcMar>
            <w:vAlign w:val="center"/>
            <w:shd w:fill="F3F6FA"/>
          </w:tcPr>
          <w:p>
            <w:r>
              <w:rPr>
                <w:sz w:val="16"/>
              </w:rPr>
              <w:t>Must</w:t>
            </w:r>
          </w:p>
        </w:tc>
        <w:tc>
          <w:tcPr>
            <w:tcW w:type="dxa" w:w="3168"/>
            <w:tcMar>
              <w:top w:w="60" w:type="dxa"/>
              <w:start w:w="80" w:type="dxa"/>
              <w:bottom w:w="60" w:type="dxa"/>
              <w:end w:w="80" w:type="dxa"/>
            </w:tcMar>
            <w:vAlign w:val="center"/>
            <w:shd w:fill="F3F6FA"/>
          </w:tcPr>
          <w:p>
            <w:r>
              <w:rPr>
                <w:sz w:val="16"/>
              </w:rPr>
              <w:t>Backend call count reflects unique-address processing rather than raw group-instance count.</w:t>
            </w:r>
          </w:p>
        </w:tc>
      </w:tr>
      <w:tr>
        <w:tc>
          <w:tcPr>
            <w:tcW w:type="dxa" w:w="1008"/>
            <w:tcMar>
              <w:top w:w="60" w:type="dxa"/>
              <w:start w:w="80" w:type="dxa"/>
              <w:bottom w:w="60" w:type="dxa"/>
              <w:end w:w="80" w:type="dxa"/>
            </w:tcMar>
            <w:vAlign w:val="center"/>
          </w:tcPr>
          <w:p>
            <w:r>
              <w:rPr>
                <w:sz w:val="16"/>
              </w:rPr>
              <w:t>FR-014</w:t>
            </w:r>
          </w:p>
        </w:tc>
        <w:tc>
          <w:tcPr>
            <w:tcW w:type="dxa" w:w="5328"/>
            <w:tcMar>
              <w:top w:w="60" w:type="dxa"/>
              <w:start w:w="80" w:type="dxa"/>
              <w:bottom w:w="60" w:type="dxa"/>
              <w:end w:w="80" w:type="dxa"/>
            </w:tcMar>
            <w:vAlign w:val="center"/>
          </w:tcPr>
          <w:p>
            <w:r>
              <w:rPr>
                <w:sz w:val="16"/>
              </w:rPr>
              <w:t>The solution shall cache unique-address results using model/prompt/address/reference-version context so repeat processing can be reproducible and efficient.</w:t>
            </w:r>
          </w:p>
        </w:tc>
        <w:tc>
          <w:tcPr>
            <w:tcW w:type="dxa" w:w="1008"/>
            <w:tcMar>
              <w:top w:w="60" w:type="dxa"/>
              <w:start w:w="80" w:type="dxa"/>
              <w:bottom w:w="60" w:type="dxa"/>
              <w:end w:w="80" w:type="dxa"/>
            </w:tcMar>
            <w:vAlign w:val="center"/>
          </w:tcPr>
          <w:p>
            <w:r>
              <w:rPr>
                <w:sz w:val="16"/>
              </w:rPr>
              <w:t>Should</w:t>
            </w:r>
          </w:p>
        </w:tc>
        <w:tc>
          <w:tcPr>
            <w:tcW w:type="dxa" w:w="3168"/>
            <w:tcMar>
              <w:top w:w="60" w:type="dxa"/>
              <w:start w:w="80" w:type="dxa"/>
              <w:bottom w:w="60" w:type="dxa"/>
              <w:end w:w="80" w:type="dxa"/>
            </w:tcMar>
            <w:vAlign w:val="center"/>
          </w:tcPr>
          <w:p>
            <w:r>
              <w:rPr>
                <w:sz w:val="16"/>
              </w:rPr>
              <w:t>Cache hit/miss and reference version are visible in run metrics.</w:t>
            </w:r>
          </w:p>
        </w:tc>
      </w:tr>
    </w:tbl>
    <w:p>
      <w:pPr>
        <w:pStyle w:val="Heading3"/>
      </w:pPr>
      <w:r>
        <w:t>6.3 Reference Validation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008"/>
            <w:tcMar>
              <w:top w:w="60" w:type="dxa"/>
              <w:start w:w="80" w:type="dxa"/>
              <w:bottom w:w="60" w:type="dxa"/>
              <w:end w:w="80" w:type="dxa"/>
            </w:tcMar>
            <w:vAlign w:val="center"/>
            <w:shd w:fill="17365D"/>
          </w:tcPr>
          <w:p>
            <w:r>
              <w:rPr>
                <w:b/>
                <w:color w:val="FFFFFF"/>
                <w:sz w:val="16"/>
              </w:rPr>
              <w:t>ID</w:t>
            </w:r>
          </w:p>
        </w:tc>
        <w:tc>
          <w:tcPr>
            <w:tcW w:type="dxa" w:w="5328"/>
            <w:tcMar>
              <w:top w:w="60" w:type="dxa"/>
              <w:start w:w="80" w:type="dxa"/>
              <w:bottom w:w="60" w:type="dxa"/>
              <w:end w:w="80" w:type="dxa"/>
            </w:tcMar>
            <w:vAlign w:val="center"/>
            <w:shd w:fill="17365D"/>
          </w:tcPr>
          <w:p>
            <w:r>
              <w:rPr>
                <w:b/>
                <w:color w:val="FFFFFF"/>
                <w:sz w:val="16"/>
              </w:rPr>
              <w:t>Business / Functional Requirement</w:t>
            </w:r>
          </w:p>
        </w:tc>
        <w:tc>
          <w:tcPr>
            <w:tcW w:type="dxa" w:w="1008"/>
            <w:tcMar>
              <w:top w:w="60" w:type="dxa"/>
              <w:start w:w="80" w:type="dxa"/>
              <w:bottom w:w="60" w:type="dxa"/>
              <w:end w:w="80" w:type="dxa"/>
            </w:tcMar>
            <w:vAlign w:val="center"/>
            <w:shd w:fill="17365D"/>
          </w:tcPr>
          <w:p>
            <w:r>
              <w:rPr>
                <w:b/>
                <w:color w:val="FFFFFF"/>
                <w:sz w:val="16"/>
              </w:rPr>
              <w:t>Priority</w:t>
            </w:r>
          </w:p>
        </w:tc>
        <w:tc>
          <w:tcPr>
            <w:tcW w:type="dxa" w:w="3168"/>
            <w:tcMar>
              <w:top w:w="60" w:type="dxa"/>
              <w:start w:w="80" w:type="dxa"/>
              <w:bottom w:w="60" w:type="dxa"/>
              <w:end w:w="80" w:type="dxa"/>
            </w:tcMar>
            <w:vAlign w:val="center"/>
            <w:shd w:fill="17365D"/>
          </w:tcPr>
          <w:p>
            <w:r>
              <w:rPr>
                <w:b/>
                <w:color w:val="FFFFFF"/>
                <w:sz w:val="16"/>
              </w:rPr>
              <w:t>Acceptance / Verification</w:t>
            </w:r>
          </w:p>
        </w:tc>
      </w:tr>
      <w:tr>
        <w:tc>
          <w:tcPr>
            <w:tcW w:type="dxa" w:w="1008"/>
            <w:tcMar>
              <w:top w:w="60" w:type="dxa"/>
              <w:start w:w="80" w:type="dxa"/>
              <w:bottom w:w="60" w:type="dxa"/>
              <w:end w:w="80" w:type="dxa"/>
            </w:tcMar>
            <w:vAlign w:val="center"/>
          </w:tcPr>
          <w:p>
            <w:r>
              <w:rPr>
                <w:sz w:val="16"/>
              </w:rPr>
              <w:t>FR-020</w:t>
            </w:r>
          </w:p>
        </w:tc>
        <w:tc>
          <w:tcPr>
            <w:tcW w:type="dxa" w:w="5328"/>
            <w:tcMar>
              <w:top w:w="60" w:type="dxa"/>
              <w:start w:w="80" w:type="dxa"/>
              <w:bottom w:w="60" w:type="dxa"/>
              <w:end w:w="80" w:type="dxa"/>
            </w:tcMar>
            <w:vAlign w:val="center"/>
          </w:tcPr>
          <w:p>
            <w:r>
              <w:rPr>
                <w:sz w:val="16"/>
              </w:rPr>
              <w:t>The solution shall validate Country codes and derive Country display names deterministically from an approved ISO reference source.</w:t>
            </w:r>
          </w:p>
        </w:tc>
        <w:tc>
          <w:tcPr>
            <w:tcW w:type="dxa" w:w="1008"/>
            <w:tcMar>
              <w:top w:w="60" w:type="dxa"/>
              <w:start w:w="80" w:type="dxa"/>
              <w:bottom w:w="60" w:type="dxa"/>
              <w:end w:w="80" w:type="dxa"/>
            </w:tcMar>
            <w:vAlign w:val="center"/>
          </w:tcPr>
          <w:p>
            <w:r>
              <w:rPr>
                <w:sz w:val="16"/>
              </w:rPr>
              <w:t>Must</w:t>
            </w:r>
          </w:p>
        </w:tc>
        <w:tc>
          <w:tcPr>
            <w:tcW w:type="dxa" w:w="3168"/>
            <w:tcMar>
              <w:top w:w="60" w:type="dxa"/>
              <w:start w:w="80" w:type="dxa"/>
              <w:bottom w:w="60" w:type="dxa"/>
              <w:end w:w="80" w:type="dxa"/>
            </w:tcMar>
            <w:vAlign w:val="center"/>
          </w:tcPr>
          <w:p>
            <w:r>
              <w:rPr>
                <w:sz w:val="16"/>
              </w:rPr>
              <w:t>Country name is derived from ISO code rather than a second model prediction.</w:t>
            </w:r>
          </w:p>
        </w:tc>
      </w:tr>
      <w:tr>
        <w:tc>
          <w:tcPr>
            <w:tcW w:type="dxa" w:w="1008"/>
            <w:tcMar>
              <w:top w:w="60" w:type="dxa"/>
              <w:start w:w="80" w:type="dxa"/>
              <w:bottom w:w="60" w:type="dxa"/>
              <w:end w:w="80" w:type="dxa"/>
            </w:tcMar>
            <w:vAlign w:val="center"/>
            <w:shd w:fill="F3F6FA"/>
          </w:tcPr>
          <w:p>
            <w:r>
              <w:rPr>
                <w:sz w:val="16"/>
              </w:rPr>
              <w:t>FR-021</w:t>
            </w:r>
          </w:p>
        </w:tc>
        <w:tc>
          <w:tcPr>
            <w:tcW w:type="dxa" w:w="5328"/>
            <w:tcMar>
              <w:top w:w="60" w:type="dxa"/>
              <w:start w:w="80" w:type="dxa"/>
              <w:bottom w:w="60" w:type="dxa"/>
              <w:end w:w="80" w:type="dxa"/>
            </w:tcMar>
            <w:vAlign w:val="center"/>
            <w:shd w:fill="F3F6FA"/>
          </w:tcPr>
          <w:p>
            <w:r>
              <w:rPr>
                <w:sz w:val="16"/>
              </w:rPr>
              <w:t>The solution shall support a post-extraction Town-to-Country reference provider loaded once per run and indexed for efficient lookup.</w:t>
            </w:r>
          </w:p>
        </w:tc>
        <w:tc>
          <w:tcPr>
            <w:tcW w:type="dxa" w:w="1008"/>
            <w:tcMar>
              <w:top w:w="60" w:type="dxa"/>
              <w:start w:w="80" w:type="dxa"/>
              <w:bottom w:w="60" w:type="dxa"/>
              <w:end w:w="80" w:type="dxa"/>
            </w:tcMar>
            <w:vAlign w:val="center"/>
            <w:shd w:fill="F3F6FA"/>
          </w:tcPr>
          <w:p>
            <w:r>
              <w:rPr>
                <w:sz w:val="16"/>
              </w:rPr>
              <w:t>Must</w:t>
            </w:r>
          </w:p>
        </w:tc>
        <w:tc>
          <w:tcPr>
            <w:tcW w:type="dxa" w:w="3168"/>
            <w:tcMar>
              <w:top w:w="60" w:type="dxa"/>
              <w:start w:w="80" w:type="dxa"/>
              <w:bottom w:w="60" w:type="dxa"/>
              <w:end w:w="80" w:type="dxa"/>
            </w:tcMar>
            <w:vAlign w:val="center"/>
            <w:shd w:fill="F3F6FA"/>
          </w:tcPr>
          <w:p>
            <w:r>
              <w:rPr>
                <w:sz w:val="16"/>
              </w:rPr>
              <w:t>Per-address lookup does not rescan the full reference file.</w:t>
            </w:r>
          </w:p>
        </w:tc>
      </w:tr>
      <w:tr>
        <w:tc>
          <w:tcPr>
            <w:tcW w:type="dxa" w:w="1008"/>
            <w:tcMar>
              <w:top w:w="60" w:type="dxa"/>
              <w:start w:w="80" w:type="dxa"/>
              <w:bottom w:w="60" w:type="dxa"/>
              <w:end w:w="80" w:type="dxa"/>
            </w:tcMar>
            <w:vAlign w:val="center"/>
          </w:tcPr>
          <w:p>
            <w:r>
              <w:rPr>
                <w:sz w:val="16"/>
              </w:rPr>
              <w:t>FR-022</w:t>
            </w:r>
          </w:p>
        </w:tc>
        <w:tc>
          <w:tcPr>
            <w:tcW w:type="dxa" w:w="5328"/>
            <w:tcMar>
              <w:top w:w="60" w:type="dxa"/>
              <w:start w:w="80" w:type="dxa"/>
              <w:bottom w:w="60" w:type="dxa"/>
              <w:end w:w="80" w:type="dxa"/>
            </w:tcMar>
            <w:vAlign w:val="center"/>
          </w:tcPr>
          <w:p>
            <w:r>
              <w:rPr>
                <w:sz w:val="16"/>
              </w:rPr>
              <w:t>Reference data shall validate or flag model output; it shall not silently overwrite a defensible model result when the reference conflicts.</w:t>
            </w:r>
          </w:p>
        </w:tc>
        <w:tc>
          <w:tcPr>
            <w:tcW w:type="dxa" w:w="1008"/>
            <w:tcMar>
              <w:top w:w="60" w:type="dxa"/>
              <w:start w:w="80" w:type="dxa"/>
              <w:bottom w:w="60" w:type="dxa"/>
              <w:end w:w="80" w:type="dxa"/>
            </w:tcMar>
            <w:vAlign w:val="center"/>
          </w:tcPr>
          <w:p>
            <w:r>
              <w:rPr>
                <w:sz w:val="16"/>
              </w:rPr>
              <w:t>Must</w:t>
            </w:r>
          </w:p>
        </w:tc>
        <w:tc>
          <w:tcPr>
            <w:tcW w:type="dxa" w:w="3168"/>
            <w:tcMar>
              <w:top w:w="60" w:type="dxa"/>
              <w:start w:w="80" w:type="dxa"/>
              <w:bottom w:w="60" w:type="dxa"/>
              <w:end w:w="80" w:type="dxa"/>
            </w:tcMar>
            <w:vAlign w:val="center"/>
          </w:tcPr>
          <w:p>
            <w:r>
              <w:rPr>
                <w:sz w:val="16"/>
              </w:rPr>
              <w:t>Reference conflict is auditable and routed to review according to policy.</w:t>
            </w:r>
          </w:p>
        </w:tc>
      </w:tr>
      <w:tr>
        <w:tc>
          <w:tcPr>
            <w:tcW w:type="dxa" w:w="1008"/>
            <w:tcMar>
              <w:top w:w="60" w:type="dxa"/>
              <w:start w:w="80" w:type="dxa"/>
              <w:bottom w:w="60" w:type="dxa"/>
              <w:end w:w="80" w:type="dxa"/>
            </w:tcMar>
            <w:vAlign w:val="center"/>
            <w:shd w:fill="F3F6FA"/>
          </w:tcPr>
          <w:p>
            <w:r>
              <w:rPr>
                <w:sz w:val="16"/>
              </w:rPr>
              <w:t>FR-023</w:t>
            </w:r>
          </w:p>
        </w:tc>
        <w:tc>
          <w:tcPr>
            <w:tcW w:type="dxa" w:w="5328"/>
            <w:tcMar>
              <w:top w:w="60" w:type="dxa"/>
              <w:start w:w="80" w:type="dxa"/>
              <w:bottom w:w="60" w:type="dxa"/>
              <w:end w:w="80" w:type="dxa"/>
            </w:tcMar>
            <w:vAlign w:val="center"/>
            <w:shd w:fill="F3F6FA"/>
          </w:tcPr>
          <w:p>
            <w:r>
              <w:rPr>
                <w:sz w:val="16"/>
              </w:rPr>
              <w:t>A Town absent from reference coverage shall be represented as a reference-coverage gap, not as an extraction/API failure.</w:t>
            </w:r>
          </w:p>
        </w:tc>
        <w:tc>
          <w:tcPr>
            <w:tcW w:type="dxa" w:w="1008"/>
            <w:tcMar>
              <w:top w:w="60" w:type="dxa"/>
              <w:start w:w="80" w:type="dxa"/>
              <w:bottom w:w="60" w:type="dxa"/>
              <w:end w:w="80" w:type="dxa"/>
            </w:tcMar>
            <w:vAlign w:val="center"/>
            <w:shd w:fill="F3F6FA"/>
          </w:tcPr>
          <w:p>
            <w:r>
              <w:rPr>
                <w:sz w:val="16"/>
              </w:rPr>
              <w:t>Must</w:t>
            </w:r>
          </w:p>
        </w:tc>
        <w:tc>
          <w:tcPr>
            <w:tcW w:type="dxa" w:w="3168"/>
            <w:tcMar>
              <w:top w:w="60" w:type="dxa"/>
              <w:start w:w="80" w:type="dxa"/>
              <w:bottom w:w="60" w:type="dxa"/>
              <w:end w:w="80" w:type="dxa"/>
            </w:tcMar>
            <w:vAlign w:val="center"/>
            <w:shd w:fill="F3F6FA"/>
          </w:tcPr>
          <w:p>
            <w:r>
              <w:rPr>
                <w:sz w:val="16"/>
              </w:rPr>
              <w:t>Reference-not-found is distinguishable from processing error.</w:t>
            </w:r>
          </w:p>
        </w:tc>
      </w:tr>
      <w:tr>
        <w:tc>
          <w:tcPr>
            <w:tcW w:type="dxa" w:w="1008"/>
            <w:tcMar>
              <w:top w:w="60" w:type="dxa"/>
              <w:start w:w="80" w:type="dxa"/>
              <w:bottom w:w="60" w:type="dxa"/>
              <w:end w:w="80" w:type="dxa"/>
            </w:tcMar>
            <w:vAlign w:val="center"/>
          </w:tcPr>
          <w:p>
            <w:r>
              <w:rPr>
                <w:sz w:val="16"/>
              </w:rPr>
              <w:t>FR-024</w:t>
            </w:r>
          </w:p>
        </w:tc>
        <w:tc>
          <w:tcPr>
            <w:tcW w:type="dxa" w:w="5328"/>
            <w:tcMar>
              <w:top w:w="60" w:type="dxa"/>
              <w:start w:w="80" w:type="dxa"/>
              <w:bottom w:w="60" w:type="dxa"/>
              <w:end w:w="80" w:type="dxa"/>
            </w:tcMar>
            <w:vAlign w:val="center"/>
          </w:tcPr>
          <w:p>
            <w:r>
              <w:rPr>
                <w:sz w:val="16"/>
              </w:rPr>
              <w:t>An unresolved Town that maps to multiple valid Countries shall preserve the candidate set rather than arbitrarily selecting one.</w:t>
            </w:r>
          </w:p>
        </w:tc>
        <w:tc>
          <w:tcPr>
            <w:tcW w:type="dxa" w:w="1008"/>
            <w:tcMar>
              <w:top w:w="60" w:type="dxa"/>
              <w:start w:w="80" w:type="dxa"/>
              <w:bottom w:w="60" w:type="dxa"/>
              <w:end w:w="80" w:type="dxa"/>
            </w:tcMar>
            <w:vAlign w:val="center"/>
          </w:tcPr>
          <w:p>
            <w:r>
              <w:rPr>
                <w:sz w:val="16"/>
              </w:rPr>
              <w:t>Must</w:t>
            </w:r>
          </w:p>
        </w:tc>
        <w:tc>
          <w:tcPr>
            <w:tcW w:type="dxa" w:w="3168"/>
            <w:tcMar>
              <w:top w:w="60" w:type="dxa"/>
              <w:start w:w="80" w:type="dxa"/>
              <w:bottom w:w="60" w:type="dxa"/>
              <w:end w:w="80" w:type="dxa"/>
            </w:tcMar>
            <w:vAlign w:val="center"/>
          </w:tcPr>
          <w:p>
            <w:r>
              <w:rPr>
                <w:sz w:val="16"/>
              </w:rPr>
              <w:t>All valid candidates are retained deterministically.</w:t>
            </w:r>
          </w:p>
        </w:tc>
      </w:tr>
      <w:tr>
        <w:tc>
          <w:tcPr>
            <w:tcW w:type="dxa" w:w="1008"/>
            <w:tcMar>
              <w:top w:w="60" w:type="dxa"/>
              <w:start w:w="80" w:type="dxa"/>
              <w:bottom w:w="60" w:type="dxa"/>
              <w:end w:w="80" w:type="dxa"/>
            </w:tcMar>
            <w:vAlign w:val="center"/>
            <w:shd w:fill="F3F6FA"/>
          </w:tcPr>
          <w:p>
            <w:r>
              <w:rPr>
                <w:sz w:val="16"/>
              </w:rPr>
              <w:t>FR-025</w:t>
            </w:r>
          </w:p>
        </w:tc>
        <w:tc>
          <w:tcPr>
            <w:tcW w:type="dxa" w:w="5328"/>
            <w:tcMar>
              <w:top w:w="60" w:type="dxa"/>
              <w:start w:w="80" w:type="dxa"/>
              <w:bottom w:w="60" w:type="dxa"/>
              <w:end w:w="80" w:type="dxa"/>
            </w:tcMar>
            <w:vAlign w:val="center"/>
            <w:shd w:fill="F3F6FA"/>
          </w:tcPr>
          <w:p>
            <w:r>
              <w:rPr>
                <w:sz w:val="16"/>
              </w:rPr>
              <w:t>Future BIC/SWIFTRef reference data shall plug into the same reference-validation architecture only through entitled/approved access.</w:t>
            </w:r>
          </w:p>
        </w:tc>
        <w:tc>
          <w:tcPr>
            <w:tcW w:type="dxa" w:w="1008"/>
            <w:tcMar>
              <w:top w:w="60" w:type="dxa"/>
              <w:start w:w="80" w:type="dxa"/>
              <w:bottom w:w="60" w:type="dxa"/>
              <w:end w:w="80" w:type="dxa"/>
            </w:tcMar>
            <w:vAlign w:val="center"/>
            <w:shd w:fill="F3F6FA"/>
          </w:tcPr>
          <w:p>
            <w:r>
              <w:rPr>
                <w:sz w:val="16"/>
              </w:rPr>
              <w:t>Should</w:t>
            </w:r>
          </w:p>
        </w:tc>
        <w:tc>
          <w:tcPr>
            <w:tcW w:type="dxa" w:w="3168"/>
            <w:tcMar>
              <w:top w:w="60" w:type="dxa"/>
              <w:start w:w="80" w:type="dxa"/>
              <w:bottom w:w="60" w:type="dxa"/>
              <w:end w:w="80" w:type="dxa"/>
            </w:tcMar>
            <w:vAlign w:val="center"/>
            <w:shd w:fill="F3F6FA"/>
          </w:tcPr>
          <w:p>
            <w:r>
              <w:rPr>
                <w:sz w:val="16"/>
              </w:rPr>
              <w:t>No SWIFTRef claim is made without configured entitled data.</w:t>
            </w:r>
          </w:p>
        </w:tc>
      </w:tr>
    </w:tbl>
    <w:p>
      <w:pPr>
        <w:pStyle w:val="Heading3"/>
      </w:pPr>
      <w:r>
        <w:t>6.4 Scoring and HITL Routing</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008"/>
            <w:tcMar>
              <w:top w:w="60" w:type="dxa"/>
              <w:start w:w="80" w:type="dxa"/>
              <w:bottom w:w="60" w:type="dxa"/>
              <w:end w:w="80" w:type="dxa"/>
            </w:tcMar>
            <w:vAlign w:val="center"/>
            <w:shd w:fill="17365D"/>
          </w:tcPr>
          <w:p>
            <w:r>
              <w:rPr>
                <w:b/>
                <w:color w:val="FFFFFF"/>
                <w:sz w:val="16"/>
              </w:rPr>
              <w:t>ID</w:t>
            </w:r>
          </w:p>
        </w:tc>
        <w:tc>
          <w:tcPr>
            <w:tcW w:type="dxa" w:w="5328"/>
            <w:tcMar>
              <w:top w:w="60" w:type="dxa"/>
              <w:start w:w="80" w:type="dxa"/>
              <w:bottom w:w="60" w:type="dxa"/>
              <w:end w:w="80" w:type="dxa"/>
            </w:tcMar>
            <w:vAlign w:val="center"/>
            <w:shd w:fill="17365D"/>
          </w:tcPr>
          <w:p>
            <w:r>
              <w:rPr>
                <w:b/>
                <w:color w:val="FFFFFF"/>
                <w:sz w:val="16"/>
              </w:rPr>
              <w:t>Business / Functional Requirement</w:t>
            </w:r>
          </w:p>
        </w:tc>
        <w:tc>
          <w:tcPr>
            <w:tcW w:type="dxa" w:w="1008"/>
            <w:tcMar>
              <w:top w:w="60" w:type="dxa"/>
              <w:start w:w="80" w:type="dxa"/>
              <w:bottom w:w="60" w:type="dxa"/>
              <w:end w:w="80" w:type="dxa"/>
            </w:tcMar>
            <w:vAlign w:val="center"/>
            <w:shd w:fill="17365D"/>
          </w:tcPr>
          <w:p>
            <w:r>
              <w:rPr>
                <w:b/>
                <w:color w:val="FFFFFF"/>
                <w:sz w:val="16"/>
              </w:rPr>
              <w:t>Priority</w:t>
            </w:r>
          </w:p>
        </w:tc>
        <w:tc>
          <w:tcPr>
            <w:tcW w:type="dxa" w:w="3168"/>
            <w:tcMar>
              <w:top w:w="60" w:type="dxa"/>
              <w:start w:w="80" w:type="dxa"/>
              <w:bottom w:w="60" w:type="dxa"/>
              <w:end w:w="80" w:type="dxa"/>
            </w:tcMar>
            <w:vAlign w:val="center"/>
            <w:shd w:fill="17365D"/>
          </w:tcPr>
          <w:p>
            <w:r>
              <w:rPr>
                <w:b/>
                <w:color w:val="FFFFFF"/>
                <w:sz w:val="16"/>
              </w:rPr>
              <w:t>Acceptance / Verification</w:t>
            </w:r>
          </w:p>
        </w:tc>
      </w:tr>
      <w:tr>
        <w:tc>
          <w:tcPr>
            <w:tcW w:type="dxa" w:w="1008"/>
            <w:tcMar>
              <w:top w:w="60" w:type="dxa"/>
              <w:start w:w="80" w:type="dxa"/>
              <w:bottom w:w="60" w:type="dxa"/>
              <w:end w:w="80" w:type="dxa"/>
            </w:tcMar>
            <w:vAlign w:val="center"/>
          </w:tcPr>
          <w:p>
            <w:r>
              <w:rPr>
                <w:sz w:val="16"/>
              </w:rPr>
              <w:t>FR-030</w:t>
            </w:r>
          </w:p>
        </w:tc>
        <w:tc>
          <w:tcPr>
            <w:tcW w:type="dxa" w:w="5328"/>
            <w:tcMar>
              <w:top w:w="60" w:type="dxa"/>
              <w:start w:w="80" w:type="dxa"/>
              <w:bottom w:w="60" w:type="dxa"/>
              <w:end w:w="80" w:type="dxa"/>
            </w:tcMar>
            <w:vAlign w:val="center"/>
          </w:tcPr>
          <w:p>
            <w:r>
              <w:rPr>
                <w:sz w:val="16"/>
              </w:rPr>
              <w:t>Operational routing shall use a deterministic Composite Weighted Score computed outside the LLM.</w:t>
            </w:r>
          </w:p>
        </w:tc>
        <w:tc>
          <w:tcPr>
            <w:tcW w:type="dxa" w:w="1008"/>
            <w:tcMar>
              <w:top w:w="60" w:type="dxa"/>
              <w:start w:w="80" w:type="dxa"/>
              <w:bottom w:w="60" w:type="dxa"/>
              <w:end w:w="80" w:type="dxa"/>
            </w:tcMar>
            <w:vAlign w:val="center"/>
          </w:tcPr>
          <w:p>
            <w:r>
              <w:rPr>
                <w:sz w:val="16"/>
              </w:rPr>
              <w:t>Must</w:t>
            </w:r>
          </w:p>
        </w:tc>
        <w:tc>
          <w:tcPr>
            <w:tcW w:type="dxa" w:w="3168"/>
            <w:tcMar>
              <w:top w:w="60" w:type="dxa"/>
              <w:start w:w="80" w:type="dxa"/>
              <w:bottom w:w="60" w:type="dxa"/>
              <w:end w:w="80" w:type="dxa"/>
            </w:tcMar>
            <w:vAlign w:val="center"/>
          </w:tcPr>
          <w:p>
            <w:r>
              <w:rPr>
                <w:sz w:val="16"/>
              </w:rPr>
              <w:t>Python/config code, not the prompt, owns scenario, weights and final score.</w:t>
            </w:r>
          </w:p>
        </w:tc>
      </w:tr>
      <w:tr>
        <w:tc>
          <w:tcPr>
            <w:tcW w:type="dxa" w:w="1008"/>
            <w:tcMar>
              <w:top w:w="60" w:type="dxa"/>
              <w:start w:w="80" w:type="dxa"/>
              <w:bottom w:w="60" w:type="dxa"/>
              <w:end w:w="80" w:type="dxa"/>
            </w:tcMar>
            <w:vAlign w:val="center"/>
            <w:shd w:fill="F3F6FA"/>
          </w:tcPr>
          <w:p>
            <w:r>
              <w:rPr>
                <w:sz w:val="16"/>
              </w:rPr>
              <w:t>FR-031</w:t>
            </w:r>
          </w:p>
        </w:tc>
        <w:tc>
          <w:tcPr>
            <w:tcW w:type="dxa" w:w="5328"/>
            <w:tcMar>
              <w:top w:w="60" w:type="dxa"/>
              <w:start w:w="80" w:type="dxa"/>
              <w:bottom w:w="60" w:type="dxa"/>
              <w:end w:w="80" w:type="dxa"/>
            </w:tcMar>
            <w:vAlign w:val="center"/>
            <w:shd w:fill="F3F6FA"/>
          </w:tcPr>
          <w:p>
            <w:r>
              <w:rPr>
                <w:sz w:val="16"/>
              </w:rPr>
              <w:t>Reliability weights shall be configuration-driven and independently change-controlled.</w:t>
            </w:r>
          </w:p>
        </w:tc>
        <w:tc>
          <w:tcPr>
            <w:tcW w:type="dxa" w:w="1008"/>
            <w:tcMar>
              <w:top w:w="60" w:type="dxa"/>
              <w:start w:w="80" w:type="dxa"/>
              <w:bottom w:w="60" w:type="dxa"/>
              <w:end w:w="80" w:type="dxa"/>
            </w:tcMar>
            <w:vAlign w:val="center"/>
            <w:shd w:fill="F3F6FA"/>
          </w:tcPr>
          <w:p>
            <w:r>
              <w:rPr>
                <w:sz w:val="16"/>
              </w:rPr>
              <w:t>Must</w:t>
            </w:r>
          </w:p>
        </w:tc>
        <w:tc>
          <w:tcPr>
            <w:tcW w:type="dxa" w:w="3168"/>
            <w:tcMar>
              <w:top w:w="60" w:type="dxa"/>
              <w:start w:w="80" w:type="dxa"/>
              <w:bottom w:w="60" w:type="dxa"/>
              <w:end w:w="80" w:type="dxa"/>
            </w:tcMar>
            <w:vAlign w:val="center"/>
            <w:shd w:fill="F3F6FA"/>
          </w:tcPr>
          <w:p>
            <w:r>
              <w:rPr>
                <w:sz w:val="16"/>
              </w:rPr>
              <w:t>No hidden/magic business weights exist in prompt text.</w:t>
            </w:r>
          </w:p>
        </w:tc>
      </w:tr>
      <w:tr>
        <w:tc>
          <w:tcPr>
            <w:tcW w:type="dxa" w:w="1008"/>
            <w:tcMar>
              <w:top w:w="60" w:type="dxa"/>
              <w:start w:w="80" w:type="dxa"/>
              <w:bottom w:w="60" w:type="dxa"/>
              <w:end w:w="80" w:type="dxa"/>
            </w:tcMar>
            <w:vAlign w:val="center"/>
          </w:tcPr>
          <w:p>
            <w:r>
              <w:rPr>
                <w:sz w:val="16"/>
              </w:rPr>
              <w:t>FR-032</w:t>
            </w:r>
          </w:p>
        </w:tc>
        <w:tc>
          <w:tcPr>
            <w:tcW w:type="dxa" w:w="5328"/>
            <w:tcMar>
              <w:top w:w="60" w:type="dxa"/>
              <w:start w:w="80" w:type="dxa"/>
              <w:bottom w:w="60" w:type="dxa"/>
              <w:end w:w="80" w:type="dxa"/>
            </w:tcMar>
            <w:vAlign w:val="center"/>
          </w:tcPr>
          <w:p>
            <w:r>
              <w:rPr>
                <w:sz w:val="16"/>
              </w:rPr>
              <w:t>Unresolved multiple-country cases shall set final Country probability and Country weight to 0.0, resulting in Composite Weighted Score 0.0 and mandatory HITL.</w:t>
            </w:r>
          </w:p>
        </w:tc>
        <w:tc>
          <w:tcPr>
            <w:tcW w:type="dxa" w:w="1008"/>
            <w:tcMar>
              <w:top w:w="60" w:type="dxa"/>
              <w:start w:w="80" w:type="dxa"/>
              <w:bottom w:w="60" w:type="dxa"/>
              <w:end w:w="80" w:type="dxa"/>
            </w:tcMar>
            <w:vAlign w:val="center"/>
          </w:tcPr>
          <w:p>
            <w:r>
              <w:rPr>
                <w:sz w:val="16"/>
              </w:rPr>
              <w:t>Must</w:t>
            </w:r>
          </w:p>
        </w:tc>
        <w:tc>
          <w:tcPr>
            <w:tcW w:type="dxa" w:w="3168"/>
            <w:tcMar>
              <w:top w:w="60" w:type="dxa"/>
              <w:start w:w="80" w:type="dxa"/>
              <w:bottom w:w="60" w:type="dxa"/>
              <w:end w:w="80" w:type="dxa"/>
            </w:tcMar>
            <w:vAlign w:val="center"/>
          </w:tcPr>
          <w:p>
            <w:r>
              <w:rPr>
                <w:sz w:val="16"/>
              </w:rPr>
              <w:t>Controlled multi-country fixture always routes to HITL.</w:t>
            </w:r>
          </w:p>
        </w:tc>
      </w:tr>
      <w:tr>
        <w:tc>
          <w:tcPr>
            <w:tcW w:type="dxa" w:w="1008"/>
            <w:tcMar>
              <w:top w:w="60" w:type="dxa"/>
              <w:start w:w="80" w:type="dxa"/>
              <w:bottom w:w="60" w:type="dxa"/>
              <w:end w:w="80" w:type="dxa"/>
            </w:tcMar>
            <w:vAlign w:val="center"/>
            <w:shd w:fill="F3F6FA"/>
          </w:tcPr>
          <w:p>
            <w:r>
              <w:rPr>
                <w:sz w:val="16"/>
              </w:rPr>
              <w:t>FR-033</w:t>
            </w:r>
          </w:p>
        </w:tc>
        <w:tc>
          <w:tcPr>
            <w:tcW w:type="dxa" w:w="5328"/>
            <w:tcMar>
              <w:top w:w="60" w:type="dxa"/>
              <w:start w:w="80" w:type="dxa"/>
              <w:bottom w:w="60" w:type="dxa"/>
              <w:end w:w="80" w:type="dxa"/>
            </w:tcMar>
            <w:vAlign w:val="center"/>
            <w:shd w:fill="F3F6FA"/>
          </w:tcPr>
          <w:p>
            <w:r>
              <w:rPr>
                <w:sz w:val="16"/>
              </w:rPr>
              <w:t>The HITL threshold shall be configurable and shall not be hard-coded into the model prompt.</w:t>
            </w:r>
          </w:p>
        </w:tc>
        <w:tc>
          <w:tcPr>
            <w:tcW w:type="dxa" w:w="1008"/>
            <w:tcMar>
              <w:top w:w="60" w:type="dxa"/>
              <w:start w:w="80" w:type="dxa"/>
              <w:bottom w:w="60" w:type="dxa"/>
              <w:end w:w="80" w:type="dxa"/>
            </w:tcMar>
            <w:vAlign w:val="center"/>
            <w:shd w:fill="F3F6FA"/>
          </w:tcPr>
          <w:p>
            <w:r>
              <w:rPr>
                <w:sz w:val="16"/>
              </w:rPr>
              <w:t>Must</w:t>
            </w:r>
          </w:p>
        </w:tc>
        <w:tc>
          <w:tcPr>
            <w:tcW w:type="dxa" w:w="3168"/>
            <w:tcMar>
              <w:top w:w="60" w:type="dxa"/>
              <w:start w:w="80" w:type="dxa"/>
              <w:bottom w:w="60" w:type="dxa"/>
              <w:end w:w="80" w:type="dxa"/>
            </w:tcMar>
            <w:vAlign w:val="center"/>
            <w:shd w:fill="F3F6FA"/>
          </w:tcPr>
          <w:p>
            <w:r>
              <w:rPr>
                <w:sz w:val="16"/>
              </w:rPr>
              <w:t>Threshold change requires configuration only.</w:t>
            </w:r>
          </w:p>
        </w:tc>
      </w:tr>
      <w:tr>
        <w:tc>
          <w:tcPr>
            <w:tcW w:type="dxa" w:w="1008"/>
            <w:tcMar>
              <w:top w:w="60" w:type="dxa"/>
              <w:start w:w="80" w:type="dxa"/>
              <w:bottom w:w="60" w:type="dxa"/>
              <w:end w:w="80" w:type="dxa"/>
            </w:tcMar>
            <w:vAlign w:val="center"/>
          </w:tcPr>
          <w:p>
            <w:r>
              <w:rPr>
                <w:sz w:val="16"/>
              </w:rPr>
              <w:t>FR-034</w:t>
            </w:r>
          </w:p>
        </w:tc>
        <w:tc>
          <w:tcPr>
            <w:tcW w:type="dxa" w:w="5328"/>
            <w:tcMar>
              <w:top w:w="60" w:type="dxa"/>
              <w:start w:w="80" w:type="dxa"/>
              <w:bottom w:w="60" w:type="dxa"/>
              <w:end w:w="80" w:type="dxa"/>
            </w:tcMar>
            <w:vAlign w:val="center"/>
          </w:tcPr>
          <w:p>
            <w:r>
              <w:rPr>
                <w:sz w:val="16"/>
              </w:rPr>
              <w:t>The system shall separately report the configured operational threshold and the analytical recommended threshold.</w:t>
            </w:r>
          </w:p>
        </w:tc>
        <w:tc>
          <w:tcPr>
            <w:tcW w:type="dxa" w:w="1008"/>
            <w:tcMar>
              <w:top w:w="60" w:type="dxa"/>
              <w:start w:w="80" w:type="dxa"/>
              <w:bottom w:w="60" w:type="dxa"/>
              <w:end w:w="80" w:type="dxa"/>
            </w:tcMar>
            <w:vAlign w:val="center"/>
          </w:tcPr>
          <w:p>
            <w:r>
              <w:rPr>
                <w:sz w:val="16"/>
              </w:rPr>
              <w:t>Should</w:t>
            </w:r>
          </w:p>
        </w:tc>
        <w:tc>
          <w:tcPr>
            <w:tcW w:type="dxa" w:w="3168"/>
            <w:tcMar>
              <w:top w:w="60" w:type="dxa"/>
              <w:start w:w="80" w:type="dxa"/>
              <w:bottom w:w="60" w:type="dxa"/>
              <w:end w:w="80" w:type="dxa"/>
            </w:tcMar>
            <w:vAlign w:val="center"/>
          </w:tcPr>
          <w:p>
            <w:r>
              <w:rPr>
                <w:sz w:val="16"/>
              </w:rPr>
              <w:t>Reports show both values without silently overwriting configuration.</w:t>
            </w:r>
          </w:p>
        </w:tc>
      </w:tr>
    </w:tbl>
    <w:p>
      <w:pPr>
        <w:pStyle w:val="Heading3"/>
      </w:pPr>
      <w:r>
        <w:t>6.5 Ground Truth and Cross-Entropy Evaluation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008"/>
            <w:tcMar>
              <w:top w:w="60" w:type="dxa"/>
              <w:start w:w="80" w:type="dxa"/>
              <w:bottom w:w="60" w:type="dxa"/>
              <w:end w:w="80" w:type="dxa"/>
            </w:tcMar>
            <w:vAlign w:val="center"/>
            <w:shd w:fill="17365D"/>
          </w:tcPr>
          <w:p>
            <w:r>
              <w:rPr>
                <w:b/>
                <w:color w:val="FFFFFF"/>
                <w:sz w:val="16"/>
              </w:rPr>
              <w:t>ID</w:t>
            </w:r>
          </w:p>
        </w:tc>
        <w:tc>
          <w:tcPr>
            <w:tcW w:type="dxa" w:w="5328"/>
            <w:tcMar>
              <w:top w:w="60" w:type="dxa"/>
              <w:start w:w="80" w:type="dxa"/>
              <w:bottom w:w="60" w:type="dxa"/>
              <w:end w:w="80" w:type="dxa"/>
            </w:tcMar>
            <w:vAlign w:val="center"/>
            <w:shd w:fill="17365D"/>
          </w:tcPr>
          <w:p>
            <w:r>
              <w:rPr>
                <w:b/>
                <w:color w:val="FFFFFF"/>
                <w:sz w:val="16"/>
              </w:rPr>
              <w:t>Business / Functional Requirement</w:t>
            </w:r>
          </w:p>
        </w:tc>
        <w:tc>
          <w:tcPr>
            <w:tcW w:type="dxa" w:w="1008"/>
            <w:tcMar>
              <w:top w:w="60" w:type="dxa"/>
              <w:start w:w="80" w:type="dxa"/>
              <w:bottom w:w="60" w:type="dxa"/>
              <w:end w:w="80" w:type="dxa"/>
            </w:tcMar>
            <w:vAlign w:val="center"/>
            <w:shd w:fill="17365D"/>
          </w:tcPr>
          <w:p>
            <w:r>
              <w:rPr>
                <w:b/>
                <w:color w:val="FFFFFF"/>
                <w:sz w:val="16"/>
              </w:rPr>
              <w:t>Priority</w:t>
            </w:r>
          </w:p>
        </w:tc>
        <w:tc>
          <w:tcPr>
            <w:tcW w:type="dxa" w:w="3168"/>
            <w:tcMar>
              <w:top w:w="60" w:type="dxa"/>
              <w:start w:w="80" w:type="dxa"/>
              <w:bottom w:w="60" w:type="dxa"/>
              <w:end w:w="80" w:type="dxa"/>
            </w:tcMar>
            <w:vAlign w:val="center"/>
            <w:shd w:fill="17365D"/>
          </w:tcPr>
          <w:p>
            <w:r>
              <w:rPr>
                <w:b/>
                <w:color w:val="FFFFFF"/>
                <w:sz w:val="16"/>
              </w:rPr>
              <w:t>Acceptance / Verification</w:t>
            </w:r>
          </w:p>
        </w:tc>
      </w:tr>
      <w:tr>
        <w:tc>
          <w:tcPr>
            <w:tcW w:type="dxa" w:w="1008"/>
            <w:tcMar>
              <w:top w:w="60" w:type="dxa"/>
              <w:start w:w="80" w:type="dxa"/>
              <w:bottom w:w="60" w:type="dxa"/>
              <w:end w:w="80" w:type="dxa"/>
            </w:tcMar>
            <w:vAlign w:val="center"/>
          </w:tcPr>
          <w:p>
            <w:r>
              <w:rPr>
                <w:sz w:val="16"/>
              </w:rPr>
              <w:t>FR-040</w:t>
            </w:r>
          </w:p>
        </w:tc>
        <w:tc>
          <w:tcPr>
            <w:tcW w:type="dxa" w:w="5328"/>
            <w:tcMar>
              <w:top w:w="60" w:type="dxa"/>
              <w:start w:w="80" w:type="dxa"/>
              <w:bottom w:w="60" w:type="dxa"/>
              <w:end w:w="80" w:type="dxa"/>
            </w:tcMar>
            <w:vAlign w:val="center"/>
          </w:tcPr>
          <w:p>
            <w:r>
              <w:rPr>
                <w:sz w:val="16"/>
              </w:rPr>
              <w:t>The system shall distinguish text-presence evidence (predicted_*_exists) from reference-grounded correctness (*_exists_ok / availability basis).</w:t>
            </w:r>
          </w:p>
        </w:tc>
        <w:tc>
          <w:tcPr>
            <w:tcW w:type="dxa" w:w="1008"/>
            <w:tcMar>
              <w:top w:w="60" w:type="dxa"/>
              <w:start w:w="80" w:type="dxa"/>
              <w:bottom w:w="60" w:type="dxa"/>
              <w:end w:w="80" w:type="dxa"/>
            </w:tcMar>
            <w:vAlign w:val="center"/>
          </w:tcPr>
          <w:p>
            <w:r>
              <w:rPr>
                <w:sz w:val="16"/>
              </w:rPr>
              <w:t>Must</w:t>
            </w:r>
          </w:p>
        </w:tc>
        <w:tc>
          <w:tcPr>
            <w:tcW w:type="dxa" w:w="3168"/>
            <w:tcMar>
              <w:top w:w="60" w:type="dxa"/>
              <w:start w:w="80" w:type="dxa"/>
              <w:bottom w:w="60" w:type="dxa"/>
              <w:end w:w="80" w:type="dxa"/>
            </w:tcMar>
            <w:vAlign w:val="center"/>
          </w:tcPr>
          <w:p>
            <w:r>
              <w:rPr>
                <w:sz w:val="16"/>
              </w:rPr>
              <w:t>Audit allows contradiction to be distinguished from lack of ground truth.</w:t>
            </w:r>
          </w:p>
        </w:tc>
      </w:tr>
      <w:tr>
        <w:tc>
          <w:tcPr>
            <w:tcW w:type="dxa" w:w="1008"/>
            <w:tcMar>
              <w:top w:w="60" w:type="dxa"/>
              <w:start w:w="80" w:type="dxa"/>
              <w:bottom w:w="60" w:type="dxa"/>
              <w:end w:w="80" w:type="dxa"/>
            </w:tcMar>
            <w:vAlign w:val="center"/>
            <w:shd w:fill="F3F6FA"/>
          </w:tcPr>
          <w:p>
            <w:r>
              <w:rPr>
                <w:sz w:val="16"/>
              </w:rPr>
              <w:t>FR-041</w:t>
            </w:r>
          </w:p>
        </w:tc>
        <w:tc>
          <w:tcPr>
            <w:tcW w:type="dxa" w:w="5328"/>
            <w:tcMar>
              <w:top w:w="60" w:type="dxa"/>
              <w:start w:w="80" w:type="dxa"/>
              <w:bottom w:w="60" w:type="dxa"/>
              <w:end w:w="80" w:type="dxa"/>
            </w:tcMar>
            <w:vAlign w:val="center"/>
            <w:shd w:fill="F3F6FA"/>
          </w:tcPr>
          <w:p>
            <w:r>
              <w:rPr>
                <w:sz w:val="16"/>
              </w:rPr>
              <w:t>Cross-entropy shall be calculated only for components where independent deterministic ground truth is available.</w:t>
            </w:r>
          </w:p>
        </w:tc>
        <w:tc>
          <w:tcPr>
            <w:tcW w:type="dxa" w:w="1008"/>
            <w:tcMar>
              <w:top w:w="60" w:type="dxa"/>
              <w:start w:w="80" w:type="dxa"/>
              <w:bottom w:w="60" w:type="dxa"/>
              <w:end w:w="80" w:type="dxa"/>
            </w:tcMar>
            <w:vAlign w:val="center"/>
            <w:shd w:fill="F3F6FA"/>
          </w:tcPr>
          <w:p>
            <w:r>
              <w:rPr>
                <w:sz w:val="16"/>
              </w:rPr>
              <w:t>Must</w:t>
            </w:r>
          </w:p>
        </w:tc>
        <w:tc>
          <w:tcPr>
            <w:tcW w:type="dxa" w:w="3168"/>
            <w:tcMar>
              <w:top w:w="60" w:type="dxa"/>
              <w:start w:w="80" w:type="dxa"/>
              <w:bottom w:w="60" w:type="dxa"/>
              <w:end w:w="80" w:type="dxa"/>
            </w:tcMar>
            <w:vAlign w:val="center"/>
            <w:shd w:fill="F3F6FA"/>
          </w:tcPr>
          <w:p>
            <w:r>
              <w:rPr>
                <w:sz w:val="16"/>
              </w:rPr>
              <w:t>Ungrounded observations are excluded rather than assigned artificial high loss.</w:t>
            </w:r>
          </w:p>
        </w:tc>
      </w:tr>
      <w:tr>
        <w:tc>
          <w:tcPr>
            <w:tcW w:type="dxa" w:w="1008"/>
            <w:tcMar>
              <w:top w:w="60" w:type="dxa"/>
              <w:start w:w="80" w:type="dxa"/>
              <w:bottom w:w="60" w:type="dxa"/>
              <w:end w:w="80" w:type="dxa"/>
            </w:tcMar>
            <w:vAlign w:val="center"/>
          </w:tcPr>
          <w:p>
            <w:r>
              <w:rPr>
                <w:sz w:val="16"/>
              </w:rPr>
              <w:t>FR-042</w:t>
            </w:r>
          </w:p>
        </w:tc>
        <w:tc>
          <w:tcPr>
            <w:tcW w:type="dxa" w:w="5328"/>
            <w:tcMar>
              <w:top w:w="60" w:type="dxa"/>
              <w:start w:w="80" w:type="dxa"/>
              <w:bottom w:w="60" w:type="dxa"/>
              <w:end w:w="80" w:type="dxa"/>
            </w:tcMar>
            <w:vAlign w:val="center"/>
          </w:tcPr>
          <w:p>
            <w:r>
              <w:rPr>
                <w:sz w:val="16"/>
              </w:rPr>
              <w:t>Group cross-entropy shall be the mean of grounded Town/Country component losses when both are available, or the available component when only one is grounded.</w:t>
            </w:r>
          </w:p>
        </w:tc>
        <w:tc>
          <w:tcPr>
            <w:tcW w:type="dxa" w:w="1008"/>
            <w:tcMar>
              <w:top w:w="60" w:type="dxa"/>
              <w:start w:w="80" w:type="dxa"/>
              <w:bottom w:w="60" w:type="dxa"/>
              <w:end w:w="80" w:type="dxa"/>
            </w:tcMar>
            <w:vAlign w:val="center"/>
          </w:tcPr>
          <w:p>
            <w:r>
              <w:rPr>
                <w:sz w:val="16"/>
              </w:rPr>
              <w:t>Must</w:t>
            </w:r>
          </w:p>
        </w:tc>
        <w:tc>
          <w:tcPr>
            <w:tcW w:type="dxa" w:w="3168"/>
            <w:tcMar>
              <w:top w:w="60" w:type="dxa"/>
              <w:start w:w="80" w:type="dxa"/>
              <w:bottom w:w="60" w:type="dxa"/>
              <w:end w:w="80" w:type="dxa"/>
            </w:tcMar>
            <w:vAlign w:val="center"/>
          </w:tcPr>
          <w:p>
            <w:r>
              <w:rPr>
                <w:sz w:val="16"/>
              </w:rPr>
              <w:t>Unit tests confirm both/partial/no-ground-truth cases.</w:t>
            </w:r>
          </w:p>
        </w:tc>
      </w:tr>
      <w:tr>
        <w:tc>
          <w:tcPr>
            <w:tcW w:type="dxa" w:w="1008"/>
            <w:tcMar>
              <w:top w:w="60" w:type="dxa"/>
              <w:start w:w="80" w:type="dxa"/>
              <w:bottom w:w="60" w:type="dxa"/>
              <w:end w:w="80" w:type="dxa"/>
            </w:tcMar>
            <w:vAlign w:val="center"/>
            <w:shd w:fill="F3F6FA"/>
          </w:tcPr>
          <w:p>
            <w:r>
              <w:rPr>
                <w:sz w:val="16"/>
              </w:rPr>
              <w:t>FR-043</w:t>
            </w:r>
          </w:p>
        </w:tc>
        <w:tc>
          <w:tcPr>
            <w:tcW w:type="dxa" w:w="5328"/>
            <w:tcMar>
              <w:top w:w="60" w:type="dxa"/>
              <w:start w:w="80" w:type="dxa"/>
              <w:bottom w:w="60" w:type="dxa"/>
              <w:end w:w="80" w:type="dxa"/>
            </w:tcMar>
            <w:vAlign w:val="center"/>
            <w:shd w:fill="F3F6FA"/>
          </w:tcPr>
          <w:p>
            <w:r>
              <w:rPr>
                <w:sz w:val="16"/>
              </w:rPr>
              <w:t>Cross-entropy shall not be used as the operational HITL routing score.</w:t>
            </w:r>
          </w:p>
        </w:tc>
        <w:tc>
          <w:tcPr>
            <w:tcW w:type="dxa" w:w="1008"/>
            <w:tcMar>
              <w:top w:w="60" w:type="dxa"/>
              <w:start w:w="80" w:type="dxa"/>
              <w:bottom w:w="60" w:type="dxa"/>
              <w:end w:w="80" w:type="dxa"/>
            </w:tcMar>
            <w:vAlign w:val="center"/>
            <w:shd w:fill="F3F6FA"/>
          </w:tcPr>
          <w:p>
            <w:r>
              <w:rPr>
                <w:sz w:val="16"/>
              </w:rPr>
              <w:t>Must</w:t>
            </w:r>
          </w:p>
        </w:tc>
        <w:tc>
          <w:tcPr>
            <w:tcW w:type="dxa" w:w="3168"/>
            <w:tcMar>
              <w:top w:w="60" w:type="dxa"/>
              <w:start w:w="80" w:type="dxa"/>
              <w:bottom w:w="60" w:type="dxa"/>
              <w:end w:w="80" w:type="dxa"/>
            </w:tcMar>
            <w:vAlign w:val="center"/>
            <w:shd w:fill="F3F6FA"/>
          </w:tcPr>
          <w:p>
            <w:r>
              <w:rPr>
                <w:sz w:val="16"/>
              </w:rPr>
              <w:t>HITL decision remains based on Composite Weighted Score and forced-review rules.</w:t>
            </w:r>
          </w:p>
        </w:tc>
      </w:tr>
      <w:tr>
        <w:tc>
          <w:tcPr>
            <w:tcW w:type="dxa" w:w="1008"/>
            <w:tcMar>
              <w:top w:w="60" w:type="dxa"/>
              <w:start w:w="80" w:type="dxa"/>
              <w:bottom w:w="60" w:type="dxa"/>
              <w:end w:w="80" w:type="dxa"/>
            </w:tcMar>
            <w:vAlign w:val="center"/>
          </w:tcPr>
          <w:p>
            <w:r>
              <w:rPr>
                <w:sz w:val="16"/>
              </w:rPr>
              <w:t>FR-044</w:t>
            </w:r>
          </w:p>
        </w:tc>
        <w:tc>
          <w:tcPr>
            <w:tcW w:type="dxa" w:w="5328"/>
            <w:tcMar>
              <w:top w:w="60" w:type="dxa"/>
              <w:start w:w="80" w:type="dxa"/>
              <w:bottom w:w="60" w:type="dxa"/>
              <w:end w:w="80" w:type="dxa"/>
            </w:tcMar>
            <w:vAlign w:val="center"/>
          </w:tcPr>
          <w:p>
            <w:r>
              <w:rPr>
                <w:sz w:val="16"/>
              </w:rPr>
              <w:t>Detailed audit JSON shall preserve nullable correctness/probability/loss for ungrounded components, even if flat compatibility fields collapse unknown into False.</w:t>
            </w:r>
          </w:p>
        </w:tc>
        <w:tc>
          <w:tcPr>
            <w:tcW w:type="dxa" w:w="1008"/>
            <w:tcMar>
              <w:top w:w="60" w:type="dxa"/>
              <w:start w:w="80" w:type="dxa"/>
              <w:bottom w:w="60" w:type="dxa"/>
              <w:end w:w="80" w:type="dxa"/>
            </w:tcMar>
            <w:vAlign w:val="center"/>
          </w:tcPr>
          <w:p>
            <w:r>
              <w:rPr>
                <w:sz w:val="16"/>
              </w:rPr>
              <w:t>Must</w:t>
            </w:r>
          </w:p>
        </w:tc>
        <w:tc>
          <w:tcPr>
            <w:tcW w:type="dxa" w:w="3168"/>
            <w:tcMar>
              <w:top w:w="60" w:type="dxa"/>
              <w:start w:w="80" w:type="dxa"/>
              <w:bottom w:w="60" w:type="dxa"/>
              <w:end w:w="80" w:type="dxa"/>
            </w:tcMar>
            <w:vAlign w:val="center"/>
          </w:tcPr>
          <w:p>
            <w:r>
              <w:rPr>
                <w:sz w:val="16"/>
              </w:rPr>
              <w:t>JSON shows null plus availability/status for ungrounded components.</w:t>
            </w:r>
          </w:p>
        </w:tc>
      </w:tr>
    </w:tbl>
    <w:p>
      <w:pPr>
        <w:pStyle w:val="Heading3"/>
      </w:pPr>
      <w:r>
        <w:t>6.6 Address Retraction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008"/>
            <w:tcMar>
              <w:top w:w="60" w:type="dxa"/>
              <w:start w:w="80" w:type="dxa"/>
              <w:bottom w:w="60" w:type="dxa"/>
              <w:end w:w="80" w:type="dxa"/>
            </w:tcMar>
            <w:vAlign w:val="center"/>
            <w:shd w:fill="17365D"/>
          </w:tcPr>
          <w:p>
            <w:r>
              <w:rPr>
                <w:b/>
                <w:color w:val="FFFFFF"/>
                <w:sz w:val="16"/>
              </w:rPr>
              <w:t>ID</w:t>
            </w:r>
          </w:p>
        </w:tc>
        <w:tc>
          <w:tcPr>
            <w:tcW w:type="dxa" w:w="5328"/>
            <w:tcMar>
              <w:top w:w="60" w:type="dxa"/>
              <w:start w:w="80" w:type="dxa"/>
              <w:bottom w:w="60" w:type="dxa"/>
              <w:end w:w="80" w:type="dxa"/>
            </w:tcMar>
            <w:vAlign w:val="center"/>
            <w:shd w:fill="17365D"/>
          </w:tcPr>
          <w:p>
            <w:r>
              <w:rPr>
                <w:b/>
                <w:color w:val="FFFFFF"/>
                <w:sz w:val="16"/>
              </w:rPr>
              <w:t>Business / Functional Requirement</w:t>
            </w:r>
          </w:p>
        </w:tc>
        <w:tc>
          <w:tcPr>
            <w:tcW w:type="dxa" w:w="1008"/>
            <w:tcMar>
              <w:top w:w="60" w:type="dxa"/>
              <w:start w:w="80" w:type="dxa"/>
              <w:bottom w:w="60" w:type="dxa"/>
              <w:end w:w="80" w:type="dxa"/>
            </w:tcMar>
            <w:vAlign w:val="center"/>
            <w:shd w:fill="17365D"/>
          </w:tcPr>
          <w:p>
            <w:r>
              <w:rPr>
                <w:b/>
                <w:color w:val="FFFFFF"/>
                <w:sz w:val="16"/>
              </w:rPr>
              <w:t>Priority</w:t>
            </w:r>
          </w:p>
        </w:tc>
        <w:tc>
          <w:tcPr>
            <w:tcW w:type="dxa" w:w="3168"/>
            <w:tcMar>
              <w:top w:w="60" w:type="dxa"/>
              <w:start w:w="80" w:type="dxa"/>
              <w:bottom w:w="60" w:type="dxa"/>
              <w:end w:w="80" w:type="dxa"/>
            </w:tcMar>
            <w:vAlign w:val="center"/>
            <w:shd w:fill="17365D"/>
          </w:tcPr>
          <w:p>
            <w:r>
              <w:rPr>
                <w:b/>
                <w:color w:val="FFFFFF"/>
                <w:sz w:val="16"/>
              </w:rPr>
              <w:t>Acceptance / Verification</w:t>
            </w:r>
          </w:p>
        </w:tc>
      </w:tr>
      <w:tr>
        <w:tc>
          <w:tcPr>
            <w:tcW w:type="dxa" w:w="1008"/>
            <w:tcMar>
              <w:top w:w="60" w:type="dxa"/>
              <w:start w:w="80" w:type="dxa"/>
              <w:bottom w:w="60" w:type="dxa"/>
              <w:end w:w="80" w:type="dxa"/>
            </w:tcMar>
            <w:vAlign w:val="center"/>
          </w:tcPr>
          <w:p>
            <w:r>
              <w:rPr>
                <w:sz w:val="16"/>
              </w:rPr>
              <w:t>FR-050</w:t>
            </w:r>
          </w:p>
        </w:tc>
        <w:tc>
          <w:tcPr>
            <w:tcW w:type="dxa" w:w="5328"/>
            <w:tcMar>
              <w:top w:w="60" w:type="dxa"/>
              <w:start w:w="80" w:type="dxa"/>
              <w:bottom w:w="60" w:type="dxa"/>
              <w:end w:w="80" w:type="dxa"/>
            </w:tcMar>
            <w:vAlign w:val="center"/>
          </w:tcPr>
          <w:p>
            <w:r>
              <w:rPr>
                <w:sz w:val="16"/>
              </w:rPr>
              <w:t>The system shall support deterministic retraction of Town/Country information only when the corresponding value was explicitly verified in the source text.</w:t>
            </w:r>
          </w:p>
        </w:tc>
        <w:tc>
          <w:tcPr>
            <w:tcW w:type="dxa" w:w="1008"/>
            <w:tcMar>
              <w:top w:w="60" w:type="dxa"/>
              <w:start w:w="80" w:type="dxa"/>
              <w:bottom w:w="60" w:type="dxa"/>
              <w:end w:w="80" w:type="dxa"/>
            </w:tcMar>
            <w:vAlign w:val="center"/>
          </w:tcPr>
          <w:p>
            <w:r>
              <w:rPr>
                <w:sz w:val="16"/>
              </w:rPr>
              <w:t>Must</w:t>
            </w:r>
          </w:p>
        </w:tc>
        <w:tc>
          <w:tcPr>
            <w:tcW w:type="dxa" w:w="3168"/>
            <w:tcMar>
              <w:top w:w="60" w:type="dxa"/>
              <w:start w:w="80" w:type="dxa"/>
              <w:bottom w:w="60" w:type="dxa"/>
              <w:end w:w="80" w:type="dxa"/>
            </w:tcMar>
            <w:vAlign w:val="center"/>
          </w:tcPr>
          <w:p>
            <w:r>
              <w:rPr>
                <w:sz w:val="16"/>
              </w:rPr>
              <w:t>Inferred values are never removed from source text.</w:t>
            </w:r>
          </w:p>
        </w:tc>
      </w:tr>
      <w:tr>
        <w:tc>
          <w:tcPr>
            <w:tcW w:type="dxa" w:w="1008"/>
            <w:tcMar>
              <w:top w:w="60" w:type="dxa"/>
              <w:start w:w="80" w:type="dxa"/>
              <w:bottom w:w="60" w:type="dxa"/>
              <w:end w:w="80" w:type="dxa"/>
            </w:tcMar>
            <w:vAlign w:val="center"/>
            <w:shd w:fill="F3F6FA"/>
          </w:tcPr>
          <w:p>
            <w:r>
              <w:rPr>
                <w:sz w:val="16"/>
              </w:rPr>
              <w:t>FR-051</w:t>
            </w:r>
          </w:p>
        </w:tc>
        <w:tc>
          <w:tcPr>
            <w:tcW w:type="dxa" w:w="5328"/>
            <w:tcMar>
              <w:top w:w="60" w:type="dxa"/>
              <w:start w:w="80" w:type="dxa"/>
              <w:bottom w:w="60" w:type="dxa"/>
              <w:end w:w="80" w:type="dxa"/>
            </w:tcMar>
            <w:vAlign w:val="center"/>
            <w:shd w:fill="F3F6FA"/>
          </w:tcPr>
          <w:p>
            <w:r>
              <w:rPr>
                <w:sz w:val="16"/>
              </w:rPr>
              <w:t>Retraction shall operate at original source-column level, preserving before/after values for audit and rebuilding the combined address from the after-values.</w:t>
            </w:r>
          </w:p>
        </w:tc>
        <w:tc>
          <w:tcPr>
            <w:tcW w:type="dxa" w:w="1008"/>
            <w:tcMar>
              <w:top w:w="60" w:type="dxa"/>
              <w:start w:w="80" w:type="dxa"/>
              <w:bottom w:w="60" w:type="dxa"/>
              <w:end w:w="80" w:type="dxa"/>
            </w:tcMar>
            <w:vAlign w:val="center"/>
            <w:shd w:fill="F3F6FA"/>
          </w:tcPr>
          <w:p>
            <w:r>
              <w:rPr>
                <w:sz w:val="16"/>
              </w:rPr>
              <w:t>Must</w:t>
            </w:r>
          </w:p>
        </w:tc>
        <w:tc>
          <w:tcPr>
            <w:tcW w:type="dxa" w:w="3168"/>
            <w:tcMar>
              <w:top w:w="60" w:type="dxa"/>
              <w:start w:w="80" w:type="dxa"/>
              <w:bottom w:w="60" w:type="dxa"/>
              <w:end w:w="80" w:type="dxa"/>
            </w:tcMar>
            <w:vAlign w:val="center"/>
            <w:shd w:fill="F3F6FA"/>
          </w:tcPr>
          <w:p>
            <w:r>
              <w:rPr>
                <w:sz w:val="16"/>
              </w:rPr>
              <w:t>Detailed audit contains source-column before/after maps.</w:t>
            </w:r>
          </w:p>
        </w:tc>
      </w:tr>
      <w:tr>
        <w:tc>
          <w:tcPr>
            <w:tcW w:type="dxa" w:w="1008"/>
            <w:tcMar>
              <w:top w:w="60" w:type="dxa"/>
              <w:start w:w="80" w:type="dxa"/>
              <w:bottom w:w="60" w:type="dxa"/>
              <w:end w:w="80" w:type="dxa"/>
            </w:tcMar>
            <w:vAlign w:val="center"/>
          </w:tcPr>
          <w:p>
            <w:r>
              <w:rPr>
                <w:sz w:val="16"/>
              </w:rPr>
              <w:t>FR-052</w:t>
            </w:r>
          </w:p>
        </w:tc>
        <w:tc>
          <w:tcPr>
            <w:tcW w:type="dxa" w:w="5328"/>
            <w:tcMar>
              <w:top w:w="60" w:type="dxa"/>
              <w:start w:w="80" w:type="dxa"/>
              <w:bottom w:w="60" w:type="dxa"/>
              <w:end w:w="80" w:type="dxa"/>
            </w:tcMar>
            <w:vAlign w:val="center"/>
          </w:tcPr>
          <w:p>
            <w:r>
              <w:rPr>
                <w:sz w:val="16"/>
              </w:rPr>
              <w:t>Retraction shall use token/span-safe matching and shall not use naive substring replacement.</w:t>
            </w:r>
          </w:p>
        </w:tc>
        <w:tc>
          <w:tcPr>
            <w:tcW w:type="dxa" w:w="1008"/>
            <w:tcMar>
              <w:top w:w="60" w:type="dxa"/>
              <w:start w:w="80" w:type="dxa"/>
              <w:bottom w:w="60" w:type="dxa"/>
              <w:end w:w="80" w:type="dxa"/>
            </w:tcMar>
            <w:vAlign w:val="center"/>
          </w:tcPr>
          <w:p>
            <w:r>
              <w:rPr>
                <w:sz w:val="16"/>
              </w:rPr>
              <w:t>Must</w:t>
            </w:r>
          </w:p>
        </w:tc>
        <w:tc>
          <w:tcPr>
            <w:tcW w:type="dxa" w:w="3168"/>
            <w:tcMar>
              <w:top w:w="60" w:type="dxa"/>
              <w:start w:w="80" w:type="dxa"/>
              <w:bottom w:w="60" w:type="dxa"/>
              <w:end w:w="80" w:type="dxa"/>
            </w:tcMar>
            <w:vAlign w:val="center"/>
          </w:tcPr>
          <w:p>
            <w:r>
              <w:rPr>
                <w:sz w:val="16"/>
              </w:rPr>
              <w:t>AERONAUTICA/RONA, CUSTOMS/US and ambiguous IN fixtures remain safe.</w:t>
            </w:r>
          </w:p>
        </w:tc>
      </w:tr>
      <w:tr>
        <w:tc>
          <w:tcPr>
            <w:tcW w:type="dxa" w:w="1008"/>
            <w:tcMar>
              <w:top w:w="60" w:type="dxa"/>
              <w:start w:w="80" w:type="dxa"/>
              <w:bottom w:w="60" w:type="dxa"/>
              <w:end w:w="80" w:type="dxa"/>
            </w:tcMar>
            <w:vAlign w:val="center"/>
            <w:shd w:fill="F3F6FA"/>
          </w:tcPr>
          <w:p>
            <w:r>
              <w:rPr>
                <w:sz w:val="16"/>
              </w:rPr>
              <w:t>FR-053</w:t>
            </w:r>
          </w:p>
        </w:tc>
        <w:tc>
          <w:tcPr>
            <w:tcW w:type="dxa" w:w="5328"/>
            <w:tcMar>
              <w:top w:w="60" w:type="dxa"/>
              <w:start w:w="80" w:type="dxa"/>
              <w:bottom w:w="60" w:type="dxa"/>
              <w:end w:w="80" w:type="dxa"/>
            </w:tcMar>
            <w:vAlign w:val="center"/>
            <w:shd w:fill="F3F6FA"/>
          </w:tcPr>
          <w:p>
            <w:r>
              <w:rPr>
                <w:sz w:val="16"/>
              </w:rPr>
              <w:t>Original source columns shall never be mutated by retraction.</w:t>
            </w:r>
          </w:p>
        </w:tc>
        <w:tc>
          <w:tcPr>
            <w:tcW w:type="dxa" w:w="1008"/>
            <w:tcMar>
              <w:top w:w="60" w:type="dxa"/>
              <w:start w:w="80" w:type="dxa"/>
              <w:bottom w:w="60" w:type="dxa"/>
              <w:end w:w="80" w:type="dxa"/>
            </w:tcMar>
            <w:vAlign w:val="center"/>
            <w:shd w:fill="F3F6FA"/>
          </w:tcPr>
          <w:p>
            <w:r>
              <w:rPr>
                <w:sz w:val="16"/>
              </w:rPr>
              <w:t>Must</w:t>
            </w:r>
          </w:p>
        </w:tc>
        <w:tc>
          <w:tcPr>
            <w:tcW w:type="dxa" w:w="3168"/>
            <w:tcMar>
              <w:top w:w="60" w:type="dxa"/>
              <w:start w:w="80" w:type="dxa"/>
              <w:bottom w:w="60" w:type="dxa"/>
              <w:end w:w="80" w:type="dxa"/>
            </w:tcMar>
            <w:vAlign w:val="center"/>
            <w:shd w:fill="F3F6FA"/>
          </w:tcPr>
          <w:p>
            <w:r>
              <w:rPr>
                <w:sz w:val="16"/>
              </w:rPr>
              <w:t>Original input values remain byte-for-byte equivalent in the compatibility output.</w:t>
            </w:r>
          </w:p>
        </w:tc>
      </w:tr>
    </w:tbl>
    <w:p>
      <w:pPr>
        <w:pStyle w:val="Heading3"/>
      </w:pPr>
      <w:r>
        <w:t>6.7 Output, Audit and Error Handling</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008"/>
            <w:tcMar>
              <w:top w:w="60" w:type="dxa"/>
              <w:start w:w="80" w:type="dxa"/>
              <w:bottom w:w="60" w:type="dxa"/>
              <w:end w:w="80" w:type="dxa"/>
            </w:tcMar>
            <w:vAlign w:val="center"/>
            <w:shd w:fill="17365D"/>
          </w:tcPr>
          <w:p>
            <w:r>
              <w:rPr>
                <w:b/>
                <w:color w:val="FFFFFF"/>
                <w:sz w:val="16"/>
              </w:rPr>
              <w:t>ID</w:t>
            </w:r>
          </w:p>
        </w:tc>
        <w:tc>
          <w:tcPr>
            <w:tcW w:type="dxa" w:w="5328"/>
            <w:tcMar>
              <w:top w:w="60" w:type="dxa"/>
              <w:start w:w="80" w:type="dxa"/>
              <w:bottom w:w="60" w:type="dxa"/>
              <w:end w:w="80" w:type="dxa"/>
            </w:tcMar>
            <w:vAlign w:val="center"/>
            <w:shd w:fill="17365D"/>
          </w:tcPr>
          <w:p>
            <w:r>
              <w:rPr>
                <w:b/>
                <w:color w:val="FFFFFF"/>
                <w:sz w:val="16"/>
              </w:rPr>
              <w:t>Business / Functional Requirement</w:t>
            </w:r>
          </w:p>
        </w:tc>
        <w:tc>
          <w:tcPr>
            <w:tcW w:type="dxa" w:w="1008"/>
            <w:tcMar>
              <w:top w:w="60" w:type="dxa"/>
              <w:start w:w="80" w:type="dxa"/>
              <w:bottom w:w="60" w:type="dxa"/>
              <w:end w:w="80" w:type="dxa"/>
            </w:tcMar>
            <w:vAlign w:val="center"/>
            <w:shd w:fill="17365D"/>
          </w:tcPr>
          <w:p>
            <w:r>
              <w:rPr>
                <w:b/>
                <w:color w:val="FFFFFF"/>
                <w:sz w:val="16"/>
              </w:rPr>
              <w:t>Priority</w:t>
            </w:r>
          </w:p>
        </w:tc>
        <w:tc>
          <w:tcPr>
            <w:tcW w:type="dxa" w:w="3168"/>
            <w:tcMar>
              <w:top w:w="60" w:type="dxa"/>
              <w:start w:w="80" w:type="dxa"/>
              <w:bottom w:w="60" w:type="dxa"/>
              <w:end w:w="80" w:type="dxa"/>
            </w:tcMar>
            <w:vAlign w:val="center"/>
            <w:shd w:fill="17365D"/>
          </w:tcPr>
          <w:p>
            <w:r>
              <w:rPr>
                <w:b/>
                <w:color w:val="FFFFFF"/>
                <w:sz w:val="16"/>
              </w:rPr>
              <w:t>Acceptance / Verification</w:t>
            </w:r>
          </w:p>
        </w:tc>
      </w:tr>
      <w:tr>
        <w:tc>
          <w:tcPr>
            <w:tcW w:type="dxa" w:w="1008"/>
            <w:tcMar>
              <w:top w:w="60" w:type="dxa"/>
              <w:start w:w="80" w:type="dxa"/>
              <w:bottom w:w="60" w:type="dxa"/>
              <w:end w:w="80" w:type="dxa"/>
            </w:tcMar>
            <w:vAlign w:val="center"/>
          </w:tcPr>
          <w:p>
            <w:r>
              <w:rPr>
                <w:sz w:val="16"/>
              </w:rPr>
              <w:t>FR-060</w:t>
            </w:r>
          </w:p>
        </w:tc>
        <w:tc>
          <w:tcPr>
            <w:tcW w:type="dxa" w:w="5328"/>
            <w:tcMar>
              <w:top w:w="60" w:type="dxa"/>
              <w:start w:w="80" w:type="dxa"/>
              <w:bottom w:w="60" w:type="dxa"/>
              <w:end w:w="80" w:type="dxa"/>
            </w:tcMar>
            <w:vAlign w:val="center"/>
          </w:tcPr>
          <w:p>
            <w:r>
              <w:rPr>
                <w:sz w:val="16"/>
              </w:rPr>
              <w:t>The solution shall continue to support a flat compatibility output for users or systems that require CSV.</w:t>
            </w:r>
          </w:p>
        </w:tc>
        <w:tc>
          <w:tcPr>
            <w:tcW w:type="dxa" w:w="1008"/>
            <w:tcMar>
              <w:top w:w="60" w:type="dxa"/>
              <w:start w:w="80" w:type="dxa"/>
              <w:bottom w:w="60" w:type="dxa"/>
              <w:end w:w="80" w:type="dxa"/>
            </w:tcMar>
            <w:vAlign w:val="center"/>
          </w:tcPr>
          <w:p>
            <w:r>
              <w:rPr>
                <w:sz w:val="16"/>
              </w:rPr>
              <w:t>Should</w:t>
            </w:r>
          </w:p>
        </w:tc>
        <w:tc>
          <w:tcPr>
            <w:tcW w:type="dxa" w:w="3168"/>
            <w:tcMar>
              <w:top w:w="60" w:type="dxa"/>
              <w:start w:w="80" w:type="dxa"/>
              <w:bottom w:w="60" w:type="dxa"/>
              <w:end w:w="80" w:type="dxa"/>
            </w:tcMar>
            <w:vAlign w:val="center"/>
          </w:tcPr>
          <w:p>
            <w:r>
              <w:rPr>
                <w:sz w:val="16"/>
              </w:rPr>
              <w:t>CSV is readable and preserves record/source data.</w:t>
            </w:r>
          </w:p>
        </w:tc>
      </w:tr>
      <w:tr>
        <w:tc>
          <w:tcPr>
            <w:tcW w:type="dxa" w:w="1008"/>
            <w:tcMar>
              <w:top w:w="60" w:type="dxa"/>
              <w:start w:w="80" w:type="dxa"/>
              <w:bottom w:w="60" w:type="dxa"/>
              <w:end w:w="80" w:type="dxa"/>
            </w:tcMar>
            <w:vAlign w:val="center"/>
            <w:shd w:fill="F3F6FA"/>
          </w:tcPr>
          <w:p>
            <w:r>
              <w:rPr>
                <w:sz w:val="16"/>
              </w:rPr>
              <w:t>FR-061</w:t>
            </w:r>
          </w:p>
        </w:tc>
        <w:tc>
          <w:tcPr>
            <w:tcW w:type="dxa" w:w="5328"/>
            <w:tcMar>
              <w:top w:w="60" w:type="dxa"/>
              <w:start w:w="80" w:type="dxa"/>
              <w:bottom w:w="60" w:type="dxa"/>
              <w:end w:w="80" w:type="dxa"/>
            </w:tcMar>
            <w:vAlign w:val="center"/>
            <w:shd w:fill="F3F6FA"/>
          </w:tcPr>
          <w:p>
            <w:r>
              <w:rPr>
                <w:sz w:val="16"/>
              </w:rPr>
              <w:t>The canonical detailed audit output shall be structured JSON or JSONL, one logical record per source record with nested group detail.</w:t>
            </w:r>
          </w:p>
        </w:tc>
        <w:tc>
          <w:tcPr>
            <w:tcW w:type="dxa" w:w="1008"/>
            <w:tcMar>
              <w:top w:w="60" w:type="dxa"/>
              <w:start w:w="80" w:type="dxa"/>
              <w:bottom w:w="60" w:type="dxa"/>
              <w:end w:w="80" w:type="dxa"/>
            </w:tcMar>
            <w:vAlign w:val="center"/>
            <w:shd w:fill="F3F6FA"/>
          </w:tcPr>
          <w:p>
            <w:r>
              <w:rPr>
                <w:sz w:val="16"/>
              </w:rPr>
              <w:t>Must</w:t>
            </w:r>
          </w:p>
        </w:tc>
        <w:tc>
          <w:tcPr>
            <w:tcW w:type="dxa" w:w="3168"/>
            <w:tcMar>
              <w:top w:w="60" w:type="dxa"/>
              <w:start w:w="80" w:type="dxa"/>
              <w:bottom w:w="60" w:type="dxa"/>
              <w:end w:w="80" w:type="dxa"/>
            </w:tcMar>
            <w:vAlign w:val="center"/>
            <w:shd w:fill="F3F6FA"/>
          </w:tcPr>
          <w:p>
            <w:r>
              <w:rPr>
                <w:sz w:val="16"/>
              </w:rPr>
              <w:t>Every input record has one structured detailed output object.</w:t>
            </w:r>
          </w:p>
        </w:tc>
      </w:tr>
      <w:tr>
        <w:tc>
          <w:tcPr>
            <w:tcW w:type="dxa" w:w="1008"/>
            <w:tcMar>
              <w:top w:w="60" w:type="dxa"/>
              <w:start w:w="80" w:type="dxa"/>
              <w:bottom w:w="60" w:type="dxa"/>
              <w:end w:w="80" w:type="dxa"/>
            </w:tcMar>
            <w:vAlign w:val="center"/>
          </w:tcPr>
          <w:p>
            <w:r>
              <w:rPr>
                <w:sz w:val="16"/>
              </w:rPr>
              <w:t>FR-062</w:t>
            </w:r>
          </w:p>
        </w:tc>
        <w:tc>
          <w:tcPr>
            <w:tcW w:type="dxa" w:w="5328"/>
            <w:tcMar>
              <w:top w:w="60" w:type="dxa"/>
              <w:start w:w="80" w:type="dxa"/>
              <w:bottom w:w="60" w:type="dxa"/>
              <w:end w:w="80" w:type="dxa"/>
            </w:tcMar>
            <w:vAlign w:val="center"/>
          </w:tcPr>
          <w:p>
            <w:r>
              <w:rPr>
                <w:sz w:val="16"/>
              </w:rPr>
              <w:t>The detailed JSON shall include prediction, evidence, reference status, scoring, cross-entropy, rationale and retraction before/after information per group.</w:t>
            </w:r>
          </w:p>
        </w:tc>
        <w:tc>
          <w:tcPr>
            <w:tcW w:type="dxa" w:w="1008"/>
            <w:tcMar>
              <w:top w:w="60" w:type="dxa"/>
              <w:start w:w="80" w:type="dxa"/>
              <w:bottom w:w="60" w:type="dxa"/>
              <w:end w:w="80" w:type="dxa"/>
            </w:tcMar>
            <w:vAlign w:val="center"/>
          </w:tcPr>
          <w:p>
            <w:r>
              <w:rPr>
                <w:sz w:val="16"/>
              </w:rPr>
              <w:t>Must</w:t>
            </w:r>
          </w:p>
        </w:tc>
        <w:tc>
          <w:tcPr>
            <w:tcW w:type="dxa" w:w="3168"/>
            <w:tcMar>
              <w:top w:w="60" w:type="dxa"/>
              <w:start w:w="80" w:type="dxa"/>
              <w:bottom w:w="60" w:type="dxa"/>
              <w:end w:w="80" w:type="dxa"/>
            </w:tcMar>
            <w:vAlign w:val="center"/>
          </w:tcPr>
          <w:p>
            <w:r>
              <w:rPr>
                <w:sz w:val="16"/>
              </w:rPr>
              <w:t>Schema validation confirms required blocks.</w:t>
            </w:r>
          </w:p>
        </w:tc>
      </w:tr>
      <w:tr>
        <w:tc>
          <w:tcPr>
            <w:tcW w:type="dxa" w:w="1008"/>
            <w:tcMar>
              <w:top w:w="60" w:type="dxa"/>
              <w:start w:w="80" w:type="dxa"/>
              <w:bottom w:w="60" w:type="dxa"/>
              <w:end w:w="80" w:type="dxa"/>
            </w:tcMar>
            <w:vAlign w:val="center"/>
            <w:shd w:fill="F3F6FA"/>
          </w:tcPr>
          <w:p>
            <w:r>
              <w:rPr>
                <w:sz w:val="16"/>
              </w:rPr>
              <w:t>FR-063</w:t>
            </w:r>
          </w:p>
        </w:tc>
        <w:tc>
          <w:tcPr>
            <w:tcW w:type="dxa" w:w="5328"/>
            <w:tcMar>
              <w:top w:w="60" w:type="dxa"/>
              <w:start w:w="80" w:type="dxa"/>
              <w:bottom w:w="60" w:type="dxa"/>
              <w:end w:w="80" w:type="dxa"/>
            </w:tcMar>
            <w:vAlign w:val="center"/>
            <w:shd w:fill="F3F6FA"/>
          </w:tcPr>
          <w:p>
            <w:r>
              <w:rPr>
                <w:sz w:val="16"/>
              </w:rPr>
              <w:t>Run-wide metadata shall be stored once in run-level audit/metrics rather than repeated in every group object.</w:t>
            </w:r>
          </w:p>
        </w:tc>
        <w:tc>
          <w:tcPr>
            <w:tcW w:type="dxa" w:w="1008"/>
            <w:tcMar>
              <w:top w:w="60" w:type="dxa"/>
              <w:start w:w="80" w:type="dxa"/>
              <w:bottom w:w="60" w:type="dxa"/>
              <w:end w:w="80" w:type="dxa"/>
            </w:tcMar>
            <w:vAlign w:val="center"/>
            <w:shd w:fill="F3F6FA"/>
          </w:tcPr>
          <w:p>
            <w:r>
              <w:rPr>
                <w:sz w:val="16"/>
              </w:rPr>
              <w:t>Should</w:t>
            </w:r>
          </w:p>
        </w:tc>
        <w:tc>
          <w:tcPr>
            <w:tcW w:type="dxa" w:w="3168"/>
            <w:tcMar>
              <w:top w:w="60" w:type="dxa"/>
              <w:start w:w="80" w:type="dxa"/>
              <w:bottom w:w="60" w:type="dxa"/>
              <w:end w:w="80" w:type="dxa"/>
            </w:tcMar>
            <w:vAlign w:val="center"/>
            <w:shd w:fill="F3F6FA"/>
          </w:tcPr>
          <w:p>
            <w:r>
              <w:rPr>
                <w:sz w:val="16"/>
              </w:rPr>
              <w:t>Model/prompt/reference/run metadata is available without bloating each record.</w:t>
            </w:r>
          </w:p>
        </w:tc>
      </w:tr>
      <w:tr>
        <w:tc>
          <w:tcPr>
            <w:tcW w:type="dxa" w:w="1008"/>
            <w:tcMar>
              <w:top w:w="60" w:type="dxa"/>
              <w:start w:w="80" w:type="dxa"/>
              <w:bottom w:w="60" w:type="dxa"/>
              <w:end w:w="80" w:type="dxa"/>
            </w:tcMar>
            <w:vAlign w:val="center"/>
          </w:tcPr>
          <w:p>
            <w:r>
              <w:rPr>
                <w:sz w:val="16"/>
              </w:rPr>
              <w:t>FR-064</w:t>
            </w:r>
          </w:p>
        </w:tc>
        <w:tc>
          <w:tcPr>
            <w:tcW w:type="dxa" w:w="5328"/>
            <w:tcMar>
              <w:top w:w="60" w:type="dxa"/>
              <w:start w:w="80" w:type="dxa"/>
              <w:bottom w:w="60" w:type="dxa"/>
              <w:end w:w="80" w:type="dxa"/>
            </w:tcMar>
            <w:vAlign w:val="center"/>
          </w:tcPr>
          <w:p>
            <w:r>
              <w:rPr>
                <w:sz w:val="16"/>
              </w:rPr>
              <w:t>The detailed JSON writer shall support streaming output and shall serialize unavailable numeric values as JSON null, never NaN.</w:t>
            </w:r>
          </w:p>
        </w:tc>
        <w:tc>
          <w:tcPr>
            <w:tcW w:type="dxa" w:w="1008"/>
            <w:tcMar>
              <w:top w:w="60" w:type="dxa"/>
              <w:start w:w="80" w:type="dxa"/>
              <w:bottom w:w="60" w:type="dxa"/>
              <w:end w:w="80" w:type="dxa"/>
            </w:tcMar>
            <w:vAlign w:val="center"/>
          </w:tcPr>
          <w:p>
            <w:r>
              <w:rPr>
                <w:sz w:val="16"/>
              </w:rPr>
              <w:t>Must</w:t>
            </w:r>
          </w:p>
        </w:tc>
        <w:tc>
          <w:tcPr>
            <w:tcW w:type="dxa" w:w="3168"/>
            <w:tcMar>
              <w:top w:w="60" w:type="dxa"/>
              <w:start w:w="80" w:type="dxa"/>
              <w:bottom w:w="60" w:type="dxa"/>
              <w:end w:w="80" w:type="dxa"/>
            </w:tcMar>
            <w:vAlign w:val="center"/>
          </w:tcPr>
          <w:p>
            <w:r>
              <w:rPr>
                <w:sz w:val="16"/>
              </w:rPr>
              <w:t>Large files do not require building a full in-memory array; JSON parser accepts output.</w:t>
            </w:r>
          </w:p>
        </w:tc>
      </w:tr>
      <w:tr>
        <w:tc>
          <w:tcPr>
            <w:tcW w:type="dxa" w:w="1008"/>
            <w:tcMar>
              <w:top w:w="60" w:type="dxa"/>
              <w:start w:w="80" w:type="dxa"/>
              <w:bottom w:w="60" w:type="dxa"/>
              <w:end w:w="80" w:type="dxa"/>
            </w:tcMar>
            <w:vAlign w:val="center"/>
            <w:shd w:fill="F3F6FA"/>
          </w:tcPr>
          <w:p>
            <w:r>
              <w:rPr>
                <w:sz w:val="16"/>
              </w:rPr>
              <w:t>FR-065</w:t>
            </w:r>
          </w:p>
        </w:tc>
        <w:tc>
          <w:tcPr>
            <w:tcW w:type="dxa" w:w="5328"/>
            <w:tcMar>
              <w:top w:w="60" w:type="dxa"/>
              <w:start w:w="80" w:type="dxa"/>
              <w:bottom w:w="60" w:type="dxa"/>
              <w:end w:w="80" w:type="dxa"/>
            </w:tcMar>
            <w:vAlign w:val="center"/>
            <w:shd w:fill="F3F6FA"/>
          </w:tcPr>
          <w:p>
            <w:r>
              <w:rPr>
                <w:sz w:val="16"/>
              </w:rPr>
              <w:t>The solution shall produce an explicit processing-error artifact and shall never convert LLM/API failures into valid business NO_TOWN/NO_COUNTRY conclusions.</w:t>
            </w:r>
          </w:p>
        </w:tc>
        <w:tc>
          <w:tcPr>
            <w:tcW w:type="dxa" w:w="1008"/>
            <w:tcMar>
              <w:top w:w="60" w:type="dxa"/>
              <w:start w:w="80" w:type="dxa"/>
              <w:bottom w:w="60" w:type="dxa"/>
              <w:end w:w="80" w:type="dxa"/>
            </w:tcMar>
            <w:vAlign w:val="center"/>
            <w:shd w:fill="F3F6FA"/>
          </w:tcPr>
          <w:p>
            <w:r>
              <w:rPr>
                <w:sz w:val="16"/>
              </w:rPr>
              <w:t>Must</w:t>
            </w:r>
          </w:p>
        </w:tc>
        <w:tc>
          <w:tcPr>
            <w:tcW w:type="dxa" w:w="3168"/>
            <w:tcMar>
              <w:top w:w="60" w:type="dxa"/>
              <w:start w:w="80" w:type="dxa"/>
              <w:bottom w:w="60" w:type="dxa"/>
              <w:end w:w="80" w:type="dxa"/>
            </w:tcMar>
            <w:vAlign w:val="center"/>
            <w:shd w:fill="F3F6FA"/>
          </w:tcPr>
          <w:p>
            <w:r>
              <w:rPr>
                <w:sz w:val="16"/>
              </w:rPr>
              <w:t>Failures remain distinguishable from legitimate no-result outcomes.</w:t>
            </w:r>
          </w:p>
        </w:tc>
      </w:tr>
    </w:tbl>
    <w:p>
      <w:pPr>
        <w:pStyle w:val="Heading1"/>
      </w:pPr>
      <w:r>
        <w:t>7. Composite Weighted Score - Business Policy</w:t>
      </w:r>
    </w:p>
    <w:p>
      <w:r>
        <w:t>The Composite Weighted Score is the operational routing score. It intentionally combines the model's confidence with a business reliability weight that reflects whether Town/Country were explicitly evidenced or inferred. This prevents a high raw model confidence from being treated as equivalent across materially different evidence conditions.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4608"/>
            <w:tcMar>
              <w:top w:w="60" w:type="dxa"/>
              <w:start w:w="80" w:type="dxa"/>
              <w:bottom w:w="60" w:type="dxa"/>
              <w:end w:w="80" w:type="dxa"/>
            </w:tcMar>
            <w:vAlign w:val="center"/>
            <w:shd w:fill="17365D"/>
          </w:tcPr>
          <w:p>
            <w:r>
              <w:rPr>
                <w:b/>
                <w:color w:val="FFFFFF"/>
                <w:sz w:val="16"/>
              </w:rPr>
              <w:t>Scenario</w:t>
            </w:r>
          </w:p>
        </w:tc>
        <w:tc>
          <w:tcPr>
            <w:tcW w:type="dxa" w:w="1584"/>
            <w:tcMar>
              <w:top w:w="60" w:type="dxa"/>
              <w:start w:w="80" w:type="dxa"/>
              <w:bottom w:w="60" w:type="dxa"/>
              <w:end w:w="80" w:type="dxa"/>
            </w:tcMar>
            <w:vAlign w:val="center"/>
            <w:shd w:fill="17365D"/>
          </w:tcPr>
          <w:p>
            <w:r>
              <w:rPr>
                <w:b/>
                <w:color w:val="FFFFFF"/>
                <w:sz w:val="16"/>
              </w:rPr>
              <w:t>Town Weight</w:t>
            </w:r>
          </w:p>
        </w:tc>
        <w:tc>
          <w:tcPr>
            <w:tcW w:type="dxa" w:w="1728"/>
            <w:tcMar>
              <w:top w:w="60" w:type="dxa"/>
              <w:start w:w="80" w:type="dxa"/>
              <w:bottom w:w="60" w:type="dxa"/>
              <w:end w:w="80" w:type="dxa"/>
            </w:tcMar>
            <w:vAlign w:val="center"/>
            <w:shd w:fill="17365D"/>
          </w:tcPr>
          <w:p>
            <w:r>
              <w:rPr>
                <w:b/>
                <w:color w:val="FFFFFF"/>
                <w:sz w:val="16"/>
              </w:rPr>
              <w:t>Country Weight</w:t>
            </w:r>
          </w:p>
        </w:tc>
        <w:tc>
          <w:tcPr>
            <w:tcW w:type="dxa" w:w="2304"/>
            <w:tcMar>
              <w:top w:w="60" w:type="dxa"/>
              <w:start w:w="80" w:type="dxa"/>
              <w:bottom w:w="60" w:type="dxa"/>
              <w:end w:w="80" w:type="dxa"/>
            </w:tcMar>
            <w:vAlign w:val="center"/>
            <w:shd w:fill="17365D"/>
          </w:tcPr>
          <w:p>
            <w:r>
              <w:rPr>
                <w:b/>
                <w:color w:val="FFFFFF"/>
                <w:sz w:val="16"/>
              </w:rPr>
              <w:t>Theoretical Max Composite</w:t>
            </w:r>
          </w:p>
        </w:tc>
      </w:tr>
      <w:tr>
        <w:tc>
          <w:tcPr>
            <w:tcW w:type="dxa" w:w="4608"/>
            <w:tcMar>
              <w:top w:w="60" w:type="dxa"/>
              <w:start w:w="80" w:type="dxa"/>
              <w:bottom w:w="60" w:type="dxa"/>
              <w:end w:w="80" w:type="dxa"/>
            </w:tcMar>
            <w:vAlign w:val="center"/>
          </w:tcPr>
          <w:p>
            <w:r>
              <w:rPr>
                <w:sz w:val="16"/>
              </w:rPr>
              <w:t>both_explicit</w:t>
            </w:r>
          </w:p>
        </w:tc>
        <w:tc>
          <w:tcPr>
            <w:tcW w:type="dxa" w:w="1584"/>
            <w:tcMar>
              <w:top w:w="60" w:type="dxa"/>
              <w:start w:w="80" w:type="dxa"/>
              <w:bottom w:w="60" w:type="dxa"/>
              <w:end w:w="80" w:type="dxa"/>
            </w:tcMar>
            <w:vAlign w:val="center"/>
          </w:tcPr>
          <w:p>
            <w:r>
              <w:rPr>
                <w:sz w:val="16"/>
              </w:rPr>
              <w:t>1.00</w:t>
            </w:r>
          </w:p>
        </w:tc>
        <w:tc>
          <w:tcPr>
            <w:tcW w:type="dxa" w:w="1728"/>
            <w:tcMar>
              <w:top w:w="60" w:type="dxa"/>
              <w:start w:w="80" w:type="dxa"/>
              <w:bottom w:w="60" w:type="dxa"/>
              <w:end w:w="80" w:type="dxa"/>
            </w:tcMar>
            <w:vAlign w:val="center"/>
          </w:tcPr>
          <w:p>
            <w:r>
              <w:rPr>
                <w:sz w:val="16"/>
              </w:rPr>
              <w:t>1.00</w:t>
            </w:r>
          </w:p>
        </w:tc>
        <w:tc>
          <w:tcPr>
            <w:tcW w:type="dxa" w:w="2304"/>
            <w:tcMar>
              <w:top w:w="60" w:type="dxa"/>
              <w:start w:w="80" w:type="dxa"/>
              <w:bottom w:w="60" w:type="dxa"/>
              <w:end w:w="80" w:type="dxa"/>
            </w:tcMar>
            <w:vAlign w:val="center"/>
          </w:tcPr>
          <w:p>
            <w:r>
              <w:rPr>
                <w:sz w:val="16"/>
              </w:rPr>
              <w:t>1.000</w:t>
            </w:r>
          </w:p>
        </w:tc>
      </w:tr>
      <w:tr>
        <w:tc>
          <w:tcPr>
            <w:tcW w:type="dxa" w:w="4608"/>
            <w:tcMar>
              <w:top w:w="60" w:type="dxa"/>
              <w:start w:w="80" w:type="dxa"/>
              <w:bottom w:w="60" w:type="dxa"/>
              <w:end w:w="80" w:type="dxa"/>
            </w:tcMar>
            <w:vAlign w:val="center"/>
            <w:shd w:fill="F3F6FA"/>
          </w:tcPr>
          <w:p>
            <w:r>
              <w:rPr>
                <w:sz w:val="16"/>
              </w:rPr>
              <w:t>country_explicit_town_inferred</w:t>
            </w:r>
          </w:p>
        </w:tc>
        <w:tc>
          <w:tcPr>
            <w:tcW w:type="dxa" w:w="1584"/>
            <w:tcMar>
              <w:top w:w="60" w:type="dxa"/>
              <w:start w:w="80" w:type="dxa"/>
              <w:bottom w:w="60" w:type="dxa"/>
              <w:end w:w="80" w:type="dxa"/>
            </w:tcMar>
            <w:vAlign w:val="center"/>
            <w:shd w:fill="F3F6FA"/>
          </w:tcPr>
          <w:p>
            <w:r>
              <w:rPr>
                <w:sz w:val="16"/>
              </w:rPr>
              <w:t>0.50</w:t>
            </w:r>
          </w:p>
        </w:tc>
        <w:tc>
          <w:tcPr>
            <w:tcW w:type="dxa" w:w="1728"/>
            <w:tcMar>
              <w:top w:w="60" w:type="dxa"/>
              <w:start w:w="80" w:type="dxa"/>
              <w:bottom w:w="60" w:type="dxa"/>
              <w:end w:w="80" w:type="dxa"/>
            </w:tcMar>
            <w:vAlign w:val="center"/>
            <w:shd w:fill="F3F6FA"/>
          </w:tcPr>
          <w:p>
            <w:r>
              <w:rPr>
                <w:sz w:val="16"/>
              </w:rPr>
              <w:t>1.00</w:t>
            </w:r>
          </w:p>
        </w:tc>
        <w:tc>
          <w:tcPr>
            <w:tcW w:type="dxa" w:w="2304"/>
            <w:tcMar>
              <w:top w:w="60" w:type="dxa"/>
              <w:start w:w="80" w:type="dxa"/>
              <w:bottom w:w="60" w:type="dxa"/>
              <w:end w:w="80" w:type="dxa"/>
            </w:tcMar>
            <w:vAlign w:val="center"/>
            <w:shd w:fill="F3F6FA"/>
          </w:tcPr>
          <w:p>
            <w:r>
              <w:rPr>
                <w:sz w:val="16"/>
              </w:rPr>
              <w:t>0.500</w:t>
            </w:r>
          </w:p>
        </w:tc>
      </w:tr>
      <w:tr>
        <w:tc>
          <w:tcPr>
            <w:tcW w:type="dxa" w:w="4608"/>
            <w:tcMar>
              <w:top w:w="60" w:type="dxa"/>
              <w:start w:w="80" w:type="dxa"/>
              <w:bottom w:w="60" w:type="dxa"/>
              <w:end w:w="80" w:type="dxa"/>
            </w:tcMar>
            <w:vAlign w:val="center"/>
          </w:tcPr>
          <w:p>
            <w:r>
              <w:rPr>
                <w:sz w:val="16"/>
              </w:rPr>
              <w:t>town_explicit_country_inferred</w:t>
            </w:r>
          </w:p>
        </w:tc>
        <w:tc>
          <w:tcPr>
            <w:tcW w:type="dxa" w:w="1584"/>
            <w:tcMar>
              <w:top w:w="60" w:type="dxa"/>
              <w:start w:w="80" w:type="dxa"/>
              <w:bottom w:w="60" w:type="dxa"/>
              <w:end w:w="80" w:type="dxa"/>
            </w:tcMar>
            <w:vAlign w:val="center"/>
          </w:tcPr>
          <w:p>
            <w:r>
              <w:rPr>
                <w:sz w:val="16"/>
              </w:rPr>
              <w:t>0.75</w:t>
            </w:r>
          </w:p>
        </w:tc>
        <w:tc>
          <w:tcPr>
            <w:tcW w:type="dxa" w:w="1728"/>
            <w:tcMar>
              <w:top w:w="60" w:type="dxa"/>
              <w:start w:w="80" w:type="dxa"/>
              <w:bottom w:w="60" w:type="dxa"/>
              <w:end w:w="80" w:type="dxa"/>
            </w:tcMar>
            <w:vAlign w:val="center"/>
          </w:tcPr>
          <w:p>
            <w:r>
              <w:rPr>
                <w:sz w:val="16"/>
              </w:rPr>
              <w:t>0.50</w:t>
            </w:r>
          </w:p>
        </w:tc>
        <w:tc>
          <w:tcPr>
            <w:tcW w:type="dxa" w:w="2304"/>
            <w:tcMar>
              <w:top w:w="60" w:type="dxa"/>
              <w:start w:w="80" w:type="dxa"/>
              <w:bottom w:w="60" w:type="dxa"/>
              <w:end w:w="80" w:type="dxa"/>
            </w:tcMar>
            <w:vAlign w:val="center"/>
          </w:tcPr>
          <w:p>
            <w:r>
              <w:rPr>
                <w:sz w:val="16"/>
              </w:rPr>
              <w:t>0.375</w:t>
            </w:r>
          </w:p>
        </w:tc>
      </w:tr>
      <w:tr>
        <w:tc>
          <w:tcPr>
            <w:tcW w:type="dxa" w:w="4608"/>
            <w:tcMar>
              <w:top w:w="60" w:type="dxa"/>
              <w:start w:w="80" w:type="dxa"/>
              <w:bottom w:w="60" w:type="dxa"/>
              <w:end w:w="80" w:type="dxa"/>
            </w:tcMar>
            <w:vAlign w:val="center"/>
            <w:shd w:fill="F3F6FA"/>
          </w:tcPr>
          <w:p>
            <w:r>
              <w:rPr>
                <w:sz w:val="16"/>
              </w:rPr>
              <w:t>town_explicit_country_ambiguous</w:t>
            </w:r>
          </w:p>
        </w:tc>
        <w:tc>
          <w:tcPr>
            <w:tcW w:type="dxa" w:w="1584"/>
            <w:tcMar>
              <w:top w:w="60" w:type="dxa"/>
              <w:start w:w="80" w:type="dxa"/>
              <w:bottom w:w="60" w:type="dxa"/>
              <w:end w:w="80" w:type="dxa"/>
            </w:tcMar>
            <w:vAlign w:val="center"/>
            <w:shd w:fill="F3F6FA"/>
          </w:tcPr>
          <w:p>
            <w:r>
              <w:rPr>
                <w:sz w:val="16"/>
              </w:rPr>
              <w:t>0.50</w:t>
            </w:r>
          </w:p>
        </w:tc>
        <w:tc>
          <w:tcPr>
            <w:tcW w:type="dxa" w:w="1728"/>
            <w:tcMar>
              <w:top w:w="60" w:type="dxa"/>
              <w:start w:w="80" w:type="dxa"/>
              <w:bottom w:w="60" w:type="dxa"/>
              <w:end w:w="80" w:type="dxa"/>
            </w:tcMar>
            <w:vAlign w:val="center"/>
            <w:shd w:fill="F3F6FA"/>
          </w:tcPr>
          <w:p>
            <w:r>
              <w:rPr>
                <w:sz w:val="16"/>
              </w:rPr>
              <w:t>0.00</w:t>
            </w:r>
          </w:p>
        </w:tc>
        <w:tc>
          <w:tcPr>
            <w:tcW w:type="dxa" w:w="2304"/>
            <w:tcMar>
              <w:top w:w="60" w:type="dxa"/>
              <w:start w:w="80" w:type="dxa"/>
              <w:bottom w:w="60" w:type="dxa"/>
              <w:end w:w="80" w:type="dxa"/>
            </w:tcMar>
            <w:vAlign w:val="center"/>
            <w:shd w:fill="F3F6FA"/>
          </w:tcPr>
          <w:p>
            <w:r>
              <w:rPr>
                <w:sz w:val="16"/>
              </w:rPr>
              <w:t>0.000</w:t>
            </w:r>
          </w:p>
        </w:tc>
      </w:tr>
      <w:tr>
        <w:tc>
          <w:tcPr>
            <w:tcW w:type="dxa" w:w="4608"/>
            <w:tcMar>
              <w:top w:w="60" w:type="dxa"/>
              <w:start w:w="80" w:type="dxa"/>
              <w:bottom w:w="60" w:type="dxa"/>
              <w:end w:w="80" w:type="dxa"/>
            </w:tcMar>
            <w:vAlign w:val="center"/>
          </w:tcPr>
          <w:p>
            <w:r>
              <w:rPr>
                <w:sz w:val="16"/>
              </w:rPr>
              <w:t>neither_explicit_both_inferred</w:t>
            </w:r>
          </w:p>
        </w:tc>
        <w:tc>
          <w:tcPr>
            <w:tcW w:type="dxa" w:w="1584"/>
            <w:tcMar>
              <w:top w:w="60" w:type="dxa"/>
              <w:start w:w="80" w:type="dxa"/>
              <w:bottom w:w="60" w:type="dxa"/>
              <w:end w:w="80" w:type="dxa"/>
            </w:tcMar>
            <w:vAlign w:val="center"/>
          </w:tcPr>
          <w:p>
            <w:r>
              <w:rPr>
                <w:sz w:val="16"/>
              </w:rPr>
              <w:t>0.20</w:t>
            </w:r>
          </w:p>
        </w:tc>
        <w:tc>
          <w:tcPr>
            <w:tcW w:type="dxa" w:w="1728"/>
            <w:tcMar>
              <w:top w:w="60" w:type="dxa"/>
              <w:start w:w="80" w:type="dxa"/>
              <w:bottom w:w="60" w:type="dxa"/>
              <w:end w:w="80" w:type="dxa"/>
            </w:tcMar>
            <w:vAlign w:val="center"/>
          </w:tcPr>
          <w:p>
            <w:r>
              <w:rPr>
                <w:sz w:val="16"/>
              </w:rPr>
              <w:t>0.20</w:t>
            </w:r>
          </w:p>
        </w:tc>
        <w:tc>
          <w:tcPr>
            <w:tcW w:type="dxa" w:w="2304"/>
            <w:tcMar>
              <w:top w:w="60" w:type="dxa"/>
              <w:start w:w="80" w:type="dxa"/>
              <w:bottom w:w="60" w:type="dxa"/>
              <w:end w:w="80" w:type="dxa"/>
            </w:tcMar>
            <w:vAlign w:val="center"/>
          </w:tcPr>
          <w:p>
            <w:r>
              <w:rPr>
                <w:sz w:val="16"/>
              </w:rPr>
              <w:t>0.040</w:t>
            </w:r>
          </w:p>
        </w:tc>
      </w:tr>
      <w:tr>
        <w:tc>
          <w:tcPr>
            <w:tcW w:type="dxa" w:w="4608"/>
            <w:tcMar>
              <w:top w:w="60" w:type="dxa"/>
              <w:start w:w="80" w:type="dxa"/>
              <w:bottom w:w="60" w:type="dxa"/>
              <w:end w:w="80" w:type="dxa"/>
            </w:tcMar>
            <w:vAlign w:val="center"/>
            <w:shd w:fill="F3F6FA"/>
          </w:tcPr>
          <w:p>
            <w:r>
              <w:rPr>
                <w:sz w:val="16"/>
              </w:rPr>
              <w:t>no_defensible_prediction</w:t>
            </w:r>
          </w:p>
        </w:tc>
        <w:tc>
          <w:tcPr>
            <w:tcW w:type="dxa" w:w="1584"/>
            <w:tcMar>
              <w:top w:w="60" w:type="dxa"/>
              <w:start w:w="80" w:type="dxa"/>
              <w:bottom w:w="60" w:type="dxa"/>
              <w:end w:w="80" w:type="dxa"/>
            </w:tcMar>
            <w:vAlign w:val="center"/>
            <w:shd w:fill="F3F6FA"/>
          </w:tcPr>
          <w:p>
            <w:r>
              <w:rPr>
                <w:sz w:val="16"/>
              </w:rPr>
              <w:t>0.00</w:t>
            </w:r>
          </w:p>
        </w:tc>
        <w:tc>
          <w:tcPr>
            <w:tcW w:type="dxa" w:w="1728"/>
            <w:tcMar>
              <w:top w:w="60" w:type="dxa"/>
              <w:start w:w="80" w:type="dxa"/>
              <w:bottom w:w="60" w:type="dxa"/>
              <w:end w:w="80" w:type="dxa"/>
            </w:tcMar>
            <w:vAlign w:val="center"/>
            <w:shd w:fill="F3F6FA"/>
          </w:tcPr>
          <w:p>
            <w:r>
              <w:rPr>
                <w:sz w:val="16"/>
              </w:rPr>
              <w:t>0.00</w:t>
            </w:r>
          </w:p>
        </w:tc>
        <w:tc>
          <w:tcPr>
            <w:tcW w:type="dxa" w:w="2304"/>
            <w:tcMar>
              <w:top w:w="60" w:type="dxa"/>
              <w:start w:w="80" w:type="dxa"/>
              <w:bottom w:w="60" w:type="dxa"/>
              <w:end w:w="80" w:type="dxa"/>
            </w:tcMar>
            <w:vAlign w:val="center"/>
            <w:shd w:fill="F3F6FA"/>
          </w:tcPr>
          <w:p>
            <w:r>
              <w:rPr>
                <w:sz w:val="16"/>
              </w:rPr>
              <w:t>0.000</w:t>
            </w:r>
          </w:p>
        </w:tc>
      </w:tr>
      <w:tr>
        <w:tc>
          <w:tcPr>
            <w:tcW w:type="dxa" w:w="4608"/>
            <w:tcMar>
              <w:top w:w="60" w:type="dxa"/>
              <w:start w:w="80" w:type="dxa"/>
              <w:bottom w:w="60" w:type="dxa"/>
              <w:end w:w="80" w:type="dxa"/>
            </w:tcMar>
            <w:vAlign w:val="center"/>
          </w:tcPr>
          <w:p>
            <w:r>
              <w:rPr>
                <w:sz w:val="16"/>
              </w:rPr>
              <w:t>town_inferred_country_ambiguous</w:t>
            </w:r>
          </w:p>
        </w:tc>
        <w:tc>
          <w:tcPr>
            <w:tcW w:type="dxa" w:w="1584"/>
            <w:tcMar>
              <w:top w:w="60" w:type="dxa"/>
              <w:start w:w="80" w:type="dxa"/>
              <w:bottom w:w="60" w:type="dxa"/>
              <w:end w:w="80" w:type="dxa"/>
            </w:tcMar>
            <w:vAlign w:val="center"/>
          </w:tcPr>
          <w:p>
            <w:r>
              <w:rPr>
                <w:sz w:val="16"/>
              </w:rPr>
              <w:t>0.20</w:t>
            </w:r>
          </w:p>
        </w:tc>
        <w:tc>
          <w:tcPr>
            <w:tcW w:type="dxa" w:w="1728"/>
            <w:tcMar>
              <w:top w:w="60" w:type="dxa"/>
              <w:start w:w="80" w:type="dxa"/>
              <w:bottom w:w="60" w:type="dxa"/>
              <w:end w:w="80" w:type="dxa"/>
            </w:tcMar>
            <w:vAlign w:val="center"/>
          </w:tcPr>
          <w:p>
            <w:r>
              <w:rPr>
                <w:sz w:val="16"/>
              </w:rPr>
              <w:t>0.00</w:t>
            </w:r>
          </w:p>
        </w:tc>
        <w:tc>
          <w:tcPr>
            <w:tcW w:type="dxa" w:w="2304"/>
            <w:tcMar>
              <w:top w:w="60" w:type="dxa"/>
              <w:start w:w="80" w:type="dxa"/>
              <w:bottom w:w="60" w:type="dxa"/>
              <w:end w:w="80" w:type="dxa"/>
            </w:tcMar>
            <w:vAlign w:val="center"/>
          </w:tcPr>
          <w:p>
            <w:r>
              <w:rPr>
                <w:sz w:val="16"/>
              </w:rPr>
              <w:t>0.000</w:t>
            </w:r>
          </w:p>
        </w:tc>
      </w:tr>
    </w:tbl>
    <w:p>
      <w:pPr>
        <w:pStyle w:val="Heading2"/>
      </w:pPr>
      <w:r>
        <w:t>7.1 Formula</w:t>
      </w:r>
    </w:p>
    <w:tbl>
      <w:tblPr>
        <w:tblW w:type="auto" w:w="0"/>
        <w:jc w:val="center"/>
        <w:tblLook w:firstColumn="1" w:firstRow="1" w:lastColumn="0" w:lastRow="0" w:noHBand="0" w:noVBand="1" w:val="04A0"/>
      </w:tblPr>
      <w:tblGrid>
        <w:gridCol w:w="10224"/>
      </w:tblGrid>
      <w:tr>
        <w:tc>
          <w:tcPr>
            <w:tcW w:type="dxa" w:w="10224"/>
            <w:shd w:fill="F7F7F7"/>
          </w:tcPr>
          <w:p>
            <w:pPr>
              <w:jc w:val="center"/>
            </w:pPr>
            <w:r>
              <w:rPr>
                <w:rFonts w:ascii="Consolas" w:hAnsi="Consolas"/>
                <w:sz w:val="18"/>
              </w:rPr>
              <w:t>AdjustedTown = TownProbability x TownWeight</w:t>
            </w:r>
          </w:p>
          <w:p>
            <w:pPr>
              <w:jc w:val="center"/>
            </w:pPr>
            <w:r>
              <w:rPr>
                <w:rFonts w:ascii="Consolas" w:hAnsi="Consolas"/>
                <w:sz w:val="18"/>
              </w:rPr>
              <w:t>AdjustedCountry = CountryProbability x CountryWeight</w:t>
            </w:r>
          </w:p>
          <w:p>
            <w:pPr>
              <w:jc w:val="center"/>
            </w:pPr>
            <w:r>
              <w:rPr>
                <w:rFonts w:ascii="Consolas" w:hAnsi="Consolas"/>
                <w:sz w:val="18"/>
              </w:rPr>
              <w:t>CompositeWeightedScore = AdjustedTown x AdjustedCountry</w:t>
            </w:r>
          </w:p>
        </w:tc>
      </w:tr>
    </w:tbl>
    <w:p>
      <w:r>
        <w:t>The Composite Weighted Score is a policy-driven operational score. It is not asserted to be a calibrated joint probability. The scenario and weights are chosen deterministically from verified evidence/ambiguity; Gemini does not calculate or choose the final score.</w:t>
      </w:r>
    </w:p>
    <w:p>
      <w:pPr>
        <w:pStyle w:val="Heading2"/>
      </w:pPr>
      <w:r>
        <w:t>7.2 Worked Examples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2592"/>
            <w:tcMar>
              <w:top w:w="60" w:type="dxa"/>
              <w:start w:w="80" w:type="dxa"/>
              <w:bottom w:w="60" w:type="dxa"/>
              <w:end w:w="80" w:type="dxa"/>
            </w:tcMar>
            <w:vAlign w:val="center"/>
            <w:shd w:fill="17365D"/>
          </w:tcPr>
          <w:p>
            <w:r>
              <w:rPr>
                <w:b/>
                <w:color w:val="FFFFFF"/>
                <w:sz w:val="15"/>
              </w:rPr>
              <w:t>Case</w:t>
            </w:r>
          </w:p>
        </w:tc>
        <w:tc>
          <w:tcPr>
            <w:tcW w:type="dxa" w:w="936"/>
            <w:tcMar>
              <w:top w:w="60" w:type="dxa"/>
              <w:start w:w="80" w:type="dxa"/>
              <w:bottom w:w="60" w:type="dxa"/>
              <w:end w:w="80" w:type="dxa"/>
            </w:tcMar>
            <w:vAlign w:val="center"/>
            <w:shd w:fill="17365D"/>
          </w:tcPr>
          <w:p>
            <w:r>
              <w:rPr>
                <w:b/>
                <w:color w:val="FFFFFF"/>
                <w:sz w:val="15"/>
              </w:rPr>
              <w:t>Town p</w:t>
            </w:r>
          </w:p>
        </w:tc>
        <w:tc>
          <w:tcPr>
            <w:tcW w:type="dxa" w:w="1080"/>
            <w:tcMar>
              <w:top w:w="60" w:type="dxa"/>
              <w:start w:w="80" w:type="dxa"/>
              <w:bottom w:w="60" w:type="dxa"/>
              <w:end w:w="80" w:type="dxa"/>
            </w:tcMar>
            <w:vAlign w:val="center"/>
            <w:shd w:fill="17365D"/>
          </w:tcPr>
          <w:p>
            <w:r>
              <w:rPr>
                <w:b/>
                <w:color w:val="FFFFFF"/>
                <w:sz w:val="15"/>
              </w:rPr>
              <w:t>Country p</w:t>
            </w:r>
          </w:p>
        </w:tc>
        <w:tc>
          <w:tcPr>
            <w:tcW w:type="dxa" w:w="936"/>
            <w:tcMar>
              <w:top w:w="60" w:type="dxa"/>
              <w:start w:w="80" w:type="dxa"/>
              <w:bottom w:w="60" w:type="dxa"/>
              <w:end w:w="80" w:type="dxa"/>
            </w:tcMar>
            <w:vAlign w:val="center"/>
            <w:shd w:fill="17365D"/>
          </w:tcPr>
          <w:p>
            <w:r>
              <w:rPr>
                <w:b/>
                <w:color w:val="FFFFFF"/>
                <w:sz w:val="15"/>
              </w:rPr>
              <w:t>Town w</w:t>
            </w:r>
          </w:p>
        </w:tc>
        <w:tc>
          <w:tcPr>
            <w:tcW w:type="dxa" w:w="1080"/>
            <w:tcMar>
              <w:top w:w="60" w:type="dxa"/>
              <w:start w:w="80" w:type="dxa"/>
              <w:bottom w:w="60" w:type="dxa"/>
              <w:end w:w="80" w:type="dxa"/>
            </w:tcMar>
            <w:vAlign w:val="center"/>
            <w:shd w:fill="17365D"/>
          </w:tcPr>
          <w:p>
            <w:r>
              <w:rPr>
                <w:b/>
                <w:color w:val="FFFFFF"/>
                <w:sz w:val="15"/>
              </w:rPr>
              <w:t>Country w</w:t>
            </w:r>
          </w:p>
        </w:tc>
        <w:tc>
          <w:tcPr>
            <w:tcW w:type="dxa" w:w="1080"/>
            <w:tcMar>
              <w:top w:w="60" w:type="dxa"/>
              <w:start w:w="80" w:type="dxa"/>
              <w:bottom w:w="60" w:type="dxa"/>
              <w:end w:w="80" w:type="dxa"/>
            </w:tcMar>
            <w:vAlign w:val="center"/>
            <w:shd w:fill="17365D"/>
          </w:tcPr>
          <w:p>
            <w:r>
              <w:rPr>
                <w:b/>
                <w:color w:val="FFFFFF"/>
                <w:sz w:val="15"/>
              </w:rPr>
              <w:t>Composite</w:t>
            </w:r>
          </w:p>
        </w:tc>
        <w:tc>
          <w:tcPr>
            <w:tcW w:type="dxa" w:w="3024"/>
            <w:tcMar>
              <w:top w:w="60" w:type="dxa"/>
              <w:start w:w="80" w:type="dxa"/>
              <w:bottom w:w="60" w:type="dxa"/>
              <w:end w:w="80" w:type="dxa"/>
            </w:tcMar>
            <w:vAlign w:val="center"/>
            <w:shd w:fill="17365D"/>
          </w:tcPr>
          <w:p>
            <w:r>
              <w:rPr>
                <w:b/>
                <w:color w:val="FFFFFF"/>
                <w:sz w:val="15"/>
              </w:rPr>
              <w:t>Business Interpretation</w:t>
            </w:r>
          </w:p>
        </w:tc>
      </w:tr>
      <w:tr>
        <w:tc>
          <w:tcPr>
            <w:tcW w:type="dxa" w:w="2592"/>
            <w:tcMar>
              <w:top w:w="60" w:type="dxa"/>
              <w:start w:w="80" w:type="dxa"/>
              <w:bottom w:w="60" w:type="dxa"/>
              <w:end w:w="80" w:type="dxa"/>
            </w:tcMar>
            <w:vAlign w:val="center"/>
          </w:tcPr>
          <w:p>
            <w:r>
              <w:rPr>
                <w:sz w:val="15"/>
              </w:rPr>
              <w:t>Both explicit</w:t>
            </w:r>
          </w:p>
        </w:tc>
        <w:tc>
          <w:tcPr>
            <w:tcW w:type="dxa" w:w="936"/>
            <w:tcMar>
              <w:top w:w="60" w:type="dxa"/>
              <w:start w:w="80" w:type="dxa"/>
              <w:bottom w:w="60" w:type="dxa"/>
              <w:end w:w="80" w:type="dxa"/>
            </w:tcMar>
            <w:vAlign w:val="center"/>
          </w:tcPr>
          <w:p>
            <w:r>
              <w:rPr>
                <w:sz w:val="15"/>
              </w:rPr>
              <w:t>0.99</w:t>
            </w:r>
          </w:p>
        </w:tc>
        <w:tc>
          <w:tcPr>
            <w:tcW w:type="dxa" w:w="1080"/>
            <w:tcMar>
              <w:top w:w="60" w:type="dxa"/>
              <w:start w:w="80" w:type="dxa"/>
              <w:bottom w:w="60" w:type="dxa"/>
              <w:end w:w="80" w:type="dxa"/>
            </w:tcMar>
            <w:vAlign w:val="center"/>
          </w:tcPr>
          <w:p>
            <w:r>
              <w:rPr>
                <w:sz w:val="15"/>
              </w:rPr>
              <w:t>0.98</w:t>
            </w:r>
          </w:p>
        </w:tc>
        <w:tc>
          <w:tcPr>
            <w:tcW w:type="dxa" w:w="936"/>
            <w:tcMar>
              <w:top w:w="60" w:type="dxa"/>
              <w:start w:w="80" w:type="dxa"/>
              <w:bottom w:w="60" w:type="dxa"/>
              <w:end w:w="80" w:type="dxa"/>
            </w:tcMar>
            <w:vAlign w:val="center"/>
          </w:tcPr>
          <w:p>
            <w:r>
              <w:rPr>
                <w:sz w:val="15"/>
              </w:rPr>
              <w:t>1.00</w:t>
            </w:r>
          </w:p>
        </w:tc>
        <w:tc>
          <w:tcPr>
            <w:tcW w:type="dxa" w:w="1080"/>
            <w:tcMar>
              <w:top w:w="60" w:type="dxa"/>
              <w:start w:w="80" w:type="dxa"/>
              <w:bottom w:w="60" w:type="dxa"/>
              <w:end w:w="80" w:type="dxa"/>
            </w:tcMar>
            <w:vAlign w:val="center"/>
          </w:tcPr>
          <w:p>
            <w:r>
              <w:rPr>
                <w:sz w:val="15"/>
              </w:rPr>
              <w:t>1.00</w:t>
            </w:r>
          </w:p>
        </w:tc>
        <w:tc>
          <w:tcPr>
            <w:tcW w:type="dxa" w:w="1080"/>
            <w:tcMar>
              <w:top w:w="60" w:type="dxa"/>
              <w:start w:w="80" w:type="dxa"/>
              <w:bottom w:w="60" w:type="dxa"/>
              <w:end w:w="80" w:type="dxa"/>
            </w:tcMar>
            <w:vAlign w:val="center"/>
          </w:tcPr>
          <w:p>
            <w:r>
              <w:rPr>
                <w:sz w:val="15"/>
              </w:rPr>
              <w:t>0.9702</w:t>
            </w:r>
          </w:p>
        </w:tc>
        <w:tc>
          <w:tcPr>
            <w:tcW w:type="dxa" w:w="3024"/>
            <w:tcMar>
              <w:top w:w="60" w:type="dxa"/>
              <w:start w:w="80" w:type="dxa"/>
              <w:bottom w:w="60" w:type="dxa"/>
              <w:end w:w="80" w:type="dxa"/>
            </w:tcMar>
            <w:vAlign w:val="center"/>
          </w:tcPr>
          <w:p>
            <w:r>
              <w:rPr>
                <w:sz w:val="15"/>
              </w:rPr>
              <w:t>Strong auto-accept candidate, subject to threshold and forced-review controls.</w:t>
            </w:r>
          </w:p>
        </w:tc>
      </w:tr>
      <w:tr>
        <w:tc>
          <w:tcPr>
            <w:tcW w:type="dxa" w:w="2592"/>
            <w:tcMar>
              <w:top w:w="60" w:type="dxa"/>
              <w:start w:w="80" w:type="dxa"/>
              <w:bottom w:w="60" w:type="dxa"/>
              <w:end w:w="80" w:type="dxa"/>
            </w:tcMar>
            <w:vAlign w:val="center"/>
            <w:shd w:fill="F3F6FA"/>
          </w:tcPr>
          <w:p>
            <w:r>
              <w:rPr>
                <w:sz w:val="15"/>
              </w:rPr>
              <w:t>Country explicit / Town inferred</w:t>
            </w:r>
          </w:p>
        </w:tc>
        <w:tc>
          <w:tcPr>
            <w:tcW w:type="dxa" w:w="936"/>
            <w:tcMar>
              <w:top w:w="60" w:type="dxa"/>
              <w:start w:w="80" w:type="dxa"/>
              <w:bottom w:w="60" w:type="dxa"/>
              <w:end w:w="80" w:type="dxa"/>
            </w:tcMar>
            <w:vAlign w:val="center"/>
            <w:shd w:fill="F3F6FA"/>
          </w:tcPr>
          <w:p>
            <w:r>
              <w:rPr>
                <w:sz w:val="15"/>
              </w:rPr>
              <w:t>0.92</w:t>
            </w:r>
          </w:p>
        </w:tc>
        <w:tc>
          <w:tcPr>
            <w:tcW w:type="dxa" w:w="1080"/>
            <w:tcMar>
              <w:top w:w="60" w:type="dxa"/>
              <w:start w:w="80" w:type="dxa"/>
              <w:bottom w:w="60" w:type="dxa"/>
              <w:end w:w="80" w:type="dxa"/>
            </w:tcMar>
            <w:vAlign w:val="center"/>
            <w:shd w:fill="F3F6FA"/>
          </w:tcPr>
          <w:p>
            <w:r>
              <w:rPr>
                <w:sz w:val="15"/>
              </w:rPr>
              <w:t>0.99</w:t>
            </w:r>
          </w:p>
        </w:tc>
        <w:tc>
          <w:tcPr>
            <w:tcW w:type="dxa" w:w="936"/>
            <w:tcMar>
              <w:top w:w="60" w:type="dxa"/>
              <w:start w:w="80" w:type="dxa"/>
              <w:bottom w:w="60" w:type="dxa"/>
              <w:end w:w="80" w:type="dxa"/>
            </w:tcMar>
            <w:vAlign w:val="center"/>
            <w:shd w:fill="F3F6FA"/>
          </w:tcPr>
          <w:p>
            <w:r>
              <w:rPr>
                <w:sz w:val="15"/>
              </w:rPr>
              <w:t>0.50</w:t>
            </w:r>
          </w:p>
        </w:tc>
        <w:tc>
          <w:tcPr>
            <w:tcW w:type="dxa" w:w="1080"/>
            <w:tcMar>
              <w:top w:w="60" w:type="dxa"/>
              <w:start w:w="80" w:type="dxa"/>
              <w:bottom w:w="60" w:type="dxa"/>
              <w:end w:w="80" w:type="dxa"/>
            </w:tcMar>
            <w:vAlign w:val="center"/>
            <w:shd w:fill="F3F6FA"/>
          </w:tcPr>
          <w:p>
            <w:r>
              <w:rPr>
                <w:sz w:val="15"/>
              </w:rPr>
              <w:t>1.00</w:t>
            </w:r>
          </w:p>
        </w:tc>
        <w:tc>
          <w:tcPr>
            <w:tcW w:type="dxa" w:w="1080"/>
            <w:tcMar>
              <w:top w:w="60" w:type="dxa"/>
              <w:start w:w="80" w:type="dxa"/>
              <w:bottom w:w="60" w:type="dxa"/>
              <w:end w:w="80" w:type="dxa"/>
            </w:tcMar>
            <w:vAlign w:val="center"/>
            <w:shd w:fill="F3F6FA"/>
          </w:tcPr>
          <w:p>
            <w:r>
              <w:rPr>
                <w:sz w:val="15"/>
              </w:rPr>
              <w:t>0.4554</w:t>
            </w:r>
          </w:p>
        </w:tc>
        <w:tc>
          <w:tcPr>
            <w:tcW w:type="dxa" w:w="3024"/>
            <w:tcMar>
              <w:top w:w="60" w:type="dxa"/>
              <w:start w:w="80" w:type="dxa"/>
              <w:bottom w:w="60" w:type="dxa"/>
              <w:end w:w="80" w:type="dxa"/>
            </w:tcMar>
            <w:vAlign w:val="center"/>
            <w:shd w:fill="F3F6FA"/>
          </w:tcPr>
          <w:p>
            <w:r>
              <w:rPr>
                <w:sz w:val="15"/>
              </w:rPr>
              <w:t>High raw confidence is deliberately discounted because Town required inference.</w:t>
            </w:r>
          </w:p>
        </w:tc>
      </w:tr>
      <w:tr>
        <w:tc>
          <w:tcPr>
            <w:tcW w:type="dxa" w:w="2592"/>
            <w:tcMar>
              <w:top w:w="60" w:type="dxa"/>
              <w:start w:w="80" w:type="dxa"/>
              <w:bottom w:w="60" w:type="dxa"/>
              <w:end w:w="80" w:type="dxa"/>
            </w:tcMar>
            <w:vAlign w:val="center"/>
          </w:tcPr>
          <w:p>
            <w:r>
              <w:rPr>
                <w:sz w:val="15"/>
              </w:rPr>
              <w:t>Town explicit / Country inferred</w:t>
            </w:r>
          </w:p>
        </w:tc>
        <w:tc>
          <w:tcPr>
            <w:tcW w:type="dxa" w:w="936"/>
            <w:tcMar>
              <w:top w:w="60" w:type="dxa"/>
              <w:start w:w="80" w:type="dxa"/>
              <w:bottom w:w="60" w:type="dxa"/>
              <w:end w:w="80" w:type="dxa"/>
            </w:tcMar>
            <w:vAlign w:val="center"/>
          </w:tcPr>
          <w:p>
            <w:r>
              <w:rPr>
                <w:sz w:val="15"/>
              </w:rPr>
              <w:t>0.98</w:t>
            </w:r>
          </w:p>
        </w:tc>
        <w:tc>
          <w:tcPr>
            <w:tcW w:type="dxa" w:w="1080"/>
            <w:tcMar>
              <w:top w:w="60" w:type="dxa"/>
              <w:start w:w="80" w:type="dxa"/>
              <w:bottom w:w="60" w:type="dxa"/>
              <w:end w:w="80" w:type="dxa"/>
            </w:tcMar>
            <w:vAlign w:val="center"/>
          </w:tcPr>
          <w:p>
            <w:r>
              <w:rPr>
                <w:sz w:val="15"/>
              </w:rPr>
              <w:t>0.95</w:t>
            </w:r>
          </w:p>
        </w:tc>
        <w:tc>
          <w:tcPr>
            <w:tcW w:type="dxa" w:w="936"/>
            <w:tcMar>
              <w:top w:w="60" w:type="dxa"/>
              <w:start w:w="80" w:type="dxa"/>
              <w:bottom w:w="60" w:type="dxa"/>
              <w:end w:w="80" w:type="dxa"/>
            </w:tcMar>
            <w:vAlign w:val="center"/>
          </w:tcPr>
          <w:p>
            <w:r>
              <w:rPr>
                <w:sz w:val="15"/>
              </w:rPr>
              <w:t>0.75</w:t>
            </w:r>
          </w:p>
        </w:tc>
        <w:tc>
          <w:tcPr>
            <w:tcW w:type="dxa" w:w="1080"/>
            <w:tcMar>
              <w:top w:w="60" w:type="dxa"/>
              <w:start w:w="80" w:type="dxa"/>
              <w:bottom w:w="60" w:type="dxa"/>
              <w:end w:w="80" w:type="dxa"/>
            </w:tcMar>
            <w:vAlign w:val="center"/>
          </w:tcPr>
          <w:p>
            <w:r>
              <w:rPr>
                <w:sz w:val="15"/>
              </w:rPr>
              <w:t>0.50</w:t>
            </w:r>
          </w:p>
        </w:tc>
        <w:tc>
          <w:tcPr>
            <w:tcW w:type="dxa" w:w="1080"/>
            <w:tcMar>
              <w:top w:w="60" w:type="dxa"/>
              <w:start w:w="80" w:type="dxa"/>
              <w:bottom w:w="60" w:type="dxa"/>
              <w:end w:w="80" w:type="dxa"/>
            </w:tcMar>
            <w:vAlign w:val="center"/>
          </w:tcPr>
          <w:p>
            <w:r>
              <w:rPr>
                <w:sz w:val="15"/>
              </w:rPr>
              <w:t>0.349125</w:t>
            </w:r>
          </w:p>
        </w:tc>
        <w:tc>
          <w:tcPr>
            <w:tcW w:type="dxa" w:w="3024"/>
            <w:tcMar>
              <w:top w:w="60" w:type="dxa"/>
              <w:start w:w="80" w:type="dxa"/>
              <w:bottom w:w="60" w:type="dxa"/>
              <w:end w:w="80" w:type="dxa"/>
            </w:tcMar>
            <w:vAlign w:val="center"/>
          </w:tcPr>
          <w:p>
            <w:r>
              <w:rPr>
                <w:sz w:val="15"/>
              </w:rPr>
              <w:t>Country inference materially lowers operational score.</w:t>
            </w:r>
          </w:p>
        </w:tc>
      </w:tr>
      <w:tr>
        <w:tc>
          <w:tcPr>
            <w:tcW w:type="dxa" w:w="2592"/>
            <w:tcMar>
              <w:top w:w="60" w:type="dxa"/>
              <w:start w:w="80" w:type="dxa"/>
              <w:bottom w:w="60" w:type="dxa"/>
              <w:end w:w="80" w:type="dxa"/>
            </w:tcMar>
            <w:vAlign w:val="center"/>
            <w:shd w:fill="F3F6FA"/>
          </w:tcPr>
          <w:p>
            <w:r>
              <w:rPr>
                <w:sz w:val="15"/>
              </w:rPr>
              <w:t>Country ambiguous</w:t>
            </w:r>
          </w:p>
        </w:tc>
        <w:tc>
          <w:tcPr>
            <w:tcW w:type="dxa" w:w="936"/>
            <w:tcMar>
              <w:top w:w="60" w:type="dxa"/>
              <w:start w:w="80" w:type="dxa"/>
              <w:bottom w:w="60" w:type="dxa"/>
              <w:end w:w="80" w:type="dxa"/>
            </w:tcMar>
            <w:vAlign w:val="center"/>
            <w:shd w:fill="F3F6FA"/>
          </w:tcPr>
          <w:p>
            <w:r>
              <w:rPr>
                <w:sz w:val="15"/>
              </w:rPr>
              <w:t>0.98</w:t>
            </w:r>
          </w:p>
        </w:tc>
        <w:tc>
          <w:tcPr>
            <w:tcW w:type="dxa" w:w="1080"/>
            <w:tcMar>
              <w:top w:w="60" w:type="dxa"/>
              <w:start w:w="80" w:type="dxa"/>
              <w:bottom w:w="60" w:type="dxa"/>
              <w:end w:w="80" w:type="dxa"/>
            </w:tcMar>
            <w:vAlign w:val="center"/>
            <w:shd w:fill="F3F6FA"/>
          </w:tcPr>
          <w:p>
            <w:r>
              <w:rPr>
                <w:sz w:val="15"/>
              </w:rPr>
              <w:t>0.00</w:t>
            </w:r>
          </w:p>
        </w:tc>
        <w:tc>
          <w:tcPr>
            <w:tcW w:type="dxa" w:w="936"/>
            <w:tcMar>
              <w:top w:w="60" w:type="dxa"/>
              <w:start w:w="80" w:type="dxa"/>
              <w:bottom w:w="60" w:type="dxa"/>
              <w:end w:w="80" w:type="dxa"/>
            </w:tcMar>
            <w:vAlign w:val="center"/>
            <w:shd w:fill="F3F6FA"/>
          </w:tcPr>
          <w:p>
            <w:r>
              <w:rPr>
                <w:sz w:val="15"/>
              </w:rPr>
              <w:t>0.50</w:t>
            </w:r>
          </w:p>
        </w:tc>
        <w:tc>
          <w:tcPr>
            <w:tcW w:type="dxa" w:w="1080"/>
            <w:tcMar>
              <w:top w:w="60" w:type="dxa"/>
              <w:start w:w="80" w:type="dxa"/>
              <w:bottom w:w="60" w:type="dxa"/>
              <w:end w:w="80" w:type="dxa"/>
            </w:tcMar>
            <w:vAlign w:val="center"/>
            <w:shd w:fill="F3F6FA"/>
          </w:tcPr>
          <w:p>
            <w:r>
              <w:rPr>
                <w:sz w:val="15"/>
              </w:rPr>
              <w:t>0.00</w:t>
            </w:r>
          </w:p>
        </w:tc>
        <w:tc>
          <w:tcPr>
            <w:tcW w:type="dxa" w:w="1080"/>
            <w:tcMar>
              <w:top w:w="60" w:type="dxa"/>
              <w:start w:w="80" w:type="dxa"/>
              <w:bottom w:w="60" w:type="dxa"/>
              <w:end w:w="80" w:type="dxa"/>
            </w:tcMar>
            <w:vAlign w:val="center"/>
            <w:shd w:fill="F3F6FA"/>
          </w:tcPr>
          <w:p>
            <w:r>
              <w:rPr>
                <w:sz w:val="15"/>
              </w:rPr>
              <w:t>0.0000</w:t>
            </w:r>
          </w:p>
        </w:tc>
        <w:tc>
          <w:tcPr>
            <w:tcW w:type="dxa" w:w="3024"/>
            <w:tcMar>
              <w:top w:w="60" w:type="dxa"/>
              <w:start w:w="80" w:type="dxa"/>
              <w:bottom w:w="60" w:type="dxa"/>
              <w:end w:w="80" w:type="dxa"/>
            </w:tcMar>
            <w:vAlign w:val="center"/>
            <w:shd w:fill="F3F6FA"/>
          </w:tcPr>
          <w:p>
            <w:r>
              <w:rPr>
                <w:sz w:val="15"/>
              </w:rPr>
              <w:t>Mandatory HITL; unresolved candidates are preserved.</w:t>
            </w:r>
          </w:p>
        </w:tc>
      </w:tr>
    </w:tbl>
    <w:p>
      <w:pPr>
        <w:pStyle w:val="Heading1"/>
      </w:pPr>
      <w:r>
        <w:t>8. Human-in-the-Loop (HITL) Operating Model</w:t>
      </w:r>
    </w:p>
    <w:p>
      <w:r>
        <w:t>HITL is a business control, not merely a user-interface feature. The system must explicitly identify which observations require review, why they require review, what evidence was available, and what final human decision was taken. Forced-review conditions must take precedence over numeric score.</w:t>
      </w:r>
    </w:p>
    <w:p>
      <w:pPr>
        <w:pStyle w:val="Heading2"/>
      </w:pPr>
      <w:r>
        <w:t>8.1 Current Prototype Threshold Guidance</w:t>
      </w:r>
    </w:p>
    <w:tbl>
      <w:tblPr>
        <w:tblW w:type="auto" w:w="0"/>
        <w:jc w:val="center"/>
        <w:tblLook w:firstColumn="1" w:firstRow="1" w:lastColumn="0" w:lastRow="0" w:noHBand="0" w:noVBand="1" w:val="04A0"/>
      </w:tblPr>
      <w:tblGrid>
        <w:gridCol w:w="10224"/>
      </w:tblGrid>
      <w:tr>
        <w:tc>
          <w:tcPr>
            <w:tcW w:type="dxa" w:w="10224"/>
            <w:shd w:fill="D9EAF7"/>
            <w:tcBorders>
              <w:top w:val="single" w:sz="6" w:color="2F5597"/>
              <w:start w:val="single" w:sz="6" w:color="2F5597"/>
              <w:bottom w:val="single" w:sz="6" w:color="2F5597"/>
              <w:end w:val="single" w:sz="6" w:color="2F5597"/>
            </w:tcBorders>
          </w:tcPr>
          <w:p>
            <w:pPr>
              <w:spacing w:after="40"/>
            </w:pPr>
            <w:r>
              <w:rPr>
                <w:b/>
                <w:color w:val="17365D"/>
              </w:rPr>
              <w:t xml:space="preserve">Prototype configuration: </w:t>
            </w:r>
            <w:r>
              <w:rPr>
                <w:sz w:val="18"/>
              </w:rPr>
              <w:t>The current repository keeps an operational scoring threshold in configuration (0.80 in the current sample config) while the reporting layer carries a separate provisional analytical recommendation of 0.90. The two are intentionally separated.</w:t>
            </w:r>
          </w:p>
        </w:tc>
      </w:tr>
    </w:tbl>
    <w:p>
      <w:r>
        <w:t>For enterprise rollout, 0.90 is a reasonable conservative starting candidate for validation, not a production guarantee. In the both_explicit scenario, if Town and Country confidences are approximately equal, p x p &gt;= 0.90 implies p &gt;= sqrt(0.90) = approximately 0.949. Thus a 0.90 composite threshold roughly requires 95% confidence on both Town and Country when neither is inferred.</w:t>
      </w:r>
    </w:p>
    <w:p>
      <w:r>
        <w:t>Because the maximum Composite Weighted Score for country_explicit_town_inferred is 0.50 and for town_explicit_country_inferred is 0.375, any threshold above 0.50 inherently restricts auto-accept candidates to the both_explicit scenario.</w:t>
      </w:r>
    </w:p>
    <w:p>
      <w:pPr>
        <w:pStyle w:val="Heading2"/>
      </w:pPr>
      <w:r>
        <w:t>8.2 Production Threshold Requirement</w:t>
      </w:r>
    </w:p>
    <w:p>
      <w:pPr>
        <w:pStyle w:val="ListBullet"/>
        <w:spacing w:after="40"/>
      </w:pPr>
      <w:r>
        <w:rPr>
          <w:sz w:val="19"/>
        </w:rPr>
        <w:t>The production threshold shall be configurable, versioned and change-controlled.</w:t>
      </w:r>
    </w:p>
    <w:p>
      <w:pPr>
        <w:pStyle w:val="ListBullet"/>
        <w:spacing w:after="40"/>
      </w:pPr>
      <w:r>
        <w:rPr>
          <w:sz w:val="19"/>
        </w:rPr>
        <w:t>The initial candidate threshold shall be assessed on labeled, production-like data before go-live.</w:t>
      </w:r>
    </w:p>
    <w:p>
      <w:pPr>
        <w:pStyle w:val="ListBullet"/>
        <w:spacing w:after="40"/>
      </w:pPr>
      <w:r>
        <w:rPr>
          <w:sz w:val="19"/>
        </w:rPr>
        <w:t>Threshold selection shall report auto-accept precision, auto-accept error rate, coverage/throughput, HITL volume and results by scenario.</w:t>
      </w:r>
    </w:p>
    <w:p>
      <w:pPr>
        <w:pStyle w:val="ListBullet"/>
        <w:spacing w:after="40"/>
      </w:pPr>
      <w:r>
        <w:rPr>
          <w:sz w:val="19"/>
        </w:rPr>
        <w:t>The recommended production threshold shall be the lowest threshold that meets the business-approved minimum precision and risk appetite.</w:t>
      </w:r>
    </w:p>
    <w:p>
      <w:pPr>
        <w:pStyle w:val="ListBullet"/>
        <w:spacing w:after="40"/>
      </w:pPr>
      <w:r>
        <w:rPr>
          <w:sz w:val="19"/>
        </w:rPr>
        <w:t>Any unresolved Country ambiguity, extraction failure or deterministic reference conflict shall remain HITL regardless of numeric score.</w:t>
      </w:r>
    </w:p>
    <w:p>
      <w:pPr>
        <w:pStyle w:val="ListBullet"/>
        <w:spacing w:after="40"/>
      </w:pPr>
      <w:r>
        <w:rPr>
          <w:sz w:val="19"/>
        </w:rPr>
        <w:t>Human decisions shall be captured with reviewer, timestamp, action, reason/notes and before/after values where applicable.</w:t>
      </w:r>
    </w:p>
    <w:p>
      <w:pPr>
        <w:pStyle w:val="Heading2"/>
      </w:pPr>
      <w:r>
        <w:t>8.3 HITL Decision States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312"/>
            <w:tcMar>
              <w:top w:w="60" w:type="dxa"/>
              <w:start w:w="80" w:type="dxa"/>
              <w:bottom w:w="60" w:type="dxa"/>
              <w:end w:w="80" w:type="dxa"/>
            </w:tcMar>
            <w:vAlign w:val="center"/>
            <w:shd w:fill="17365D"/>
          </w:tcPr>
          <w:p>
            <w:r>
              <w:rPr>
                <w:b/>
                <w:color w:val="FFFFFF"/>
                <w:sz w:val="16"/>
              </w:rPr>
              <w:t>State</w:t>
            </w:r>
          </w:p>
        </w:tc>
        <w:tc>
          <w:tcPr>
            <w:tcW w:type="dxa" w:w="7488"/>
            <w:tcMar>
              <w:top w:w="60" w:type="dxa"/>
              <w:start w:w="80" w:type="dxa"/>
              <w:bottom w:w="60" w:type="dxa"/>
              <w:end w:w="80" w:type="dxa"/>
            </w:tcMar>
            <w:vAlign w:val="center"/>
            <w:shd w:fill="17365D"/>
          </w:tcPr>
          <w:p>
            <w:r>
              <w:rPr>
                <w:b/>
                <w:color w:val="FFFFFF"/>
                <w:sz w:val="16"/>
              </w:rPr>
              <w:t>Meaning</w:t>
            </w:r>
          </w:p>
        </w:tc>
      </w:tr>
      <w:tr>
        <w:tc>
          <w:tcPr>
            <w:tcW w:type="dxa" w:w="3312"/>
            <w:tcMar>
              <w:top w:w="60" w:type="dxa"/>
              <w:start w:w="80" w:type="dxa"/>
              <w:bottom w:w="60" w:type="dxa"/>
              <w:end w:w="80" w:type="dxa"/>
            </w:tcMar>
            <w:vAlign w:val="center"/>
          </w:tcPr>
          <w:p>
            <w:r>
              <w:rPr>
                <w:sz w:val="16"/>
              </w:rPr>
              <w:t>AUTO_ACCEPT_CANDIDATE</w:t>
            </w:r>
          </w:p>
        </w:tc>
        <w:tc>
          <w:tcPr>
            <w:tcW w:type="dxa" w:w="7488"/>
            <w:tcMar>
              <w:top w:w="60" w:type="dxa"/>
              <w:start w:w="80" w:type="dxa"/>
              <w:bottom w:w="60" w:type="dxa"/>
              <w:end w:w="80" w:type="dxa"/>
            </w:tcMar>
            <w:vAlign w:val="center"/>
          </w:tcPr>
          <w:p>
            <w:r>
              <w:rPr>
                <w:sz w:val="16"/>
              </w:rPr>
              <w:t>Composite score meets threshold and no forced-review condition is present.</w:t>
            </w:r>
          </w:p>
        </w:tc>
      </w:tr>
      <w:tr>
        <w:tc>
          <w:tcPr>
            <w:tcW w:type="dxa" w:w="3312"/>
            <w:tcMar>
              <w:top w:w="60" w:type="dxa"/>
              <w:start w:w="80" w:type="dxa"/>
              <w:bottom w:w="60" w:type="dxa"/>
              <w:end w:w="80" w:type="dxa"/>
            </w:tcMar>
            <w:vAlign w:val="center"/>
            <w:shd w:fill="F3F6FA"/>
          </w:tcPr>
          <w:p>
            <w:r>
              <w:rPr>
                <w:sz w:val="16"/>
              </w:rPr>
              <w:t>HITL_LOW_SCORE</w:t>
            </w:r>
          </w:p>
        </w:tc>
        <w:tc>
          <w:tcPr>
            <w:tcW w:type="dxa" w:w="7488"/>
            <w:tcMar>
              <w:top w:w="60" w:type="dxa"/>
              <w:start w:w="80" w:type="dxa"/>
              <w:bottom w:w="60" w:type="dxa"/>
              <w:end w:w="80" w:type="dxa"/>
            </w:tcMar>
            <w:vAlign w:val="center"/>
            <w:shd w:fill="F3F6FA"/>
          </w:tcPr>
          <w:p>
            <w:r>
              <w:rPr>
                <w:sz w:val="16"/>
              </w:rPr>
              <w:t>Composite score is below threshold.</w:t>
            </w:r>
          </w:p>
        </w:tc>
      </w:tr>
      <w:tr>
        <w:tc>
          <w:tcPr>
            <w:tcW w:type="dxa" w:w="3312"/>
            <w:tcMar>
              <w:top w:w="60" w:type="dxa"/>
              <w:start w:w="80" w:type="dxa"/>
              <w:bottom w:w="60" w:type="dxa"/>
              <w:end w:w="80" w:type="dxa"/>
            </w:tcMar>
            <w:vAlign w:val="center"/>
          </w:tcPr>
          <w:p>
            <w:r>
              <w:rPr>
                <w:sz w:val="16"/>
              </w:rPr>
              <w:t>HITL_AMBIGUOUS_COUNTRY</w:t>
            </w:r>
          </w:p>
        </w:tc>
        <w:tc>
          <w:tcPr>
            <w:tcW w:type="dxa" w:w="7488"/>
            <w:tcMar>
              <w:top w:w="60" w:type="dxa"/>
              <w:start w:w="80" w:type="dxa"/>
              <w:bottom w:w="60" w:type="dxa"/>
              <w:end w:w="80" w:type="dxa"/>
            </w:tcMar>
            <w:vAlign w:val="center"/>
          </w:tcPr>
          <w:p>
            <w:r>
              <w:rPr>
                <w:sz w:val="16"/>
              </w:rPr>
              <w:t>Multiple Country candidates remain unresolved.</w:t>
            </w:r>
          </w:p>
        </w:tc>
      </w:tr>
      <w:tr>
        <w:tc>
          <w:tcPr>
            <w:tcW w:type="dxa" w:w="3312"/>
            <w:tcMar>
              <w:top w:w="60" w:type="dxa"/>
              <w:start w:w="80" w:type="dxa"/>
              <w:bottom w:w="60" w:type="dxa"/>
              <w:end w:w="80" w:type="dxa"/>
            </w:tcMar>
            <w:vAlign w:val="center"/>
            <w:shd w:fill="F3F6FA"/>
          </w:tcPr>
          <w:p>
            <w:r>
              <w:rPr>
                <w:sz w:val="16"/>
              </w:rPr>
              <w:t>HITL_REFERENCE_CONFLICT</w:t>
            </w:r>
          </w:p>
        </w:tc>
        <w:tc>
          <w:tcPr>
            <w:tcW w:type="dxa" w:w="7488"/>
            <w:tcMar>
              <w:top w:w="60" w:type="dxa"/>
              <w:start w:w="80" w:type="dxa"/>
              <w:bottom w:w="60" w:type="dxa"/>
              <w:end w:w="80" w:type="dxa"/>
            </w:tcMar>
            <w:vAlign w:val="center"/>
            <w:shd w:fill="F3F6FA"/>
          </w:tcPr>
          <w:p>
            <w:r>
              <w:rPr>
                <w:sz w:val="16"/>
              </w:rPr>
              <w:t>Reference data conflicts with the proposed result.</w:t>
            </w:r>
          </w:p>
        </w:tc>
      </w:tr>
      <w:tr>
        <w:tc>
          <w:tcPr>
            <w:tcW w:type="dxa" w:w="3312"/>
            <w:tcMar>
              <w:top w:w="60" w:type="dxa"/>
              <w:start w:w="80" w:type="dxa"/>
              <w:bottom w:w="60" w:type="dxa"/>
              <w:end w:w="80" w:type="dxa"/>
            </w:tcMar>
            <w:vAlign w:val="center"/>
          </w:tcPr>
          <w:p>
            <w:r>
              <w:rPr>
                <w:sz w:val="16"/>
              </w:rPr>
              <w:t>HITL_PROCESSING_ERROR</w:t>
            </w:r>
          </w:p>
        </w:tc>
        <w:tc>
          <w:tcPr>
            <w:tcW w:type="dxa" w:w="7488"/>
            <w:tcMar>
              <w:top w:w="60" w:type="dxa"/>
              <w:start w:w="80" w:type="dxa"/>
              <w:bottom w:w="60" w:type="dxa"/>
              <w:end w:w="80" w:type="dxa"/>
            </w:tcMar>
            <w:vAlign w:val="center"/>
          </w:tcPr>
          <w:p>
            <w:r>
              <w:rPr>
                <w:sz w:val="16"/>
              </w:rPr>
              <w:t>Model/API/schema/reference processing failed.</w:t>
            </w:r>
          </w:p>
        </w:tc>
      </w:tr>
      <w:tr>
        <w:tc>
          <w:tcPr>
            <w:tcW w:type="dxa" w:w="3312"/>
            <w:tcMar>
              <w:top w:w="60" w:type="dxa"/>
              <w:start w:w="80" w:type="dxa"/>
              <w:bottom w:w="60" w:type="dxa"/>
              <w:end w:w="80" w:type="dxa"/>
            </w:tcMar>
            <w:vAlign w:val="center"/>
            <w:shd w:fill="F3F6FA"/>
          </w:tcPr>
          <w:p>
            <w:r>
              <w:rPr>
                <w:sz w:val="16"/>
              </w:rPr>
              <w:t>HITL_MANUAL_OVERRIDE</w:t>
            </w:r>
          </w:p>
        </w:tc>
        <w:tc>
          <w:tcPr>
            <w:tcW w:type="dxa" w:w="7488"/>
            <w:tcMar>
              <w:top w:w="60" w:type="dxa"/>
              <w:start w:w="80" w:type="dxa"/>
              <w:bottom w:w="60" w:type="dxa"/>
              <w:end w:w="80" w:type="dxa"/>
            </w:tcMar>
            <w:vAlign w:val="center"/>
            <w:shd w:fill="F3F6FA"/>
          </w:tcPr>
          <w:p>
            <w:r>
              <w:rPr>
                <w:sz w:val="16"/>
              </w:rPr>
              <w:t>Business policy or downstream control forces manual review regardless of score.</w:t>
            </w:r>
          </w:p>
        </w:tc>
      </w:tr>
    </w:tbl>
    <w:p>
      <w:pPr>
        <w:pStyle w:val="Heading1"/>
      </w:pPr>
      <w:r>
        <w:t>9. Cross-Entropy - Evaluation and Calibration</w:t>
      </w:r>
    </w:p>
    <w:p>
      <w:r>
        <w:t>Cross-entropy is an evaluation metric that answers a different question from the Composite Weighted Score. The Composite score asks whether an observation should be auto-accepted; cross-entropy asks whether the model's stated confidence agreed with independently grounded correctness.</w:t>
      </w:r>
    </w:p>
    <w:tbl>
      <w:tblPr>
        <w:tblW w:type="auto" w:w="0"/>
        <w:jc w:val="center"/>
        <w:tblLook w:firstColumn="1" w:firstRow="1" w:lastColumn="0" w:lastRow="0" w:noHBand="0" w:noVBand="1" w:val="04A0"/>
      </w:tblPr>
      <w:tblGrid>
        <w:gridCol w:w="10224"/>
      </w:tblGrid>
      <w:tr>
        <w:tc>
          <w:tcPr>
            <w:tcW w:type="dxa" w:w="10224"/>
            <w:shd w:fill="F7F7F7"/>
          </w:tcPr>
          <w:p>
            <w:pPr>
              <w:jc w:val="center"/>
            </w:pPr>
            <w:r>
              <w:rPr>
                <w:rFonts w:ascii="Consolas" w:hAnsi="Consolas"/>
                <w:sz w:val="18"/>
              </w:rPr>
              <w:t>BCE(y,p) = -( y*log(p) + (1-y)*log(1-p) )</w:t>
            </w:r>
          </w:p>
          <w:p>
            <w:pPr>
              <w:jc w:val="center"/>
            </w:pPr>
            <w:r>
              <w:rPr>
                <w:rFonts w:ascii="Consolas" w:hAnsi="Consolas"/>
                <w:sz w:val="18"/>
              </w:rPr>
              <w:t>p is clipped to [1e-6, 1-1e-6]</w:t>
            </w:r>
          </w:p>
          <w:p>
            <w:pPr>
              <w:jc w:val="center"/>
            </w:pPr>
            <w:r>
              <w:rPr>
                <w:rFonts w:ascii="Consolas" w:hAnsi="Consolas"/>
                <w:sz w:val="18"/>
              </w:rPr>
              <w:t>Lower cross-entropy is better</w:t>
            </w:r>
          </w:p>
        </w:tc>
      </w:tr>
    </w:tbl>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3168"/>
            <w:tcMar>
              <w:top w:w="60" w:type="dxa"/>
              <w:start w:w="80" w:type="dxa"/>
              <w:bottom w:w="60" w:type="dxa"/>
              <w:end w:w="80" w:type="dxa"/>
            </w:tcMar>
            <w:vAlign w:val="center"/>
            <w:shd w:fill="17365D"/>
          </w:tcPr>
          <w:p>
            <w:r>
              <w:rPr>
                <w:b/>
                <w:color w:val="FFFFFF"/>
                <w:sz w:val="17"/>
              </w:rPr>
              <w:t>Outcome</w:t>
            </w:r>
          </w:p>
        </w:tc>
        <w:tc>
          <w:tcPr>
            <w:tcW w:type="dxa" w:w="1728"/>
            <w:tcMar>
              <w:top w:w="60" w:type="dxa"/>
              <w:start w:w="80" w:type="dxa"/>
              <w:bottom w:w="60" w:type="dxa"/>
              <w:end w:w="80" w:type="dxa"/>
            </w:tcMar>
            <w:vAlign w:val="center"/>
            <w:shd w:fill="17365D"/>
          </w:tcPr>
          <w:p>
            <w:r>
              <w:rPr>
                <w:b/>
                <w:color w:val="FFFFFF"/>
                <w:sz w:val="17"/>
              </w:rPr>
              <w:t>Correctness y</w:t>
            </w:r>
          </w:p>
        </w:tc>
        <w:tc>
          <w:tcPr>
            <w:tcW w:type="dxa" w:w="2016"/>
            <w:tcMar>
              <w:top w:w="60" w:type="dxa"/>
              <w:start w:w="80" w:type="dxa"/>
              <w:bottom w:w="60" w:type="dxa"/>
              <w:end w:w="80" w:type="dxa"/>
            </w:tcMar>
            <w:vAlign w:val="center"/>
            <w:shd w:fill="17365D"/>
          </w:tcPr>
          <w:p>
            <w:r>
              <w:rPr>
                <w:b/>
                <w:color w:val="FFFFFF"/>
                <w:sz w:val="17"/>
              </w:rPr>
              <w:t>Model confidence p</w:t>
            </w:r>
          </w:p>
        </w:tc>
        <w:tc>
          <w:tcPr>
            <w:tcW w:type="dxa" w:w="2016"/>
            <w:tcMar>
              <w:top w:w="60" w:type="dxa"/>
              <w:start w:w="80" w:type="dxa"/>
              <w:bottom w:w="60" w:type="dxa"/>
              <w:end w:w="80" w:type="dxa"/>
            </w:tcMar>
            <w:vAlign w:val="center"/>
            <w:shd w:fill="17365D"/>
          </w:tcPr>
          <w:p>
            <w:r>
              <w:rPr>
                <w:b/>
                <w:color w:val="FFFFFF"/>
                <w:sz w:val="17"/>
              </w:rPr>
              <w:t>Cross-Entropy</w:t>
            </w:r>
          </w:p>
        </w:tc>
      </w:tr>
      <w:tr>
        <w:tc>
          <w:tcPr>
            <w:tcW w:type="dxa" w:w="3168"/>
            <w:tcMar>
              <w:top w:w="60" w:type="dxa"/>
              <w:start w:w="80" w:type="dxa"/>
              <w:bottom w:w="60" w:type="dxa"/>
              <w:end w:w="80" w:type="dxa"/>
            </w:tcMar>
            <w:vAlign w:val="center"/>
          </w:tcPr>
          <w:p>
            <w:r>
              <w:rPr>
                <w:sz w:val="17"/>
              </w:rPr>
              <w:t>Confident and correct</w:t>
            </w:r>
          </w:p>
        </w:tc>
        <w:tc>
          <w:tcPr>
            <w:tcW w:type="dxa" w:w="1728"/>
            <w:tcMar>
              <w:top w:w="60" w:type="dxa"/>
              <w:start w:w="80" w:type="dxa"/>
              <w:bottom w:w="60" w:type="dxa"/>
              <w:end w:w="80" w:type="dxa"/>
            </w:tcMar>
            <w:vAlign w:val="center"/>
          </w:tcPr>
          <w:p>
            <w:r>
              <w:rPr>
                <w:sz w:val="17"/>
              </w:rPr>
              <w:t>1</w:t>
            </w:r>
          </w:p>
        </w:tc>
        <w:tc>
          <w:tcPr>
            <w:tcW w:type="dxa" w:w="2016"/>
            <w:tcMar>
              <w:top w:w="60" w:type="dxa"/>
              <w:start w:w="80" w:type="dxa"/>
              <w:bottom w:w="60" w:type="dxa"/>
              <w:end w:w="80" w:type="dxa"/>
            </w:tcMar>
            <w:vAlign w:val="center"/>
          </w:tcPr>
          <w:p>
            <w:r>
              <w:rPr>
                <w:sz w:val="17"/>
              </w:rPr>
              <w:t>0.95</w:t>
            </w:r>
          </w:p>
        </w:tc>
        <w:tc>
          <w:tcPr>
            <w:tcW w:type="dxa" w:w="2016"/>
            <w:tcMar>
              <w:top w:w="60" w:type="dxa"/>
              <w:start w:w="80" w:type="dxa"/>
              <w:bottom w:w="60" w:type="dxa"/>
              <w:end w:w="80" w:type="dxa"/>
            </w:tcMar>
            <w:vAlign w:val="center"/>
          </w:tcPr>
          <w:p>
            <w:r>
              <w:rPr>
                <w:sz w:val="17"/>
              </w:rPr>
              <w:t>0.051293</w:t>
            </w:r>
          </w:p>
        </w:tc>
      </w:tr>
      <w:tr>
        <w:tc>
          <w:tcPr>
            <w:tcW w:type="dxa" w:w="3168"/>
            <w:tcMar>
              <w:top w:w="60" w:type="dxa"/>
              <w:start w:w="80" w:type="dxa"/>
              <w:bottom w:w="60" w:type="dxa"/>
              <w:end w:w="80" w:type="dxa"/>
            </w:tcMar>
            <w:vAlign w:val="center"/>
            <w:shd w:fill="F3F6FA"/>
          </w:tcPr>
          <w:p>
            <w:r>
              <w:rPr>
                <w:sz w:val="17"/>
              </w:rPr>
              <w:t>Confident and incorrect</w:t>
            </w:r>
          </w:p>
        </w:tc>
        <w:tc>
          <w:tcPr>
            <w:tcW w:type="dxa" w:w="1728"/>
            <w:tcMar>
              <w:top w:w="60" w:type="dxa"/>
              <w:start w:w="80" w:type="dxa"/>
              <w:bottom w:w="60" w:type="dxa"/>
              <w:end w:w="80" w:type="dxa"/>
            </w:tcMar>
            <w:vAlign w:val="center"/>
            <w:shd w:fill="F3F6FA"/>
          </w:tcPr>
          <w:p>
            <w:r>
              <w:rPr>
                <w:sz w:val="17"/>
              </w:rPr>
              <w:t>0</w:t>
            </w:r>
          </w:p>
        </w:tc>
        <w:tc>
          <w:tcPr>
            <w:tcW w:type="dxa" w:w="2016"/>
            <w:tcMar>
              <w:top w:w="60" w:type="dxa"/>
              <w:start w:w="80" w:type="dxa"/>
              <w:bottom w:w="60" w:type="dxa"/>
              <w:end w:w="80" w:type="dxa"/>
            </w:tcMar>
            <w:vAlign w:val="center"/>
            <w:shd w:fill="F3F6FA"/>
          </w:tcPr>
          <w:p>
            <w:r>
              <w:rPr>
                <w:sz w:val="17"/>
              </w:rPr>
              <w:t>0.95</w:t>
            </w:r>
          </w:p>
        </w:tc>
        <w:tc>
          <w:tcPr>
            <w:tcW w:type="dxa" w:w="2016"/>
            <w:tcMar>
              <w:top w:w="60" w:type="dxa"/>
              <w:start w:w="80" w:type="dxa"/>
              <w:bottom w:w="60" w:type="dxa"/>
              <w:end w:w="80" w:type="dxa"/>
            </w:tcMar>
            <w:vAlign w:val="center"/>
            <w:shd w:fill="F3F6FA"/>
          </w:tcPr>
          <w:p>
            <w:r>
              <w:rPr>
                <w:sz w:val="17"/>
              </w:rPr>
              <w:t>2.995732</w:t>
            </w:r>
          </w:p>
        </w:tc>
      </w:tr>
    </w:tbl>
    <w:p>
      <w:pPr>
        <w:pStyle w:val="Heading2"/>
      </w:pPr>
      <w:r>
        <w:t>9.1 Ground-Truth Availability Rules</w:t>
      </w:r>
    </w:p>
    <w:p>
      <w:r>
        <w:t>The enterprise implementation shall preserve the current control principle: reference coverage gaps are not model errors. The flat compatibility fields may represent unavailable correctness conservatively, but the canonical audit record must explicitly retain ground-truth availability, basis/status and nullable component correctness/loss so that 'contradicted' and 'not enough evidence' are never conflated in evaluation.</w:t>
      </w:r>
    </w:p>
    <w:p>
      <w:pPr>
        <w:pStyle w:val="ListBullet"/>
        <w:spacing w:after="40"/>
      </w:pPr>
      <w:r>
        <w:rPr>
          <w:sz w:val="19"/>
        </w:rPr>
        <w:t>Town ground truth is grounded when explicit token-boundary evidence can be corroborated by the configured Town/Country reference, or when an explicit model claim is positively refuted by text.</w:t>
      </w:r>
    </w:p>
    <w:p>
      <w:pPr>
        <w:pStyle w:val="ListBullet"/>
        <w:spacing w:after="40"/>
      </w:pPr>
      <w:r>
        <w:rPr>
          <w:sz w:val="19"/>
        </w:rPr>
        <w:t>Country ground truth is grounded when Country is explicit in the address or deterministic reference truth uniquely supports/contradicts the predicted Country.</w:t>
      </w:r>
    </w:p>
    <w:p>
      <w:pPr>
        <w:pStyle w:val="ListBullet"/>
        <w:spacing w:after="40"/>
      </w:pPr>
      <w:r>
        <w:rPr>
          <w:sz w:val="19"/>
        </w:rPr>
        <w:t>An unresolved multi-country Town is not treated as a wrong prediction for cross-entropy unless independent truth identifies the correct Country.</w:t>
      </w:r>
    </w:p>
    <w:p>
      <w:pPr>
        <w:pStyle w:val="ListBullet"/>
        <w:spacing w:after="40"/>
      </w:pPr>
      <w:r>
        <w:rPr>
          <w:sz w:val="19"/>
        </w:rPr>
        <w:t>If both Town and Country are grounded, group cross-entropy is the mean of both component losses.</w:t>
      </w:r>
    </w:p>
    <w:p>
      <w:pPr>
        <w:pStyle w:val="ListBullet"/>
        <w:spacing w:after="40"/>
      </w:pPr>
      <w:r>
        <w:rPr>
          <w:sz w:val="19"/>
        </w:rPr>
        <w:t>If one component is grounded, group cross-entropy equals that component loss and the audit marks a partial status.</w:t>
      </w:r>
    </w:p>
    <w:p>
      <w:pPr>
        <w:pStyle w:val="ListBullet"/>
        <w:spacing w:after="40"/>
      </w:pPr>
      <w:r>
        <w:rPr>
          <w:sz w:val="19"/>
        </w:rPr>
        <w:t>If neither component is grounded, group cross-entropy is null and the observation is excluded from aggregate loss.</w:t>
      </w:r>
    </w:p>
    <w:p>
      <w:pPr>
        <w:pStyle w:val="Heading2"/>
      </w:pPr>
      <w:r>
        <w:t>9.2 Prototype Validation Evidence</w:t>
      </w:r>
    </w:p>
    <w:p>
      <w:r>
        <w:t>The latest merged Phase 1 change report (PR #4) states that the dry-run cross-entropy summary remained unchanged after audit-semantic cleanup: 6 grounded observations, 1 excluded observation, mean cross-entropy 0.019409, and 100% Town/Country correctness in that small test run. This is implementation evidence only and must not be interpreted as production model-performance evidence.</w:t>
      </w:r>
    </w:p>
    <w:p>
      <w:pPr>
        <w:pStyle w:val="Heading1"/>
      </w:pPr>
      <w:r>
        <w:t>10. Address Retraction Requirement</w:t>
      </w:r>
    </w:p>
    <w:p>
      <w:r>
        <w:t>Retraction exists to remove Town/Country tokens that were actually present and deterministically verified, creating a residual address for downstream use or analysis. Retraction is not a rewrite of the original source record.</w:t>
      </w:r>
    </w:p>
    <w:p>
      <w:pPr>
        <w:pStyle w:val="ListBullet"/>
        <w:spacing w:after="40"/>
      </w:pPr>
      <w:r>
        <w:rPr>
          <w:sz w:val="19"/>
        </w:rPr>
        <w:t>Retract Town only when predicted_town_exists is True.</w:t>
      </w:r>
    </w:p>
    <w:p>
      <w:pPr>
        <w:pStyle w:val="ListBullet"/>
        <w:spacing w:after="40"/>
      </w:pPr>
      <w:r>
        <w:rPr>
          <w:sz w:val="19"/>
        </w:rPr>
        <w:t>Retract Country only when predicted_country_exists is True.</w:t>
      </w:r>
    </w:p>
    <w:p>
      <w:pPr>
        <w:pStyle w:val="ListBullet"/>
        <w:spacing w:after="40"/>
      </w:pPr>
      <w:r>
        <w:rPr>
          <w:sz w:val="19"/>
        </w:rPr>
        <w:t>Never retract a Town or Country that was inferred but not actually present in the source text.</w:t>
      </w:r>
    </w:p>
    <w:p>
      <w:pPr>
        <w:pStyle w:val="ListBullet"/>
        <w:spacing w:after="40"/>
      </w:pPr>
      <w:r>
        <w:rPr>
          <w:sz w:val="19"/>
        </w:rPr>
        <w:t>Use token-span matching rather than substring replacement.</w:t>
      </w:r>
    </w:p>
    <w:p>
      <w:pPr>
        <w:pStyle w:val="ListBullet"/>
        <w:spacing w:after="40"/>
      </w:pPr>
      <w:r>
        <w:rPr>
          <w:sz w:val="19"/>
        </w:rPr>
        <w:t>Process each configured source column independently, retain before/after values, and reconstruct the retracted combined address using the same deterministic grouping logic.</w:t>
      </w:r>
    </w:p>
    <w:p>
      <w:pPr>
        <w:pStyle w:val="ListBullet"/>
        <w:spacing w:after="40"/>
      </w:pPr>
      <w:r>
        <w:rPr>
          <w:sz w:val="19"/>
        </w:rPr>
        <w:t>Do not mutate original source columns.</w:t>
      </w:r>
    </w:p>
    <w:p>
      <w:pPr>
        <w:pStyle w:val="ListBullet"/>
        <w:spacing w:after="40"/>
      </w:pPr>
      <w:r>
        <w:rPr>
          <w:sz w:val="19"/>
        </w:rPr>
        <w:t>Retain deterministic comments describing what was retracted.</w:t>
      </w:r>
    </w:p>
    <w:p>
      <w:pPr>
        <w:pStyle w:val="ListBullet"/>
        <w:spacing w:after="40"/>
      </w:pPr>
      <w:r>
        <w:rPr>
          <w:sz w:val="19"/>
        </w:rPr>
        <w:t>Preserve postal codes and unrelated text.</w:t>
      </w:r>
    </w:p>
    <w:tbl>
      <w:tblPr>
        <w:tblW w:type="auto" w:w="0"/>
        <w:jc w:val="center"/>
        <w:tblLook w:firstColumn="1" w:firstRow="1" w:lastColumn="0" w:lastRow="0" w:noHBand="0" w:noVBand="1" w:val="04A0"/>
      </w:tblPr>
      <w:tblGrid>
        <w:gridCol w:w="10224"/>
      </w:tblGrid>
      <w:tr>
        <w:tc>
          <w:tcPr>
            <w:tcW w:type="dxa" w:w="10224"/>
            <w:shd w:fill="D9EAF7"/>
            <w:tcBorders>
              <w:top w:val="single" w:sz="6" w:color="2F5597"/>
              <w:start w:val="single" w:sz="6" w:color="2F5597"/>
              <w:bottom w:val="single" w:sz="6" w:color="2F5597"/>
              <w:end w:val="single" w:sz="6" w:color="2F5597"/>
            </w:tcBorders>
          </w:tcPr>
          <w:p>
            <w:pPr>
              <w:spacing w:after="40"/>
            </w:pPr>
            <w:r>
              <w:rPr>
                <w:b/>
                <w:color w:val="17365D"/>
              </w:rPr>
              <w:t xml:space="preserve">Safety examples: </w:t>
            </w:r>
            <w:r>
              <w:rPr>
                <w:sz w:val="18"/>
              </w:rPr>
              <w:t>AERONAUTICA must not lose RONA; CUSTOMS must not lose US; a token such as IN must not be removed as India unless deterministic Country verification established that meaning.</w:t>
            </w:r>
          </w:p>
        </w:tc>
      </w:tr>
    </w:tbl>
    <w:p>
      <w:pPr>
        <w:pStyle w:val="Heading1"/>
      </w:pPr>
      <w:r>
        <w:t>11. Data Outputs and Audit Trail</w:t>
      </w:r>
    </w:p>
    <w:p>
      <w:r>
        <w:t>The reference implementation already demonstrates why a flat-file-only contract does not scale: the current sample uses 17 generated fields per group and 16 enabled groups. The enterprise design shall therefore make structured JSON the canonical output and treat CSV as a derivative compatibility surface.</w:t>
      </w:r>
    </w:p>
    <w:p>
      <w:pPr>
        <w:pStyle w:val="Heading2"/>
      </w:pPr>
      <w:r>
        <w:t>11.1 Canonical Detailed Output</w:t>
      </w:r>
    </w:p>
    <w:p>
      <w:pPr>
        <w:pStyle w:val="ListBullet"/>
        <w:spacing w:after="40"/>
      </w:pPr>
      <w:r>
        <w:rPr>
          <w:sz w:val="19"/>
        </w:rPr>
        <w:t>One logical output record per input RECORD_ID.</w:t>
      </w:r>
    </w:p>
    <w:p>
      <w:pPr>
        <w:pStyle w:val="ListBullet"/>
        <w:spacing w:after="40"/>
      </w:pPr>
      <w:r>
        <w:rPr>
          <w:sz w:val="19"/>
        </w:rPr>
        <w:t>Nested group-level blocks for source fields, combined address, prediction, evidence, ground-truth validation, scoring, cross-entropy, rationale and retraction.</w:t>
      </w:r>
    </w:p>
    <w:p>
      <w:pPr>
        <w:pStyle w:val="ListBullet"/>
        <w:spacing w:after="40"/>
      </w:pPr>
      <w:r>
        <w:rPr>
          <w:sz w:val="19"/>
        </w:rPr>
        <w:t>Per-group source-column before/after retraction details.</w:t>
      </w:r>
    </w:p>
    <w:p>
      <w:pPr>
        <w:pStyle w:val="ListBullet"/>
        <w:spacing w:after="40"/>
      </w:pPr>
      <w:r>
        <w:rPr>
          <w:sz w:val="19"/>
        </w:rPr>
        <w:t>Null-skipped groups explicitly identifiable without bloating the payload.</w:t>
      </w:r>
    </w:p>
    <w:p>
      <w:pPr>
        <w:pStyle w:val="ListBullet"/>
        <w:spacing w:after="40"/>
      </w:pPr>
      <w:r>
        <w:rPr>
          <w:sz w:val="19"/>
        </w:rPr>
        <w:t>Valid JSON null for unavailable numeric/evaluation values; never NaN.</w:t>
      </w:r>
    </w:p>
    <w:p>
      <w:pPr>
        <w:pStyle w:val="ListBullet"/>
        <w:spacing w:after="40"/>
      </w:pPr>
      <w:r>
        <w:rPr>
          <w:sz w:val="19"/>
        </w:rPr>
        <w:t>Run-wide metadata stored once per run/batch/event context rather than repeated unnecessarily.</w:t>
      </w:r>
    </w:p>
    <w:p>
      <w:pPr>
        <w:pStyle w:val="ListBullet"/>
        <w:spacing w:after="40"/>
      </w:pPr>
      <w:r>
        <w:rPr>
          <w:sz w:val="19"/>
        </w:rPr>
        <w:t>Schema version included in every canonical business payload.</w:t>
      </w:r>
    </w:p>
    <w:p>
      <w:pPr>
        <w:pStyle w:val="Heading2"/>
      </w:pPr>
      <w:r>
        <w:t>11.2 Required Audit Metadata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tcMar>
              <w:top w:w="60" w:type="dxa"/>
              <w:start w:w="80" w:type="dxa"/>
              <w:bottom w:w="60" w:type="dxa"/>
              <w:end w:w="80" w:type="dxa"/>
            </w:tcMar>
            <w:vAlign w:val="center"/>
            <w:shd w:fill="17365D"/>
          </w:tcPr>
          <w:p>
            <w:r>
              <w:rPr>
                <w:b/>
                <w:color w:val="FFFFFF"/>
                <w:sz w:val="16"/>
              </w:rPr>
              <w:t>Audit Domain</w:t>
            </w:r>
          </w:p>
        </w:tc>
        <w:tc>
          <w:tcPr>
            <w:tcW w:type="dxa" w:w="8352"/>
            <w:tcMar>
              <w:top w:w="60" w:type="dxa"/>
              <w:start w:w="80" w:type="dxa"/>
              <w:bottom w:w="60" w:type="dxa"/>
              <w:end w:w="80" w:type="dxa"/>
            </w:tcMar>
            <w:vAlign w:val="center"/>
            <w:shd w:fill="17365D"/>
          </w:tcPr>
          <w:p>
            <w:r>
              <w:rPr>
                <w:b/>
                <w:color w:val="FFFFFF"/>
                <w:sz w:val="16"/>
              </w:rPr>
              <w:t>Required Information</w:t>
            </w:r>
          </w:p>
        </w:tc>
      </w:tr>
      <w:tr>
        <w:tc>
          <w:tcPr>
            <w:tcW w:type="dxa" w:w="2448"/>
            <w:tcMar>
              <w:top w:w="60" w:type="dxa"/>
              <w:start w:w="80" w:type="dxa"/>
              <w:bottom w:w="60" w:type="dxa"/>
              <w:end w:w="80" w:type="dxa"/>
            </w:tcMar>
            <w:vAlign w:val="center"/>
          </w:tcPr>
          <w:p>
            <w:r>
              <w:rPr>
                <w:sz w:val="16"/>
              </w:rPr>
              <w:t>Identity</w:t>
            </w:r>
          </w:p>
        </w:tc>
        <w:tc>
          <w:tcPr>
            <w:tcW w:type="dxa" w:w="8352"/>
            <w:tcMar>
              <w:top w:w="60" w:type="dxa"/>
              <w:start w:w="80" w:type="dxa"/>
              <w:bottom w:w="60" w:type="dxa"/>
              <w:end w:w="80" w:type="dxa"/>
            </w:tcMar>
            <w:vAlign w:val="center"/>
          </w:tcPr>
          <w:p>
            <w:r>
              <w:rPr>
                <w:sz w:val="16"/>
              </w:rPr>
              <w:t>Record ID, source system, source message/object ID, event/batch ID, group ID.</w:t>
            </w:r>
          </w:p>
        </w:tc>
      </w:tr>
      <w:tr>
        <w:tc>
          <w:tcPr>
            <w:tcW w:type="dxa" w:w="2448"/>
            <w:tcMar>
              <w:top w:w="60" w:type="dxa"/>
              <w:start w:w="80" w:type="dxa"/>
              <w:bottom w:w="60" w:type="dxa"/>
              <w:end w:w="80" w:type="dxa"/>
            </w:tcMar>
            <w:vAlign w:val="center"/>
            <w:shd w:fill="F3F6FA"/>
          </w:tcPr>
          <w:p>
            <w:r>
              <w:rPr>
                <w:sz w:val="16"/>
              </w:rPr>
              <w:t>Input Trace</w:t>
            </w:r>
          </w:p>
        </w:tc>
        <w:tc>
          <w:tcPr>
            <w:tcW w:type="dxa" w:w="8352"/>
            <w:tcMar>
              <w:top w:w="60" w:type="dxa"/>
              <w:start w:w="80" w:type="dxa"/>
              <w:bottom w:w="60" w:type="dxa"/>
              <w:end w:w="80" w:type="dxa"/>
            </w:tcMar>
            <w:vAlign w:val="center"/>
            <w:shd w:fill="F3F6FA"/>
          </w:tcPr>
          <w:p>
            <w:r>
              <w:rPr>
                <w:sz w:val="16"/>
              </w:rPr>
              <w:t>Input payload hash, original source-field values or protected immutable pointer, ingestion timestamp.</w:t>
            </w:r>
          </w:p>
        </w:tc>
      </w:tr>
      <w:tr>
        <w:tc>
          <w:tcPr>
            <w:tcW w:type="dxa" w:w="2448"/>
            <w:tcMar>
              <w:top w:w="60" w:type="dxa"/>
              <w:start w:w="80" w:type="dxa"/>
              <w:bottom w:w="60" w:type="dxa"/>
              <w:end w:w="80" w:type="dxa"/>
            </w:tcMar>
            <w:vAlign w:val="center"/>
          </w:tcPr>
          <w:p>
            <w:r>
              <w:rPr>
                <w:sz w:val="16"/>
              </w:rPr>
              <w:t>Model Trace</w:t>
            </w:r>
          </w:p>
        </w:tc>
        <w:tc>
          <w:tcPr>
            <w:tcW w:type="dxa" w:w="8352"/>
            <w:tcMar>
              <w:top w:w="60" w:type="dxa"/>
              <w:start w:w="80" w:type="dxa"/>
              <w:bottom w:w="60" w:type="dxa"/>
              <w:end w:w="80" w:type="dxa"/>
            </w:tcMar>
            <w:vAlign w:val="center"/>
          </w:tcPr>
          <w:p>
            <w:r>
              <w:rPr>
                <w:sz w:val="16"/>
              </w:rPr>
              <w:t>Model identifier/version, prompt version, request/response status, retry count, token/usage metadata where available.</w:t>
            </w:r>
          </w:p>
        </w:tc>
      </w:tr>
      <w:tr>
        <w:tc>
          <w:tcPr>
            <w:tcW w:type="dxa" w:w="2448"/>
            <w:tcMar>
              <w:top w:w="60" w:type="dxa"/>
              <w:start w:w="80" w:type="dxa"/>
              <w:bottom w:w="60" w:type="dxa"/>
              <w:end w:w="80" w:type="dxa"/>
            </w:tcMar>
            <w:vAlign w:val="center"/>
            <w:shd w:fill="F3F6FA"/>
          </w:tcPr>
          <w:p>
            <w:r>
              <w:rPr>
                <w:sz w:val="16"/>
              </w:rPr>
              <w:t>Reference Trace</w:t>
            </w:r>
          </w:p>
        </w:tc>
        <w:tc>
          <w:tcPr>
            <w:tcW w:type="dxa" w:w="8352"/>
            <w:tcMar>
              <w:top w:w="60" w:type="dxa"/>
              <w:start w:w="80" w:type="dxa"/>
              <w:bottom w:w="60" w:type="dxa"/>
              <w:end w:w="80" w:type="dxa"/>
            </w:tcMar>
            <w:vAlign w:val="center"/>
            <w:shd w:fill="F3F6FA"/>
          </w:tcPr>
          <w:p>
            <w:r>
              <w:rPr>
                <w:sz w:val="16"/>
              </w:rPr>
              <w:t>ISO version/source, Town/Country reference version/source, future BIC/SWIFTRef source/version when enabled.</w:t>
            </w:r>
          </w:p>
        </w:tc>
      </w:tr>
      <w:tr>
        <w:tc>
          <w:tcPr>
            <w:tcW w:type="dxa" w:w="2448"/>
            <w:tcMar>
              <w:top w:w="60" w:type="dxa"/>
              <w:start w:w="80" w:type="dxa"/>
              <w:bottom w:w="60" w:type="dxa"/>
              <w:end w:w="80" w:type="dxa"/>
            </w:tcMar>
            <w:vAlign w:val="center"/>
          </w:tcPr>
          <w:p>
            <w:r>
              <w:rPr>
                <w:sz w:val="16"/>
              </w:rPr>
              <w:t>Decision Trace</w:t>
            </w:r>
          </w:p>
        </w:tc>
        <w:tc>
          <w:tcPr>
            <w:tcW w:type="dxa" w:w="8352"/>
            <w:tcMar>
              <w:top w:w="60" w:type="dxa"/>
              <w:start w:w="80" w:type="dxa"/>
              <w:bottom w:w="60" w:type="dxa"/>
              <w:end w:w="80" w:type="dxa"/>
            </w:tcMar>
            <w:vAlign w:val="center"/>
          </w:tcPr>
          <w:p>
            <w:r>
              <w:rPr>
                <w:sz w:val="16"/>
              </w:rPr>
              <w:t>Scenario, Town/Country probabilities, reliability weights, adjusted scores, Composite Weighted Score, HITL threshold, forced-review reason.</w:t>
            </w:r>
          </w:p>
        </w:tc>
      </w:tr>
      <w:tr>
        <w:tc>
          <w:tcPr>
            <w:tcW w:type="dxa" w:w="2448"/>
            <w:tcMar>
              <w:top w:w="60" w:type="dxa"/>
              <w:start w:w="80" w:type="dxa"/>
              <w:bottom w:w="60" w:type="dxa"/>
              <w:end w:w="80" w:type="dxa"/>
            </w:tcMar>
            <w:vAlign w:val="center"/>
            <w:shd w:fill="F3F6FA"/>
          </w:tcPr>
          <w:p>
            <w:r>
              <w:rPr>
                <w:sz w:val="16"/>
              </w:rPr>
              <w:t>Evaluation Trace</w:t>
            </w:r>
          </w:p>
        </w:tc>
        <w:tc>
          <w:tcPr>
            <w:tcW w:type="dxa" w:w="8352"/>
            <w:tcMar>
              <w:top w:w="60" w:type="dxa"/>
              <w:start w:w="80" w:type="dxa"/>
              <w:bottom w:w="60" w:type="dxa"/>
              <w:end w:w="80" w:type="dxa"/>
            </w:tcMar>
            <w:vAlign w:val="center"/>
            <w:shd w:fill="F3F6FA"/>
          </w:tcPr>
          <w:p>
            <w:r>
              <w:rPr>
                <w:sz w:val="16"/>
              </w:rPr>
              <w:t>Ground-truth availability/basis, component correctness, component cross-entropy, group cross-entropy/status.</w:t>
            </w:r>
          </w:p>
        </w:tc>
      </w:tr>
      <w:tr>
        <w:tc>
          <w:tcPr>
            <w:tcW w:type="dxa" w:w="2448"/>
            <w:tcMar>
              <w:top w:w="60" w:type="dxa"/>
              <w:start w:w="80" w:type="dxa"/>
              <w:bottom w:w="60" w:type="dxa"/>
              <w:end w:w="80" w:type="dxa"/>
            </w:tcMar>
            <w:vAlign w:val="center"/>
          </w:tcPr>
          <w:p>
            <w:r>
              <w:rPr>
                <w:sz w:val="16"/>
              </w:rPr>
              <w:t>Retraction Trace</w:t>
            </w:r>
          </w:p>
        </w:tc>
        <w:tc>
          <w:tcPr>
            <w:tcW w:type="dxa" w:w="8352"/>
            <w:tcMar>
              <w:top w:w="60" w:type="dxa"/>
              <w:start w:w="80" w:type="dxa"/>
              <w:bottom w:w="60" w:type="dxa"/>
              <w:end w:w="80" w:type="dxa"/>
            </w:tcMar>
            <w:vAlign w:val="center"/>
          </w:tcPr>
          <w:p>
            <w:r>
              <w:rPr>
                <w:sz w:val="16"/>
              </w:rPr>
              <w:t>Before/after source fields, retracted entities/forms, reconstructed residual address, deterministic comment.</w:t>
            </w:r>
          </w:p>
        </w:tc>
      </w:tr>
      <w:tr>
        <w:tc>
          <w:tcPr>
            <w:tcW w:type="dxa" w:w="2448"/>
            <w:tcMar>
              <w:top w:w="60" w:type="dxa"/>
              <w:start w:w="80" w:type="dxa"/>
              <w:bottom w:w="60" w:type="dxa"/>
              <w:end w:w="80" w:type="dxa"/>
            </w:tcMar>
            <w:vAlign w:val="center"/>
            <w:shd w:fill="F3F6FA"/>
          </w:tcPr>
          <w:p>
            <w:r>
              <w:rPr>
                <w:sz w:val="16"/>
              </w:rPr>
              <w:t>Human Trace</w:t>
            </w:r>
          </w:p>
        </w:tc>
        <w:tc>
          <w:tcPr>
            <w:tcW w:type="dxa" w:w="8352"/>
            <w:tcMar>
              <w:top w:w="60" w:type="dxa"/>
              <w:start w:w="80" w:type="dxa"/>
              <w:bottom w:w="60" w:type="dxa"/>
              <w:end w:w="80" w:type="dxa"/>
            </w:tcMar>
            <w:vAlign w:val="center"/>
            <w:shd w:fill="F3F6FA"/>
          </w:tcPr>
          <w:p>
            <w:r>
              <w:rPr>
                <w:sz w:val="16"/>
              </w:rPr>
              <w:t>Reviewer ID, decision, corrections, reason, timestamp, approval status, downstream disposition.</w:t>
            </w:r>
          </w:p>
        </w:tc>
      </w:tr>
      <w:tr>
        <w:tc>
          <w:tcPr>
            <w:tcW w:type="dxa" w:w="2448"/>
            <w:tcMar>
              <w:top w:w="60" w:type="dxa"/>
              <w:start w:w="80" w:type="dxa"/>
              <w:bottom w:w="60" w:type="dxa"/>
              <w:end w:w="80" w:type="dxa"/>
            </w:tcMar>
            <w:vAlign w:val="center"/>
          </w:tcPr>
          <w:p>
            <w:r>
              <w:rPr>
                <w:sz w:val="16"/>
              </w:rPr>
              <w:t>Operational Trace</w:t>
            </w:r>
          </w:p>
        </w:tc>
        <w:tc>
          <w:tcPr>
            <w:tcW w:type="dxa" w:w="8352"/>
            <w:tcMar>
              <w:top w:w="60" w:type="dxa"/>
              <w:start w:w="80" w:type="dxa"/>
              <w:bottom w:w="60" w:type="dxa"/>
              <w:end w:w="80" w:type="dxa"/>
            </w:tcMar>
            <w:vAlign w:val="center"/>
          </w:tcPr>
          <w:p>
            <w:r>
              <w:rPr>
                <w:sz w:val="16"/>
              </w:rPr>
              <w:t>Processing timestamps, latency, cache/dedupe status, error code, replay ID/correlation ID.</w:t>
            </w:r>
          </w:p>
        </w:tc>
      </w:tr>
    </w:tbl>
    <w:p>
      <w:pPr>
        <w:pStyle w:val="Heading1"/>
      </w:pPr>
      <w:r>
        <w:t>12. Reporting and Management Information</w:t>
      </w:r>
    </w:p>
    <w:p>
      <w:r>
        <w:t>The enterprise solution shall retain the prototype's separation of denominators: source records, address-group instances and unique addresses are different populations and shall not be mixed in reporting.</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008"/>
            <w:tcMar>
              <w:top w:w="60" w:type="dxa"/>
              <w:start w:w="80" w:type="dxa"/>
              <w:bottom w:w="60" w:type="dxa"/>
              <w:end w:w="80" w:type="dxa"/>
            </w:tcMar>
            <w:vAlign w:val="center"/>
            <w:shd w:fill="17365D"/>
          </w:tcPr>
          <w:p>
            <w:r>
              <w:rPr>
                <w:b/>
                <w:color w:val="FFFFFF"/>
                <w:sz w:val="16"/>
              </w:rPr>
              <w:t>ID</w:t>
            </w:r>
          </w:p>
        </w:tc>
        <w:tc>
          <w:tcPr>
            <w:tcW w:type="dxa" w:w="5328"/>
            <w:tcMar>
              <w:top w:w="60" w:type="dxa"/>
              <w:start w:w="80" w:type="dxa"/>
              <w:bottom w:w="60" w:type="dxa"/>
              <w:end w:w="80" w:type="dxa"/>
            </w:tcMar>
            <w:vAlign w:val="center"/>
            <w:shd w:fill="17365D"/>
          </w:tcPr>
          <w:p>
            <w:r>
              <w:rPr>
                <w:b/>
                <w:color w:val="FFFFFF"/>
                <w:sz w:val="16"/>
              </w:rPr>
              <w:t>Business / Functional Requirement</w:t>
            </w:r>
          </w:p>
        </w:tc>
        <w:tc>
          <w:tcPr>
            <w:tcW w:type="dxa" w:w="1008"/>
            <w:tcMar>
              <w:top w:w="60" w:type="dxa"/>
              <w:start w:w="80" w:type="dxa"/>
              <w:bottom w:w="60" w:type="dxa"/>
              <w:end w:w="80" w:type="dxa"/>
            </w:tcMar>
            <w:vAlign w:val="center"/>
            <w:shd w:fill="17365D"/>
          </w:tcPr>
          <w:p>
            <w:r>
              <w:rPr>
                <w:b/>
                <w:color w:val="FFFFFF"/>
                <w:sz w:val="16"/>
              </w:rPr>
              <w:t>Priority</w:t>
            </w:r>
          </w:p>
        </w:tc>
        <w:tc>
          <w:tcPr>
            <w:tcW w:type="dxa" w:w="3168"/>
            <w:tcMar>
              <w:top w:w="60" w:type="dxa"/>
              <w:start w:w="80" w:type="dxa"/>
              <w:bottom w:w="60" w:type="dxa"/>
              <w:end w:w="80" w:type="dxa"/>
            </w:tcMar>
            <w:vAlign w:val="center"/>
            <w:shd w:fill="17365D"/>
          </w:tcPr>
          <w:p>
            <w:r>
              <w:rPr>
                <w:b/>
                <w:color w:val="FFFFFF"/>
                <w:sz w:val="16"/>
              </w:rPr>
              <w:t>Acceptance / Verification</w:t>
            </w:r>
          </w:p>
        </w:tc>
      </w:tr>
      <w:tr>
        <w:tc>
          <w:tcPr>
            <w:tcW w:type="dxa" w:w="1008"/>
            <w:tcMar>
              <w:top w:w="60" w:type="dxa"/>
              <w:start w:w="80" w:type="dxa"/>
              <w:bottom w:w="60" w:type="dxa"/>
              <w:end w:w="80" w:type="dxa"/>
            </w:tcMar>
            <w:vAlign w:val="center"/>
          </w:tcPr>
          <w:p>
            <w:r>
              <w:rPr>
                <w:sz w:val="16"/>
              </w:rPr>
              <w:t>MI-001</w:t>
            </w:r>
          </w:p>
        </w:tc>
        <w:tc>
          <w:tcPr>
            <w:tcW w:type="dxa" w:w="5328"/>
            <w:tcMar>
              <w:top w:w="60" w:type="dxa"/>
              <w:start w:w="80" w:type="dxa"/>
              <w:bottom w:w="60" w:type="dxa"/>
              <w:end w:w="80" w:type="dxa"/>
            </w:tcMar>
            <w:vAlign w:val="center"/>
          </w:tcPr>
          <w:p>
            <w:r>
              <w:rPr>
                <w:sz w:val="16"/>
              </w:rPr>
              <w:t>Input record count, enabled group count, total group instances, null-skipped instances, non-empty instances and unique addresses.</w:t>
            </w:r>
          </w:p>
        </w:tc>
        <w:tc>
          <w:tcPr>
            <w:tcW w:type="dxa" w:w="1008"/>
            <w:tcMar>
              <w:top w:w="60" w:type="dxa"/>
              <w:start w:w="80" w:type="dxa"/>
              <w:bottom w:w="60" w:type="dxa"/>
              <w:end w:w="80" w:type="dxa"/>
            </w:tcMar>
            <w:vAlign w:val="center"/>
          </w:tcPr>
          <w:p>
            <w:r>
              <w:rPr>
                <w:sz w:val="16"/>
              </w:rPr>
              <w:t>Must</w:t>
            </w:r>
          </w:p>
        </w:tc>
        <w:tc>
          <w:tcPr>
            <w:tcW w:type="dxa" w:w="3168"/>
            <w:tcMar>
              <w:top w:w="60" w:type="dxa"/>
              <w:start w:w="80" w:type="dxa"/>
              <w:bottom w:w="60" w:type="dxa"/>
              <w:end w:w="80" w:type="dxa"/>
            </w:tcMar>
            <w:vAlign w:val="center"/>
          </w:tcPr>
          <w:p>
            <w:r>
              <w:rPr>
                <w:sz w:val="16"/>
              </w:rPr>
              <w:t>Dashboard/report reconciles these populations.</w:t>
            </w:r>
          </w:p>
        </w:tc>
      </w:tr>
      <w:tr>
        <w:tc>
          <w:tcPr>
            <w:tcW w:type="dxa" w:w="1008"/>
            <w:tcMar>
              <w:top w:w="60" w:type="dxa"/>
              <w:start w:w="80" w:type="dxa"/>
              <w:bottom w:w="60" w:type="dxa"/>
              <w:end w:w="80" w:type="dxa"/>
            </w:tcMar>
            <w:vAlign w:val="center"/>
            <w:shd w:fill="F3F6FA"/>
          </w:tcPr>
          <w:p>
            <w:r>
              <w:rPr>
                <w:sz w:val="16"/>
              </w:rPr>
              <w:t>MI-002</w:t>
            </w:r>
          </w:p>
        </w:tc>
        <w:tc>
          <w:tcPr>
            <w:tcW w:type="dxa" w:w="5328"/>
            <w:tcMar>
              <w:top w:w="60" w:type="dxa"/>
              <w:start w:w="80" w:type="dxa"/>
              <w:bottom w:w="60" w:type="dxa"/>
              <w:end w:w="80" w:type="dxa"/>
            </w:tcMar>
            <w:vAlign w:val="center"/>
            <w:shd w:fill="F3F6FA"/>
          </w:tcPr>
          <w:p>
            <w:r>
              <w:rPr>
                <w:sz w:val="16"/>
              </w:rPr>
              <w:t>Backend model calls, cache hits/misses, retry/error counts and processing elapsed time.</w:t>
            </w:r>
          </w:p>
        </w:tc>
        <w:tc>
          <w:tcPr>
            <w:tcW w:type="dxa" w:w="1008"/>
            <w:tcMar>
              <w:top w:w="60" w:type="dxa"/>
              <w:start w:w="80" w:type="dxa"/>
              <w:bottom w:w="60" w:type="dxa"/>
              <w:end w:w="80" w:type="dxa"/>
            </w:tcMar>
            <w:vAlign w:val="center"/>
            <w:shd w:fill="F3F6FA"/>
          </w:tcPr>
          <w:p>
            <w:r>
              <w:rPr>
                <w:sz w:val="16"/>
              </w:rPr>
              <w:t>Must</w:t>
            </w:r>
          </w:p>
        </w:tc>
        <w:tc>
          <w:tcPr>
            <w:tcW w:type="dxa" w:w="3168"/>
            <w:tcMar>
              <w:top w:w="60" w:type="dxa"/>
              <w:start w:w="80" w:type="dxa"/>
              <w:bottom w:w="60" w:type="dxa"/>
              <w:end w:w="80" w:type="dxa"/>
            </w:tcMar>
            <w:vAlign w:val="center"/>
            <w:shd w:fill="F3F6FA"/>
          </w:tcPr>
          <w:p>
            <w:r>
              <w:rPr>
                <w:sz w:val="16"/>
              </w:rPr>
              <w:t>Run metrics capture operational efficiency.</w:t>
            </w:r>
          </w:p>
        </w:tc>
      </w:tr>
      <w:tr>
        <w:tc>
          <w:tcPr>
            <w:tcW w:type="dxa" w:w="1008"/>
            <w:tcMar>
              <w:top w:w="60" w:type="dxa"/>
              <w:start w:w="80" w:type="dxa"/>
              <w:bottom w:w="60" w:type="dxa"/>
              <w:end w:w="80" w:type="dxa"/>
            </w:tcMar>
            <w:vAlign w:val="center"/>
          </w:tcPr>
          <w:p>
            <w:r>
              <w:rPr>
                <w:sz w:val="16"/>
              </w:rPr>
              <w:t>MI-003</w:t>
            </w:r>
          </w:p>
        </w:tc>
        <w:tc>
          <w:tcPr>
            <w:tcW w:type="dxa" w:w="5328"/>
            <w:tcMar>
              <w:top w:w="60" w:type="dxa"/>
              <w:start w:w="80" w:type="dxa"/>
              <w:bottom w:w="60" w:type="dxa"/>
              <w:end w:w="80" w:type="dxa"/>
            </w:tcMar>
            <w:vAlign w:val="center"/>
          </w:tcPr>
          <w:p>
            <w:r>
              <w:rPr>
                <w:sz w:val="16"/>
              </w:rPr>
              <w:t>Composite-score distribution over configured score bands, excluding null-skipped groups from the denominator.</w:t>
            </w:r>
          </w:p>
        </w:tc>
        <w:tc>
          <w:tcPr>
            <w:tcW w:type="dxa" w:w="1008"/>
            <w:tcMar>
              <w:top w:w="60" w:type="dxa"/>
              <w:start w:w="80" w:type="dxa"/>
              <w:bottom w:w="60" w:type="dxa"/>
              <w:end w:w="80" w:type="dxa"/>
            </w:tcMar>
            <w:vAlign w:val="center"/>
          </w:tcPr>
          <w:p>
            <w:r>
              <w:rPr>
                <w:sz w:val="16"/>
              </w:rPr>
              <w:t>Must</w:t>
            </w:r>
          </w:p>
        </w:tc>
        <w:tc>
          <w:tcPr>
            <w:tcW w:type="dxa" w:w="3168"/>
            <w:tcMar>
              <w:top w:w="60" w:type="dxa"/>
              <w:start w:w="80" w:type="dxa"/>
              <w:bottom w:w="60" w:type="dxa"/>
              <w:end w:w="80" w:type="dxa"/>
            </w:tcMar>
            <w:vAlign w:val="center"/>
          </w:tcPr>
          <w:p>
            <w:r>
              <w:rPr>
                <w:sz w:val="16"/>
              </w:rPr>
              <w:t>Distribution totals reconcile to non-empty instances.</w:t>
            </w:r>
          </w:p>
        </w:tc>
      </w:tr>
      <w:tr>
        <w:tc>
          <w:tcPr>
            <w:tcW w:type="dxa" w:w="1008"/>
            <w:tcMar>
              <w:top w:w="60" w:type="dxa"/>
              <w:start w:w="80" w:type="dxa"/>
              <w:bottom w:w="60" w:type="dxa"/>
              <w:end w:w="80" w:type="dxa"/>
            </w:tcMar>
            <w:vAlign w:val="center"/>
            <w:shd w:fill="F3F6FA"/>
          </w:tcPr>
          <w:p>
            <w:r>
              <w:rPr>
                <w:sz w:val="16"/>
              </w:rPr>
              <w:t>MI-004</w:t>
            </w:r>
          </w:p>
        </w:tc>
        <w:tc>
          <w:tcPr>
            <w:tcW w:type="dxa" w:w="5328"/>
            <w:tcMar>
              <w:top w:w="60" w:type="dxa"/>
              <w:start w:w="80" w:type="dxa"/>
              <w:bottom w:w="60" w:type="dxa"/>
              <w:end w:w="80" w:type="dxa"/>
            </w:tcMar>
            <w:vAlign w:val="center"/>
            <w:shd w:fill="F3F6FA"/>
          </w:tcPr>
          <w:p>
            <w:r>
              <w:rPr>
                <w:sz w:val="16"/>
              </w:rPr>
              <w:t>HITL threshold sensitivity showing auto-accept candidates and HITL volume at multiple thresholds.</w:t>
            </w:r>
          </w:p>
        </w:tc>
        <w:tc>
          <w:tcPr>
            <w:tcW w:type="dxa" w:w="1008"/>
            <w:tcMar>
              <w:top w:w="60" w:type="dxa"/>
              <w:start w:w="80" w:type="dxa"/>
              <w:bottom w:w="60" w:type="dxa"/>
              <w:end w:w="80" w:type="dxa"/>
            </w:tcMar>
            <w:vAlign w:val="center"/>
            <w:shd w:fill="F3F6FA"/>
          </w:tcPr>
          <w:p>
            <w:r>
              <w:rPr>
                <w:sz w:val="16"/>
              </w:rPr>
              <w:t>Must</w:t>
            </w:r>
          </w:p>
        </w:tc>
        <w:tc>
          <w:tcPr>
            <w:tcW w:type="dxa" w:w="3168"/>
            <w:tcMar>
              <w:top w:w="60" w:type="dxa"/>
              <w:start w:w="80" w:type="dxa"/>
              <w:bottom w:w="60" w:type="dxa"/>
              <w:end w:w="80" w:type="dxa"/>
            </w:tcMar>
            <w:vAlign w:val="center"/>
            <w:shd w:fill="F3F6FA"/>
          </w:tcPr>
          <w:p>
            <w:r>
              <w:rPr>
                <w:sz w:val="16"/>
              </w:rPr>
              <w:t>At minimum evaluate 0.80, 0.85, 0.90, 0.95 or enterprise-configured candidates.</w:t>
            </w:r>
          </w:p>
        </w:tc>
      </w:tr>
      <w:tr>
        <w:tc>
          <w:tcPr>
            <w:tcW w:type="dxa" w:w="1008"/>
            <w:tcMar>
              <w:top w:w="60" w:type="dxa"/>
              <w:start w:w="80" w:type="dxa"/>
              <w:bottom w:w="60" w:type="dxa"/>
              <w:end w:w="80" w:type="dxa"/>
            </w:tcMar>
            <w:vAlign w:val="center"/>
          </w:tcPr>
          <w:p>
            <w:r>
              <w:rPr>
                <w:sz w:val="16"/>
              </w:rPr>
              <w:t>MI-005</w:t>
            </w:r>
          </w:p>
        </w:tc>
        <w:tc>
          <w:tcPr>
            <w:tcW w:type="dxa" w:w="5328"/>
            <w:tcMar>
              <w:top w:w="60" w:type="dxa"/>
              <w:start w:w="80" w:type="dxa"/>
              <w:bottom w:w="60" w:type="dxa"/>
              <w:end w:w="80" w:type="dxa"/>
            </w:tcMar>
            <w:vAlign w:val="center"/>
          </w:tcPr>
          <w:p>
            <w:r>
              <w:rPr>
                <w:sz w:val="16"/>
              </w:rPr>
              <w:t>Scenario distribution and forced-review counts for ambiguity, reference conflict and processing errors.</w:t>
            </w:r>
          </w:p>
        </w:tc>
        <w:tc>
          <w:tcPr>
            <w:tcW w:type="dxa" w:w="1008"/>
            <w:tcMar>
              <w:top w:w="60" w:type="dxa"/>
              <w:start w:w="80" w:type="dxa"/>
              <w:bottom w:w="60" w:type="dxa"/>
              <w:end w:w="80" w:type="dxa"/>
            </w:tcMar>
            <w:vAlign w:val="center"/>
          </w:tcPr>
          <w:p>
            <w:r>
              <w:rPr>
                <w:sz w:val="16"/>
              </w:rPr>
              <w:t>Must</w:t>
            </w:r>
          </w:p>
        </w:tc>
        <w:tc>
          <w:tcPr>
            <w:tcW w:type="dxa" w:w="3168"/>
            <w:tcMar>
              <w:top w:w="60" w:type="dxa"/>
              <w:start w:w="80" w:type="dxa"/>
              <w:bottom w:w="60" w:type="dxa"/>
              <w:end w:w="80" w:type="dxa"/>
            </w:tcMar>
            <w:vAlign w:val="center"/>
          </w:tcPr>
          <w:p>
            <w:r>
              <w:rPr>
                <w:sz w:val="16"/>
              </w:rPr>
              <w:t>Counts available by run/batch and time period.</w:t>
            </w:r>
          </w:p>
        </w:tc>
      </w:tr>
      <w:tr>
        <w:tc>
          <w:tcPr>
            <w:tcW w:type="dxa" w:w="1008"/>
            <w:tcMar>
              <w:top w:w="60" w:type="dxa"/>
              <w:start w:w="80" w:type="dxa"/>
              <w:bottom w:w="60" w:type="dxa"/>
              <w:end w:w="80" w:type="dxa"/>
            </w:tcMar>
            <w:vAlign w:val="center"/>
            <w:shd w:fill="F3F6FA"/>
          </w:tcPr>
          <w:p>
            <w:r>
              <w:rPr>
                <w:sz w:val="16"/>
              </w:rPr>
              <w:t>MI-006</w:t>
            </w:r>
          </w:p>
        </w:tc>
        <w:tc>
          <w:tcPr>
            <w:tcW w:type="dxa" w:w="5328"/>
            <w:tcMar>
              <w:top w:w="60" w:type="dxa"/>
              <w:start w:w="80" w:type="dxa"/>
              <w:bottom w:w="60" w:type="dxa"/>
              <w:end w:w="80" w:type="dxa"/>
            </w:tcMar>
            <w:vAlign w:val="center"/>
            <w:shd w:fill="F3F6FA"/>
          </w:tcPr>
          <w:p>
            <w:r>
              <w:rPr>
                <w:sz w:val="16"/>
              </w:rPr>
              <w:t>Cross-entropy summary on grounded observations only: grounded count, excluded count, mean, median, P95 and correctness rates.</w:t>
            </w:r>
          </w:p>
        </w:tc>
        <w:tc>
          <w:tcPr>
            <w:tcW w:type="dxa" w:w="1008"/>
            <w:tcMar>
              <w:top w:w="60" w:type="dxa"/>
              <w:start w:w="80" w:type="dxa"/>
              <w:bottom w:w="60" w:type="dxa"/>
              <w:end w:w="80" w:type="dxa"/>
            </w:tcMar>
            <w:vAlign w:val="center"/>
            <w:shd w:fill="F3F6FA"/>
          </w:tcPr>
          <w:p>
            <w:r>
              <w:rPr>
                <w:sz w:val="16"/>
              </w:rPr>
              <w:t>Should</w:t>
            </w:r>
          </w:p>
        </w:tc>
        <w:tc>
          <w:tcPr>
            <w:tcW w:type="dxa" w:w="3168"/>
            <w:tcMar>
              <w:top w:w="60" w:type="dxa"/>
              <w:start w:w="80" w:type="dxa"/>
              <w:bottom w:w="60" w:type="dxa"/>
              <w:end w:w="80" w:type="dxa"/>
            </w:tcMar>
            <w:vAlign w:val="center"/>
            <w:shd w:fill="F3F6FA"/>
          </w:tcPr>
          <w:p>
            <w:r>
              <w:rPr>
                <w:sz w:val="16"/>
              </w:rPr>
              <w:t>Coverage denominator is explicit.</w:t>
            </w:r>
          </w:p>
        </w:tc>
      </w:tr>
      <w:tr>
        <w:tc>
          <w:tcPr>
            <w:tcW w:type="dxa" w:w="1008"/>
            <w:tcMar>
              <w:top w:w="60" w:type="dxa"/>
              <w:start w:w="80" w:type="dxa"/>
              <w:bottom w:w="60" w:type="dxa"/>
              <w:end w:w="80" w:type="dxa"/>
            </w:tcMar>
            <w:vAlign w:val="center"/>
          </w:tcPr>
          <w:p>
            <w:r>
              <w:rPr>
                <w:sz w:val="16"/>
              </w:rPr>
              <w:t>MI-007</w:t>
            </w:r>
          </w:p>
        </w:tc>
        <w:tc>
          <w:tcPr>
            <w:tcW w:type="dxa" w:w="5328"/>
            <w:tcMar>
              <w:top w:w="60" w:type="dxa"/>
              <w:start w:w="80" w:type="dxa"/>
              <w:bottom w:w="60" w:type="dxa"/>
              <w:end w:w="80" w:type="dxa"/>
            </w:tcMar>
            <w:vAlign w:val="center"/>
          </w:tcPr>
          <w:p>
            <w:r>
              <w:rPr>
                <w:sz w:val="16"/>
              </w:rPr>
              <w:t>HITL workload, aging, human override rate and human correction patterns.</w:t>
            </w:r>
          </w:p>
        </w:tc>
        <w:tc>
          <w:tcPr>
            <w:tcW w:type="dxa" w:w="1008"/>
            <w:tcMar>
              <w:top w:w="60" w:type="dxa"/>
              <w:start w:w="80" w:type="dxa"/>
              <w:bottom w:w="60" w:type="dxa"/>
              <w:end w:w="80" w:type="dxa"/>
            </w:tcMar>
            <w:vAlign w:val="center"/>
          </w:tcPr>
          <w:p>
            <w:r>
              <w:rPr>
                <w:sz w:val="16"/>
              </w:rPr>
              <w:t>Should</w:t>
            </w:r>
          </w:p>
        </w:tc>
        <w:tc>
          <w:tcPr>
            <w:tcW w:type="dxa" w:w="3168"/>
            <w:tcMar>
              <w:top w:w="60" w:type="dxa"/>
              <w:start w:w="80" w:type="dxa"/>
              <w:bottom w:w="60" w:type="dxa"/>
              <w:end w:w="80" w:type="dxa"/>
            </w:tcMar>
            <w:vAlign w:val="center"/>
          </w:tcPr>
          <w:p>
            <w:r>
              <w:rPr>
                <w:sz w:val="16"/>
              </w:rPr>
              <w:t>Operational reporting supports staffing and feedback analysis.</w:t>
            </w:r>
          </w:p>
        </w:tc>
      </w:tr>
    </w:tbl>
    <w:p>
      <w:pPr>
        <w:pStyle w:val="Heading1"/>
      </w:pPr>
      <w:r>
        <w:t>13. Non-Functional, Security and Control Requirements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008"/>
            <w:tcMar>
              <w:top w:w="60" w:type="dxa"/>
              <w:start w:w="80" w:type="dxa"/>
              <w:bottom w:w="60" w:type="dxa"/>
              <w:end w:w="80" w:type="dxa"/>
            </w:tcMar>
            <w:vAlign w:val="center"/>
            <w:shd w:fill="17365D"/>
          </w:tcPr>
          <w:p>
            <w:r>
              <w:rPr>
                <w:b/>
                <w:color w:val="FFFFFF"/>
                <w:sz w:val="16"/>
              </w:rPr>
              <w:t>ID</w:t>
            </w:r>
          </w:p>
        </w:tc>
        <w:tc>
          <w:tcPr>
            <w:tcW w:type="dxa" w:w="5328"/>
            <w:tcMar>
              <w:top w:w="60" w:type="dxa"/>
              <w:start w:w="80" w:type="dxa"/>
              <w:bottom w:w="60" w:type="dxa"/>
              <w:end w:w="80" w:type="dxa"/>
            </w:tcMar>
            <w:vAlign w:val="center"/>
            <w:shd w:fill="17365D"/>
          </w:tcPr>
          <w:p>
            <w:r>
              <w:rPr>
                <w:b/>
                <w:color w:val="FFFFFF"/>
                <w:sz w:val="16"/>
              </w:rPr>
              <w:t>Business / Functional Requirement</w:t>
            </w:r>
          </w:p>
        </w:tc>
        <w:tc>
          <w:tcPr>
            <w:tcW w:type="dxa" w:w="1008"/>
            <w:tcMar>
              <w:top w:w="60" w:type="dxa"/>
              <w:start w:w="80" w:type="dxa"/>
              <w:bottom w:w="60" w:type="dxa"/>
              <w:end w:w="80" w:type="dxa"/>
            </w:tcMar>
            <w:vAlign w:val="center"/>
            <w:shd w:fill="17365D"/>
          </w:tcPr>
          <w:p>
            <w:r>
              <w:rPr>
                <w:b/>
                <w:color w:val="FFFFFF"/>
                <w:sz w:val="16"/>
              </w:rPr>
              <w:t>Priority</w:t>
            </w:r>
          </w:p>
        </w:tc>
        <w:tc>
          <w:tcPr>
            <w:tcW w:type="dxa" w:w="3168"/>
            <w:tcMar>
              <w:top w:w="60" w:type="dxa"/>
              <w:start w:w="80" w:type="dxa"/>
              <w:bottom w:w="60" w:type="dxa"/>
              <w:end w:w="80" w:type="dxa"/>
            </w:tcMar>
            <w:vAlign w:val="center"/>
            <w:shd w:fill="17365D"/>
          </w:tcPr>
          <w:p>
            <w:r>
              <w:rPr>
                <w:b/>
                <w:color w:val="FFFFFF"/>
                <w:sz w:val="16"/>
              </w:rPr>
              <w:t>Acceptance / Verification</w:t>
            </w:r>
          </w:p>
        </w:tc>
      </w:tr>
      <w:tr>
        <w:tc>
          <w:tcPr>
            <w:tcW w:type="dxa" w:w="1008"/>
            <w:tcMar>
              <w:top w:w="60" w:type="dxa"/>
              <w:start w:w="80" w:type="dxa"/>
              <w:bottom w:w="60" w:type="dxa"/>
              <w:end w:w="80" w:type="dxa"/>
            </w:tcMar>
            <w:vAlign w:val="center"/>
          </w:tcPr>
          <w:p>
            <w:r>
              <w:rPr>
                <w:sz w:val="16"/>
              </w:rPr>
              <w:t>NFR-001</w:t>
            </w:r>
          </w:p>
        </w:tc>
        <w:tc>
          <w:tcPr>
            <w:tcW w:type="dxa" w:w="5328"/>
            <w:tcMar>
              <w:top w:w="60" w:type="dxa"/>
              <w:start w:w="80" w:type="dxa"/>
              <w:bottom w:w="60" w:type="dxa"/>
              <w:end w:w="80" w:type="dxa"/>
            </w:tcMar>
            <w:vAlign w:val="center"/>
          </w:tcPr>
          <w:p>
            <w:r>
              <w:rPr>
                <w:sz w:val="16"/>
              </w:rPr>
              <w:t>Raw customer/payment address data shall not be written to general INFO logs by default; operational logs should use hashes/correlation IDs.</w:t>
            </w:r>
          </w:p>
        </w:tc>
        <w:tc>
          <w:tcPr>
            <w:tcW w:type="dxa" w:w="1008"/>
            <w:tcMar>
              <w:top w:w="60" w:type="dxa"/>
              <w:start w:w="80" w:type="dxa"/>
              <w:bottom w:w="60" w:type="dxa"/>
              <w:end w:w="80" w:type="dxa"/>
            </w:tcMar>
            <w:vAlign w:val="center"/>
          </w:tcPr>
          <w:p>
            <w:r>
              <w:rPr>
                <w:sz w:val="16"/>
              </w:rPr>
              <w:t>Must</w:t>
            </w:r>
          </w:p>
        </w:tc>
        <w:tc>
          <w:tcPr>
            <w:tcW w:type="dxa" w:w="3168"/>
            <w:tcMar>
              <w:top w:w="60" w:type="dxa"/>
              <w:start w:w="80" w:type="dxa"/>
              <w:bottom w:w="60" w:type="dxa"/>
              <w:end w:w="80" w:type="dxa"/>
            </w:tcMar>
            <w:vAlign w:val="center"/>
          </w:tcPr>
          <w:p>
            <w:r>
              <w:rPr>
                <w:sz w:val="16"/>
              </w:rPr>
              <w:t>Log review confirms no raw-address leakage.</w:t>
            </w:r>
          </w:p>
        </w:tc>
      </w:tr>
      <w:tr>
        <w:tc>
          <w:tcPr>
            <w:tcW w:type="dxa" w:w="1008"/>
            <w:tcMar>
              <w:top w:w="60" w:type="dxa"/>
              <w:start w:w="80" w:type="dxa"/>
              <w:bottom w:w="60" w:type="dxa"/>
              <w:end w:w="80" w:type="dxa"/>
            </w:tcMar>
            <w:vAlign w:val="center"/>
            <w:shd w:fill="F3F6FA"/>
          </w:tcPr>
          <w:p>
            <w:r>
              <w:rPr>
                <w:sz w:val="16"/>
              </w:rPr>
              <w:t>NFR-002</w:t>
            </w:r>
          </w:p>
        </w:tc>
        <w:tc>
          <w:tcPr>
            <w:tcW w:type="dxa" w:w="5328"/>
            <w:tcMar>
              <w:top w:w="60" w:type="dxa"/>
              <w:start w:w="80" w:type="dxa"/>
              <w:bottom w:w="60" w:type="dxa"/>
              <w:end w:w="80" w:type="dxa"/>
            </w:tcMar>
            <w:vAlign w:val="center"/>
            <w:shd w:fill="F3F6FA"/>
          </w:tcPr>
          <w:p>
            <w:r>
              <w:rPr>
                <w:sz w:val="16"/>
              </w:rPr>
              <w:t>Secrets and model credentials shall be supplied through enterprise secret-management mechanisms/environment injection, never committed configuration.</w:t>
            </w:r>
          </w:p>
        </w:tc>
        <w:tc>
          <w:tcPr>
            <w:tcW w:type="dxa" w:w="1008"/>
            <w:tcMar>
              <w:top w:w="60" w:type="dxa"/>
              <w:start w:w="80" w:type="dxa"/>
              <w:bottom w:w="60" w:type="dxa"/>
              <w:end w:w="80" w:type="dxa"/>
            </w:tcMar>
            <w:vAlign w:val="center"/>
            <w:shd w:fill="F3F6FA"/>
          </w:tcPr>
          <w:p>
            <w:r>
              <w:rPr>
                <w:sz w:val="16"/>
              </w:rPr>
              <w:t>Must</w:t>
            </w:r>
          </w:p>
        </w:tc>
        <w:tc>
          <w:tcPr>
            <w:tcW w:type="dxa" w:w="3168"/>
            <w:tcMar>
              <w:top w:w="60" w:type="dxa"/>
              <w:start w:w="80" w:type="dxa"/>
              <w:bottom w:w="60" w:type="dxa"/>
              <w:end w:w="80" w:type="dxa"/>
            </w:tcMar>
            <w:vAlign w:val="center"/>
            <w:shd w:fill="F3F6FA"/>
          </w:tcPr>
          <w:p>
            <w:r>
              <w:rPr>
                <w:sz w:val="16"/>
              </w:rPr>
              <w:t>Static scan and deployment review.</w:t>
            </w:r>
          </w:p>
        </w:tc>
      </w:tr>
      <w:tr>
        <w:tc>
          <w:tcPr>
            <w:tcW w:type="dxa" w:w="1008"/>
            <w:tcMar>
              <w:top w:w="60" w:type="dxa"/>
              <w:start w:w="80" w:type="dxa"/>
              <w:bottom w:w="60" w:type="dxa"/>
              <w:end w:w="80" w:type="dxa"/>
            </w:tcMar>
            <w:vAlign w:val="center"/>
          </w:tcPr>
          <w:p>
            <w:r>
              <w:rPr>
                <w:sz w:val="16"/>
              </w:rPr>
              <w:t>NFR-003</w:t>
            </w:r>
          </w:p>
        </w:tc>
        <w:tc>
          <w:tcPr>
            <w:tcW w:type="dxa" w:w="5328"/>
            <w:tcMar>
              <w:top w:w="60" w:type="dxa"/>
              <w:start w:w="80" w:type="dxa"/>
              <w:bottom w:w="60" w:type="dxa"/>
              <w:end w:w="80" w:type="dxa"/>
            </w:tcMar>
            <w:vAlign w:val="center"/>
          </w:tcPr>
          <w:p>
            <w:r>
              <w:rPr>
                <w:sz w:val="16"/>
              </w:rPr>
              <w:t>Public web-search grounding shall be disabled for regulated/customer address data unless explicitly approved by data governance.</w:t>
            </w:r>
          </w:p>
        </w:tc>
        <w:tc>
          <w:tcPr>
            <w:tcW w:type="dxa" w:w="1008"/>
            <w:tcMar>
              <w:top w:w="60" w:type="dxa"/>
              <w:start w:w="80" w:type="dxa"/>
              <w:bottom w:w="60" w:type="dxa"/>
              <w:end w:w="80" w:type="dxa"/>
            </w:tcMar>
            <w:vAlign w:val="center"/>
          </w:tcPr>
          <w:p>
            <w:r>
              <w:rPr>
                <w:sz w:val="16"/>
              </w:rPr>
              <w:t>Must</w:t>
            </w:r>
          </w:p>
        </w:tc>
        <w:tc>
          <w:tcPr>
            <w:tcW w:type="dxa" w:w="3168"/>
            <w:tcMar>
              <w:top w:w="60" w:type="dxa"/>
              <w:start w:w="80" w:type="dxa"/>
              <w:bottom w:w="60" w:type="dxa"/>
              <w:end w:w="80" w:type="dxa"/>
            </w:tcMar>
            <w:vAlign w:val="center"/>
          </w:tcPr>
          <w:p>
            <w:r>
              <w:rPr>
                <w:sz w:val="16"/>
              </w:rPr>
              <w:t>Runtime config and policy check.</w:t>
            </w:r>
          </w:p>
        </w:tc>
      </w:tr>
      <w:tr>
        <w:tc>
          <w:tcPr>
            <w:tcW w:type="dxa" w:w="1008"/>
            <w:tcMar>
              <w:top w:w="60" w:type="dxa"/>
              <w:start w:w="80" w:type="dxa"/>
              <w:bottom w:w="60" w:type="dxa"/>
              <w:end w:w="80" w:type="dxa"/>
            </w:tcMar>
            <w:vAlign w:val="center"/>
            <w:shd w:fill="F3F6FA"/>
          </w:tcPr>
          <w:p>
            <w:r>
              <w:rPr>
                <w:sz w:val="16"/>
              </w:rPr>
              <w:t>NFR-004</w:t>
            </w:r>
          </w:p>
        </w:tc>
        <w:tc>
          <w:tcPr>
            <w:tcW w:type="dxa" w:w="5328"/>
            <w:tcMar>
              <w:top w:w="60" w:type="dxa"/>
              <w:start w:w="80" w:type="dxa"/>
              <w:bottom w:w="60" w:type="dxa"/>
              <w:end w:w="80" w:type="dxa"/>
            </w:tcMar>
            <w:vAlign w:val="center"/>
            <w:shd w:fill="F3F6FA"/>
          </w:tcPr>
          <w:p>
            <w:r>
              <w:rPr>
                <w:sz w:val="16"/>
              </w:rPr>
              <w:t>Reference-data provenance, model version and prompt version shall be captured for every run.</w:t>
            </w:r>
          </w:p>
        </w:tc>
        <w:tc>
          <w:tcPr>
            <w:tcW w:type="dxa" w:w="1008"/>
            <w:tcMar>
              <w:top w:w="60" w:type="dxa"/>
              <w:start w:w="80" w:type="dxa"/>
              <w:bottom w:w="60" w:type="dxa"/>
              <w:end w:w="80" w:type="dxa"/>
            </w:tcMar>
            <w:vAlign w:val="center"/>
            <w:shd w:fill="F3F6FA"/>
          </w:tcPr>
          <w:p>
            <w:r>
              <w:rPr>
                <w:sz w:val="16"/>
              </w:rPr>
              <w:t>Must</w:t>
            </w:r>
          </w:p>
        </w:tc>
        <w:tc>
          <w:tcPr>
            <w:tcW w:type="dxa" w:w="3168"/>
            <w:tcMar>
              <w:top w:w="60" w:type="dxa"/>
              <w:start w:w="80" w:type="dxa"/>
              <w:bottom w:w="60" w:type="dxa"/>
              <w:end w:w="80" w:type="dxa"/>
            </w:tcMar>
            <w:vAlign w:val="center"/>
            <w:shd w:fill="F3F6FA"/>
          </w:tcPr>
          <w:p>
            <w:r>
              <w:rPr>
                <w:sz w:val="16"/>
              </w:rPr>
              <w:t>Audit can reproduce processing context.</w:t>
            </w:r>
          </w:p>
        </w:tc>
      </w:tr>
      <w:tr>
        <w:tc>
          <w:tcPr>
            <w:tcW w:type="dxa" w:w="1008"/>
            <w:tcMar>
              <w:top w:w="60" w:type="dxa"/>
              <w:start w:w="80" w:type="dxa"/>
              <w:bottom w:w="60" w:type="dxa"/>
              <w:end w:w="80" w:type="dxa"/>
            </w:tcMar>
            <w:vAlign w:val="center"/>
          </w:tcPr>
          <w:p>
            <w:r>
              <w:rPr>
                <w:sz w:val="16"/>
              </w:rPr>
              <w:t>NFR-005</w:t>
            </w:r>
          </w:p>
        </w:tc>
        <w:tc>
          <w:tcPr>
            <w:tcW w:type="dxa" w:w="5328"/>
            <w:tcMar>
              <w:top w:w="60" w:type="dxa"/>
              <w:start w:w="80" w:type="dxa"/>
              <w:bottom w:w="60" w:type="dxa"/>
              <w:end w:w="80" w:type="dxa"/>
            </w:tcMar>
            <w:vAlign w:val="center"/>
          </w:tcPr>
          <w:p>
            <w:r>
              <w:rPr>
                <w:sz w:val="16"/>
              </w:rPr>
              <w:t>Transient failures shall use bounded retry/backoff; malformed responses shall fail validation rather than silently becoming business results.</w:t>
            </w:r>
          </w:p>
        </w:tc>
        <w:tc>
          <w:tcPr>
            <w:tcW w:type="dxa" w:w="1008"/>
            <w:tcMar>
              <w:top w:w="60" w:type="dxa"/>
              <w:start w:w="80" w:type="dxa"/>
              <w:bottom w:w="60" w:type="dxa"/>
              <w:end w:w="80" w:type="dxa"/>
            </w:tcMar>
            <w:vAlign w:val="center"/>
          </w:tcPr>
          <w:p>
            <w:r>
              <w:rPr>
                <w:sz w:val="16"/>
              </w:rPr>
              <w:t>Must</w:t>
            </w:r>
          </w:p>
        </w:tc>
        <w:tc>
          <w:tcPr>
            <w:tcW w:type="dxa" w:w="3168"/>
            <w:tcMar>
              <w:top w:w="60" w:type="dxa"/>
              <w:start w:w="80" w:type="dxa"/>
              <w:bottom w:w="60" w:type="dxa"/>
              <w:end w:w="80" w:type="dxa"/>
            </w:tcMar>
            <w:vAlign w:val="center"/>
          </w:tcPr>
          <w:p>
            <w:r>
              <w:rPr>
                <w:sz w:val="16"/>
              </w:rPr>
              <w:t>Fault-injection tests.</w:t>
            </w:r>
          </w:p>
        </w:tc>
      </w:tr>
      <w:tr>
        <w:tc>
          <w:tcPr>
            <w:tcW w:type="dxa" w:w="1008"/>
            <w:tcMar>
              <w:top w:w="60" w:type="dxa"/>
              <w:start w:w="80" w:type="dxa"/>
              <w:bottom w:w="60" w:type="dxa"/>
              <w:end w:w="80" w:type="dxa"/>
            </w:tcMar>
            <w:vAlign w:val="center"/>
            <w:shd w:fill="F3F6FA"/>
          </w:tcPr>
          <w:p>
            <w:r>
              <w:rPr>
                <w:sz w:val="16"/>
              </w:rPr>
              <w:t>NFR-006</w:t>
            </w:r>
          </w:p>
        </w:tc>
        <w:tc>
          <w:tcPr>
            <w:tcW w:type="dxa" w:w="5328"/>
            <w:tcMar>
              <w:top w:w="60" w:type="dxa"/>
              <w:start w:w="80" w:type="dxa"/>
              <w:bottom w:w="60" w:type="dxa"/>
              <w:end w:w="80" w:type="dxa"/>
            </w:tcMar>
            <w:vAlign w:val="center"/>
            <w:shd w:fill="F3F6FA"/>
          </w:tcPr>
          <w:p>
            <w:r>
              <w:rPr>
                <w:sz w:val="16"/>
              </w:rPr>
              <w:t>Processing shall support replay/idempotency using stable record/event IDs and deterministic cache keys.</w:t>
            </w:r>
          </w:p>
        </w:tc>
        <w:tc>
          <w:tcPr>
            <w:tcW w:type="dxa" w:w="1008"/>
            <w:tcMar>
              <w:top w:w="60" w:type="dxa"/>
              <w:start w:w="80" w:type="dxa"/>
              <w:bottom w:w="60" w:type="dxa"/>
              <w:end w:w="80" w:type="dxa"/>
            </w:tcMar>
            <w:vAlign w:val="center"/>
            <w:shd w:fill="F3F6FA"/>
          </w:tcPr>
          <w:p>
            <w:r>
              <w:rPr>
                <w:sz w:val="16"/>
              </w:rPr>
              <w:t>Must</w:t>
            </w:r>
          </w:p>
        </w:tc>
        <w:tc>
          <w:tcPr>
            <w:tcW w:type="dxa" w:w="3168"/>
            <w:tcMar>
              <w:top w:w="60" w:type="dxa"/>
              <w:start w:w="80" w:type="dxa"/>
              <w:bottom w:w="60" w:type="dxa"/>
              <w:end w:w="80" w:type="dxa"/>
            </w:tcMar>
            <w:vAlign w:val="center"/>
            <w:shd w:fill="F3F6FA"/>
          </w:tcPr>
          <w:p>
            <w:r>
              <w:rPr>
                <w:sz w:val="16"/>
              </w:rPr>
              <w:t>Replay does not create inconsistent duplicate outcomes.</w:t>
            </w:r>
          </w:p>
        </w:tc>
      </w:tr>
      <w:tr>
        <w:tc>
          <w:tcPr>
            <w:tcW w:type="dxa" w:w="1008"/>
            <w:tcMar>
              <w:top w:w="60" w:type="dxa"/>
              <w:start w:w="80" w:type="dxa"/>
              <w:bottom w:w="60" w:type="dxa"/>
              <w:end w:w="80" w:type="dxa"/>
            </w:tcMar>
            <w:vAlign w:val="center"/>
          </w:tcPr>
          <w:p>
            <w:r>
              <w:rPr>
                <w:sz w:val="16"/>
              </w:rPr>
              <w:t>NFR-007</w:t>
            </w:r>
          </w:p>
        </w:tc>
        <w:tc>
          <w:tcPr>
            <w:tcW w:type="dxa" w:w="5328"/>
            <w:tcMar>
              <w:top w:w="60" w:type="dxa"/>
              <w:start w:w="80" w:type="dxa"/>
              <w:bottom w:w="60" w:type="dxa"/>
              <w:end w:w="80" w:type="dxa"/>
            </w:tcMar>
            <w:vAlign w:val="center"/>
          </w:tcPr>
          <w:p>
            <w:r>
              <w:rPr>
                <w:sz w:val="16"/>
              </w:rPr>
              <w:t>Detailed JSON audit shall be encrypted at rest and in transit, access-controlled, and retained according to enterprise records/privacy policy.</w:t>
            </w:r>
          </w:p>
        </w:tc>
        <w:tc>
          <w:tcPr>
            <w:tcW w:type="dxa" w:w="1008"/>
            <w:tcMar>
              <w:top w:w="60" w:type="dxa"/>
              <w:start w:w="80" w:type="dxa"/>
              <w:bottom w:w="60" w:type="dxa"/>
              <w:end w:w="80" w:type="dxa"/>
            </w:tcMar>
            <w:vAlign w:val="center"/>
          </w:tcPr>
          <w:p>
            <w:r>
              <w:rPr>
                <w:sz w:val="16"/>
              </w:rPr>
              <w:t>Must</w:t>
            </w:r>
          </w:p>
        </w:tc>
        <w:tc>
          <w:tcPr>
            <w:tcW w:type="dxa" w:w="3168"/>
            <w:tcMar>
              <w:top w:w="60" w:type="dxa"/>
              <w:start w:w="80" w:type="dxa"/>
              <w:bottom w:w="60" w:type="dxa"/>
              <w:end w:w="80" w:type="dxa"/>
            </w:tcMar>
            <w:vAlign w:val="center"/>
          </w:tcPr>
          <w:p>
            <w:r>
              <w:rPr>
                <w:sz w:val="16"/>
              </w:rPr>
              <w:t>Security architecture approval.</w:t>
            </w:r>
          </w:p>
        </w:tc>
      </w:tr>
      <w:tr>
        <w:tc>
          <w:tcPr>
            <w:tcW w:type="dxa" w:w="1008"/>
            <w:tcMar>
              <w:top w:w="60" w:type="dxa"/>
              <w:start w:w="80" w:type="dxa"/>
              <w:bottom w:w="60" w:type="dxa"/>
              <w:end w:w="80" w:type="dxa"/>
            </w:tcMar>
            <w:vAlign w:val="center"/>
            <w:shd w:fill="F3F6FA"/>
          </w:tcPr>
          <w:p>
            <w:r>
              <w:rPr>
                <w:sz w:val="16"/>
              </w:rPr>
              <w:t>NFR-008</w:t>
            </w:r>
          </w:p>
        </w:tc>
        <w:tc>
          <w:tcPr>
            <w:tcW w:type="dxa" w:w="5328"/>
            <w:tcMar>
              <w:top w:w="60" w:type="dxa"/>
              <w:start w:w="80" w:type="dxa"/>
              <w:bottom w:w="60" w:type="dxa"/>
              <w:end w:w="80" w:type="dxa"/>
            </w:tcMar>
            <w:vAlign w:val="center"/>
            <w:shd w:fill="F3F6FA"/>
          </w:tcPr>
          <w:p>
            <w:r>
              <w:rPr>
                <w:sz w:val="16"/>
              </w:rPr>
              <w:t>The system shall support horizontal scaling for both batch and streaming workloads without changing business scoring semantics.</w:t>
            </w:r>
          </w:p>
        </w:tc>
        <w:tc>
          <w:tcPr>
            <w:tcW w:type="dxa" w:w="1008"/>
            <w:tcMar>
              <w:top w:w="60" w:type="dxa"/>
              <w:start w:w="80" w:type="dxa"/>
              <w:bottom w:w="60" w:type="dxa"/>
              <w:end w:w="80" w:type="dxa"/>
            </w:tcMar>
            <w:vAlign w:val="center"/>
            <w:shd w:fill="F3F6FA"/>
          </w:tcPr>
          <w:p>
            <w:r>
              <w:rPr>
                <w:sz w:val="16"/>
              </w:rPr>
              <w:t>Should</w:t>
            </w:r>
          </w:p>
        </w:tc>
        <w:tc>
          <w:tcPr>
            <w:tcW w:type="dxa" w:w="3168"/>
            <w:tcMar>
              <w:top w:w="60" w:type="dxa"/>
              <w:start w:w="80" w:type="dxa"/>
              <w:bottom w:w="60" w:type="dxa"/>
              <w:end w:w="80" w:type="dxa"/>
            </w:tcMar>
            <w:vAlign w:val="center"/>
            <w:shd w:fill="F3F6FA"/>
          </w:tcPr>
          <w:p>
            <w:r>
              <w:rPr>
                <w:sz w:val="16"/>
              </w:rPr>
              <w:t>Capacity/performance test.</w:t>
            </w:r>
          </w:p>
        </w:tc>
      </w:tr>
      <w:tr>
        <w:tc>
          <w:tcPr>
            <w:tcW w:type="dxa" w:w="1008"/>
            <w:tcMar>
              <w:top w:w="60" w:type="dxa"/>
              <w:start w:w="80" w:type="dxa"/>
              <w:bottom w:w="60" w:type="dxa"/>
              <w:end w:w="80" w:type="dxa"/>
            </w:tcMar>
            <w:vAlign w:val="center"/>
          </w:tcPr>
          <w:p>
            <w:r>
              <w:rPr>
                <w:sz w:val="16"/>
              </w:rPr>
              <w:t>NFR-009</w:t>
            </w:r>
          </w:p>
        </w:tc>
        <w:tc>
          <w:tcPr>
            <w:tcW w:type="dxa" w:w="5328"/>
            <w:tcMar>
              <w:top w:w="60" w:type="dxa"/>
              <w:start w:w="80" w:type="dxa"/>
              <w:bottom w:w="60" w:type="dxa"/>
              <w:end w:w="80" w:type="dxa"/>
            </w:tcMar>
            <w:vAlign w:val="center"/>
          </w:tcPr>
          <w:p>
            <w:r>
              <w:rPr>
                <w:sz w:val="16"/>
              </w:rPr>
              <w:t>Schema and policy changes shall be versioned and backward/forward compatibility rules documented.</w:t>
            </w:r>
          </w:p>
        </w:tc>
        <w:tc>
          <w:tcPr>
            <w:tcW w:type="dxa" w:w="1008"/>
            <w:tcMar>
              <w:top w:w="60" w:type="dxa"/>
              <w:start w:w="80" w:type="dxa"/>
              <w:bottom w:w="60" w:type="dxa"/>
              <w:end w:w="80" w:type="dxa"/>
            </w:tcMar>
            <w:vAlign w:val="center"/>
          </w:tcPr>
          <w:p>
            <w:r>
              <w:rPr>
                <w:sz w:val="16"/>
              </w:rPr>
              <w:t>Must</w:t>
            </w:r>
          </w:p>
        </w:tc>
        <w:tc>
          <w:tcPr>
            <w:tcW w:type="dxa" w:w="3168"/>
            <w:tcMar>
              <w:top w:w="60" w:type="dxa"/>
              <w:start w:w="80" w:type="dxa"/>
              <w:bottom w:w="60" w:type="dxa"/>
              <w:end w:w="80" w:type="dxa"/>
            </w:tcMar>
            <w:vAlign w:val="center"/>
          </w:tcPr>
          <w:p>
            <w:r>
              <w:rPr>
                <w:sz w:val="16"/>
              </w:rPr>
              <w:t>Schema registry/change-management evidence.</w:t>
            </w:r>
          </w:p>
        </w:tc>
      </w:tr>
      <w:tr>
        <w:tc>
          <w:tcPr>
            <w:tcW w:type="dxa" w:w="1008"/>
            <w:tcMar>
              <w:top w:w="60" w:type="dxa"/>
              <w:start w:w="80" w:type="dxa"/>
              <w:bottom w:w="60" w:type="dxa"/>
              <w:end w:w="80" w:type="dxa"/>
            </w:tcMar>
            <w:vAlign w:val="center"/>
            <w:shd w:fill="F3F6FA"/>
          </w:tcPr>
          <w:p>
            <w:r>
              <w:rPr>
                <w:sz w:val="16"/>
              </w:rPr>
              <w:t>NFR-010</w:t>
            </w:r>
          </w:p>
        </w:tc>
        <w:tc>
          <w:tcPr>
            <w:tcW w:type="dxa" w:w="5328"/>
            <w:tcMar>
              <w:top w:w="60" w:type="dxa"/>
              <w:start w:w="80" w:type="dxa"/>
              <w:bottom w:w="60" w:type="dxa"/>
              <w:end w:w="80" w:type="dxa"/>
            </w:tcMar>
            <w:vAlign w:val="center"/>
            <w:shd w:fill="F3F6FA"/>
          </w:tcPr>
          <w:p>
            <w:r>
              <w:rPr>
                <w:sz w:val="16"/>
              </w:rPr>
              <w:t>LLM/model changes shall be evaluated against a stable labeled benchmark before promotion.</w:t>
            </w:r>
          </w:p>
        </w:tc>
        <w:tc>
          <w:tcPr>
            <w:tcW w:type="dxa" w:w="1008"/>
            <w:tcMar>
              <w:top w:w="60" w:type="dxa"/>
              <w:start w:w="80" w:type="dxa"/>
              <w:bottom w:w="60" w:type="dxa"/>
              <w:end w:w="80" w:type="dxa"/>
            </w:tcMar>
            <w:vAlign w:val="center"/>
            <w:shd w:fill="F3F6FA"/>
          </w:tcPr>
          <w:p>
            <w:r>
              <w:rPr>
                <w:sz w:val="16"/>
              </w:rPr>
              <w:t>Must</w:t>
            </w:r>
          </w:p>
        </w:tc>
        <w:tc>
          <w:tcPr>
            <w:tcW w:type="dxa" w:w="3168"/>
            <w:tcMar>
              <w:top w:w="60" w:type="dxa"/>
              <w:start w:w="80" w:type="dxa"/>
              <w:bottom w:w="60" w:type="dxa"/>
              <w:end w:w="80" w:type="dxa"/>
            </w:tcMar>
            <w:vAlign w:val="center"/>
            <w:shd w:fill="F3F6FA"/>
          </w:tcPr>
          <w:p>
            <w:r>
              <w:rPr>
                <w:sz w:val="16"/>
              </w:rPr>
              <w:t>Promotion gate includes regression metrics.</w:t>
            </w:r>
          </w:p>
        </w:tc>
      </w:tr>
    </w:tbl>
    <w:p>
      <w:pPr>
        <w:pStyle w:val="Heading1"/>
      </w:pPr>
      <w:r>
        <w:t>14. Enterprise Target-State Data Ingestion and Interfaces</w:t>
      </w:r>
    </w:p>
    <w:tbl>
      <w:tblPr>
        <w:tblW w:type="auto" w:w="0"/>
        <w:jc w:val="center"/>
        <w:tblLook w:firstColumn="1" w:firstRow="1" w:lastColumn="0" w:lastRow="0" w:noHBand="0" w:noVBand="1" w:val="04A0"/>
      </w:tblPr>
      <w:tblGrid>
        <w:gridCol w:w="10224"/>
      </w:tblGrid>
      <w:tr>
        <w:tc>
          <w:tcPr>
            <w:tcW w:type="dxa" w:w="10224"/>
            <w:shd w:fill="E2F0D9"/>
            <w:tcBorders>
              <w:top w:val="single" w:sz="6" w:color="2F5597"/>
              <w:start w:val="single" w:sz="6" w:color="2F5597"/>
              <w:bottom w:val="single" w:sz="6" w:color="2F5597"/>
              <w:end w:val="single" w:sz="6" w:color="2F5597"/>
            </w:tcBorders>
          </w:tcPr>
          <w:p>
            <w:pPr>
              <w:spacing w:after="40"/>
            </w:pPr>
            <w:r>
              <w:rPr>
                <w:b/>
                <w:color w:val="17365D"/>
              </w:rPr>
              <w:t xml:space="preserve">Target-state recommendation - not claimed as current prototype behavior: </w:t>
            </w:r>
            <w:r>
              <w:rPr>
                <w:sz w:val="18"/>
              </w:rPr>
              <w:t>Move from local CSV as the primary interface to schema-governed event/object ingestion. Support S3 for batch and Kafka for streaming, while keeping the core Town/Country business rules unchanged.</w:t>
            </w:r>
          </w:p>
        </w:tc>
      </w:tr>
    </w:tbl>
    <w:p>
      <w:pPr>
        <w:pStyle w:val="Heading2"/>
      </w:pPr>
      <w:r>
        <w:t>14.1 Canonical Input Contract</w:t>
      </w:r>
    </w:p>
    <w:p>
      <w:r>
        <w:t>The canonical business payload should be JSON and must carry an explicit schema version. The logical contract should be governed through an Avro schema in the enterprise schema registry. For Kafka, the enterprise may use native Avro serialization or JSON payloads validated against the registered Avro-governed contract, depending platform standards. For S3, JSON/JSONL objects should use the same logical schema so batch and streaming semantics remain consistent.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008"/>
            <w:tcMar>
              <w:top w:w="60" w:type="dxa"/>
              <w:start w:w="80" w:type="dxa"/>
              <w:bottom w:w="60" w:type="dxa"/>
              <w:end w:w="80" w:type="dxa"/>
            </w:tcMar>
            <w:vAlign w:val="center"/>
            <w:shd w:fill="17365D"/>
          </w:tcPr>
          <w:p>
            <w:r>
              <w:rPr>
                <w:b/>
                <w:color w:val="FFFFFF"/>
                <w:sz w:val="16"/>
              </w:rPr>
              <w:t>ID</w:t>
            </w:r>
          </w:p>
        </w:tc>
        <w:tc>
          <w:tcPr>
            <w:tcW w:type="dxa" w:w="5328"/>
            <w:tcMar>
              <w:top w:w="60" w:type="dxa"/>
              <w:start w:w="80" w:type="dxa"/>
              <w:bottom w:w="60" w:type="dxa"/>
              <w:end w:w="80" w:type="dxa"/>
            </w:tcMar>
            <w:vAlign w:val="center"/>
            <w:shd w:fill="17365D"/>
          </w:tcPr>
          <w:p>
            <w:r>
              <w:rPr>
                <w:b/>
                <w:color w:val="FFFFFF"/>
                <w:sz w:val="16"/>
              </w:rPr>
              <w:t>Business / Functional Requirement</w:t>
            </w:r>
          </w:p>
        </w:tc>
        <w:tc>
          <w:tcPr>
            <w:tcW w:type="dxa" w:w="1008"/>
            <w:tcMar>
              <w:top w:w="60" w:type="dxa"/>
              <w:start w:w="80" w:type="dxa"/>
              <w:bottom w:w="60" w:type="dxa"/>
              <w:end w:w="80" w:type="dxa"/>
            </w:tcMar>
            <w:vAlign w:val="center"/>
            <w:shd w:fill="17365D"/>
          </w:tcPr>
          <w:p>
            <w:r>
              <w:rPr>
                <w:b/>
                <w:color w:val="FFFFFF"/>
                <w:sz w:val="16"/>
              </w:rPr>
              <w:t>Priority</w:t>
            </w:r>
          </w:p>
        </w:tc>
        <w:tc>
          <w:tcPr>
            <w:tcW w:type="dxa" w:w="3168"/>
            <w:tcMar>
              <w:top w:w="60" w:type="dxa"/>
              <w:start w:w="80" w:type="dxa"/>
              <w:bottom w:w="60" w:type="dxa"/>
              <w:end w:w="80" w:type="dxa"/>
            </w:tcMar>
            <w:vAlign w:val="center"/>
            <w:shd w:fill="17365D"/>
          </w:tcPr>
          <w:p>
            <w:r>
              <w:rPr>
                <w:b/>
                <w:color w:val="FFFFFF"/>
                <w:sz w:val="16"/>
              </w:rPr>
              <w:t>Acceptance / Verification</w:t>
            </w:r>
          </w:p>
        </w:tc>
      </w:tr>
      <w:tr>
        <w:tc>
          <w:tcPr>
            <w:tcW w:type="dxa" w:w="1008"/>
            <w:tcMar>
              <w:top w:w="60" w:type="dxa"/>
              <w:start w:w="80" w:type="dxa"/>
              <w:bottom w:w="60" w:type="dxa"/>
              <w:end w:w="80" w:type="dxa"/>
            </w:tcMar>
            <w:vAlign w:val="center"/>
          </w:tcPr>
          <w:p>
            <w:r>
              <w:rPr>
                <w:sz w:val="16"/>
              </w:rPr>
              <w:t>ENT-001</w:t>
            </w:r>
          </w:p>
        </w:tc>
        <w:tc>
          <w:tcPr>
            <w:tcW w:type="dxa" w:w="5328"/>
            <w:tcMar>
              <w:top w:w="60" w:type="dxa"/>
              <w:start w:w="80" w:type="dxa"/>
              <w:bottom w:w="60" w:type="dxa"/>
              <w:end w:w="80" w:type="dxa"/>
            </w:tcMar>
            <w:vAlign w:val="center"/>
          </w:tcPr>
          <w:p>
            <w:r>
              <w:rPr>
                <w:sz w:val="16"/>
              </w:rPr>
              <w:t>Support S3 object ingestion for batch files/events with immutable object/version identifiers.</w:t>
            </w:r>
          </w:p>
        </w:tc>
        <w:tc>
          <w:tcPr>
            <w:tcW w:type="dxa" w:w="1008"/>
            <w:tcMar>
              <w:top w:w="60" w:type="dxa"/>
              <w:start w:w="80" w:type="dxa"/>
              <w:bottom w:w="60" w:type="dxa"/>
              <w:end w:w="80" w:type="dxa"/>
            </w:tcMar>
            <w:vAlign w:val="center"/>
          </w:tcPr>
          <w:p>
            <w:r>
              <w:rPr>
                <w:sz w:val="16"/>
              </w:rPr>
              <w:t>Must</w:t>
            </w:r>
          </w:p>
        </w:tc>
        <w:tc>
          <w:tcPr>
            <w:tcW w:type="dxa" w:w="3168"/>
            <w:tcMar>
              <w:top w:w="60" w:type="dxa"/>
              <w:start w:w="80" w:type="dxa"/>
              <w:bottom w:w="60" w:type="dxa"/>
              <w:end w:w="80" w:type="dxa"/>
            </w:tcMar>
            <w:vAlign w:val="center"/>
          </w:tcPr>
          <w:p>
            <w:r>
              <w:rPr>
                <w:sz w:val="16"/>
              </w:rPr>
              <w:t>Batch input can be replayed from source object/version.</w:t>
            </w:r>
          </w:p>
        </w:tc>
      </w:tr>
      <w:tr>
        <w:tc>
          <w:tcPr>
            <w:tcW w:type="dxa" w:w="1008"/>
            <w:tcMar>
              <w:top w:w="60" w:type="dxa"/>
              <w:start w:w="80" w:type="dxa"/>
              <w:bottom w:w="60" w:type="dxa"/>
              <w:end w:w="80" w:type="dxa"/>
            </w:tcMar>
            <w:vAlign w:val="center"/>
            <w:shd w:fill="F3F6FA"/>
          </w:tcPr>
          <w:p>
            <w:r>
              <w:rPr>
                <w:sz w:val="16"/>
              </w:rPr>
              <w:t>ENT-002</w:t>
            </w:r>
          </w:p>
        </w:tc>
        <w:tc>
          <w:tcPr>
            <w:tcW w:type="dxa" w:w="5328"/>
            <w:tcMar>
              <w:top w:w="60" w:type="dxa"/>
              <w:start w:w="80" w:type="dxa"/>
              <w:bottom w:w="60" w:type="dxa"/>
              <w:end w:w="80" w:type="dxa"/>
            </w:tcMar>
            <w:vAlign w:val="center"/>
            <w:shd w:fill="F3F6FA"/>
          </w:tcPr>
          <w:p>
            <w:r>
              <w:rPr>
                <w:sz w:val="16"/>
              </w:rPr>
              <w:t>Support Kafka ingestion for near-real-time or streaming processing with enterprise correlation/event identifiers.</w:t>
            </w:r>
          </w:p>
        </w:tc>
        <w:tc>
          <w:tcPr>
            <w:tcW w:type="dxa" w:w="1008"/>
            <w:tcMar>
              <w:top w:w="60" w:type="dxa"/>
              <w:start w:w="80" w:type="dxa"/>
              <w:bottom w:w="60" w:type="dxa"/>
              <w:end w:w="80" w:type="dxa"/>
            </w:tcMar>
            <w:vAlign w:val="center"/>
            <w:shd w:fill="F3F6FA"/>
          </w:tcPr>
          <w:p>
            <w:r>
              <w:rPr>
                <w:sz w:val="16"/>
              </w:rPr>
              <w:t>Should</w:t>
            </w:r>
          </w:p>
        </w:tc>
        <w:tc>
          <w:tcPr>
            <w:tcW w:type="dxa" w:w="3168"/>
            <w:tcMar>
              <w:top w:w="60" w:type="dxa"/>
              <w:start w:w="80" w:type="dxa"/>
              <w:bottom w:w="60" w:type="dxa"/>
              <w:end w:w="80" w:type="dxa"/>
            </w:tcMar>
            <w:vAlign w:val="center"/>
            <w:shd w:fill="F3F6FA"/>
          </w:tcPr>
          <w:p>
            <w:r>
              <w:rPr>
                <w:sz w:val="16"/>
              </w:rPr>
              <w:t>Event can be traced end-to-end.</w:t>
            </w:r>
          </w:p>
        </w:tc>
      </w:tr>
      <w:tr>
        <w:tc>
          <w:tcPr>
            <w:tcW w:type="dxa" w:w="1008"/>
            <w:tcMar>
              <w:top w:w="60" w:type="dxa"/>
              <w:start w:w="80" w:type="dxa"/>
              <w:bottom w:w="60" w:type="dxa"/>
              <w:end w:w="80" w:type="dxa"/>
            </w:tcMar>
            <w:vAlign w:val="center"/>
          </w:tcPr>
          <w:p>
            <w:r>
              <w:rPr>
                <w:sz w:val="16"/>
              </w:rPr>
              <w:t>ENT-003</w:t>
            </w:r>
          </w:p>
        </w:tc>
        <w:tc>
          <w:tcPr>
            <w:tcW w:type="dxa" w:w="5328"/>
            <w:tcMar>
              <w:top w:w="60" w:type="dxa"/>
              <w:start w:w="80" w:type="dxa"/>
              <w:bottom w:w="60" w:type="dxa"/>
              <w:end w:w="80" w:type="dxa"/>
            </w:tcMar>
            <w:vAlign w:val="center"/>
          </w:tcPr>
          <w:p>
            <w:r>
              <w:rPr>
                <w:sz w:val="16"/>
              </w:rPr>
              <w:t>Define a versioned Avro schema for the canonical input contract and register it in the enterprise Schema Registry.</w:t>
            </w:r>
          </w:p>
        </w:tc>
        <w:tc>
          <w:tcPr>
            <w:tcW w:type="dxa" w:w="1008"/>
            <w:tcMar>
              <w:top w:w="60" w:type="dxa"/>
              <w:start w:w="80" w:type="dxa"/>
              <w:bottom w:w="60" w:type="dxa"/>
              <w:end w:w="80" w:type="dxa"/>
            </w:tcMar>
            <w:vAlign w:val="center"/>
          </w:tcPr>
          <w:p>
            <w:r>
              <w:rPr>
                <w:sz w:val="16"/>
              </w:rPr>
              <w:t>Must</w:t>
            </w:r>
          </w:p>
        </w:tc>
        <w:tc>
          <w:tcPr>
            <w:tcW w:type="dxa" w:w="3168"/>
            <w:tcMar>
              <w:top w:w="60" w:type="dxa"/>
              <w:start w:w="80" w:type="dxa"/>
              <w:bottom w:w="60" w:type="dxa"/>
              <w:end w:w="80" w:type="dxa"/>
            </w:tcMar>
            <w:vAlign w:val="center"/>
          </w:tcPr>
          <w:p>
            <w:r>
              <w:rPr>
                <w:sz w:val="16"/>
              </w:rPr>
              <w:t>Producer/consumer compatibility checks pass.</w:t>
            </w:r>
          </w:p>
        </w:tc>
      </w:tr>
      <w:tr>
        <w:tc>
          <w:tcPr>
            <w:tcW w:type="dxa" w:w="1008"/>
            <w:tcMar>
              <w:top w:w="60" w:type="dxa"/>
              <w:start w:w="80" w:type="dxa"/>
              <w:bottom w:w="60" w:type="dxa"/>
              <w:end w:w="80" w:type="dxa"/>
            </w:tcMar>
            <w:vAlign w:val="center"/>
            <w:shd w:fill="F3F6FA"/>
          </w:tcPr>
          <w:p>
            <w:r>
              <w:rPr>
                <w:sz w:val="16"/>
              </w:rPr>
              <w:t>ENT-004</w:t>
            </w:r>
          </w:p>
        </w:tc>
        <w:tc>
          <w:tcPr>
            <w:tcW w:type="dxa" w:w="5328"/>
            <w:tcMar>
              <w:top w:w="60" w:type="dxa"/>
              <w:start w:w="80" w:type="dxa"/>
              <w:bottom w:w="60" w:type="dxa"/>
              <w:end w:w="80" w:type="dxa"/>
            </w:tcMar>
            <w:vAlign w:val="center"/>
            <w:shd w:fill="F3F6FA"/>
          </w:tcPr>
          <w:p>
            <w:r>
              <w:rPr>
                <w:sz w:val="16"/>
              </w:rPr>
              <w:t>Represent address groups structurally rather than as ever-widening top-level columns, while supporting legacy column-to-group mapping at the ingestion boundary.</w:t>
            </w:r>
          </w:p>
        </w:tc>
        <w:tc>
          <w:tcPr>
            <w:tcW w:type="dxa" w:w="1008"/>
            <w:tcMar>
              <w:top w:w="60" w:type="dxa"/>
              <w:start w:w="80" w:type="dxa"/>
              <w:bottom w:w="60" w:type="dxa"/>
              <w:end w:w="80" w:type="dxa"/>
            </w:tcMar>
            <w:vAlign w:val="center"/>
            <w:shd w:fill="F3F6FA"/>
          </w:tcPr>
          <w:p>
            <w:r>
              <w:rPr>
                <w:sz w:val="16"/>
              </w:rPr>
              <w:t>Must</w:t>
            </w:r>
          </w:p>
        </w:tc>
        <w:tc>
          <w:tcPr>
            <w:tcW w:type="dxa" w:w="3168"/>
            <w:tcMar>
              <w:top w:w="60" w:type="dxa"/>
              <w:start w:w="80" w:type="dxa"/>
              <w:bottom w:w="60" w:type="dxa"/>
              <w:end w:w="80" w:type="dxa"/>
            </w:tcMar>
            <w:vAlign w:val="center"/>
            <w:shd w:fill="F3F6FA"/>
          </w:tcPr>
          <w:p>
            <w:r>
              <w:rPr>
                <w:sz w:val="16"/>
              </w:rPr>
              <w:t>Canonical payload can represent variable groups/field counts.</w:t>
            </w:r>
          </w:p>
        </w:tc>
      </w:tr>
      <w:tr>
        <w:tc>
          <w:tcPr>
            <w:tcW w:type="dxa" w:w="1008"/>
            <w:tcMar>
              <w:top w:w="60" w:type="dxa"/>
              <w:start w:w="80" w:type="dxa"/>
              <w:bottom w:w="60" w:type="dxa"/>
              <w:end w:w="80" w:type="dxa"/>
            </w:tcMar>
            <w:vAlign w:val="center"/>
          </w:tcPr>
          <w:p>
            <w:r>
              <w:rPr>
                <w:sz w:val="16"/>
              </w:rPr>
              <w:t>ENT-005</w:t>
            </w:r>
          </w:p>
        </w:tc>
        <w:tc>
          <w:tcPr>
            <w:tcW w:type="dxa" w:w="5328"/>
            <w:tcMar>
              <w:top w:w="60" w:type="dxa"/>
              <w:start w:w="80" w:type="dxa"/>
              <w:bottom w:w="60" w:type="dxa"/>
              <w:end w:w="80" w:type="dxa"/>
            </w:tcMar>
            <w:vAlign w:val="center"/>
          </w:tcPr>
          <w:p>
            <w:r>
              <w:rPr>
                <w:sz w:val="16"/>
              </w:rPr>
              <w:t>Include RECORD_ID/correlation ID, source system, source timestamp, schema version and address groups in the canonical payload.</w:t>
            </w:r>
          </w:p>
        </w:tc>
        <w:tc>
          <w:tcPr>
            <w:tcW w:type="dxa" w:w="1008"/>
            <w:tcMar>
              <w:top w:w="60" w:type="dxa"/>
              <w:start w:w="80" w:type="dxa"/>
              <w:bottom w:w="60" w:type="dxa"/>
              <w:end w:w="80" w:type="dxa"/>
            </w:tcMar>
            <w:vAlign w:val="center"/>
          </w:tcPr>
          <w:p>
            <w:r>
              <w:rPr>
                <w:sz w:val="16"/>
              </w:rPr>
              <w:t>Must</w:t>
            </w:r>
          </w:p>
        </w:tc>
        <w:tc>
          <w:tcPr>
            <w:tcW w:type="dxa" w:w="3168"/>
            <w:tcMar>
              <w:top w:w="60" w:type="dxa"/>
              <w:start w:w="80" w:type="dxa"/>
              <w:bottom w:w="60" w:type="dxa"/>
              <w:end w:w="80" w:type="dxa"/>
            </w:tcMar>
            <w:vAlign w:val="center"/>
          </w:tcPr>
          <w:p>
            <w:r>
              <w:rPr>
                <w:sz w:val="16"/>
              </w:rPr>
              <w:t>Required schema fields validate.</w:t>
            </w:r>
          </w:p>
        </w:tc>
      </w:tr>
      <w:tr>
        <w:tc>
          <w:tcPr>
            <w:tcW w:type="dxa" w:w="1008"/>
            <w:tcMar>
              <w:top w:w="60" w:type="dxa"/>
              <w:start w:w="80" w:type="dxa"/>
              <w:bottom w:w="60" w:type="dxa"/>
              <w:end w:w="80" w:type="dxa"/>
            </w:tcMar>
            <w:vAlign w:val="center"/>
            <w:shd w:fill="F3F6FA"/>
          </w:tcPr>
          <w:p>
            <w:r>
              <w:rPr>
                <w:sz w:val="16"/>
              </w:rPr>
              <w:t>ENT-006</w:t>
            </w:r>
          </w:p>
        </w:tc>
        <w:tc>
          <w:tcPr>
            <w:tcW w:type="dxa" w:w="5328"/>
            <w:tcMar>
              <w:top w:w="60" w:type="dxa"/>
              <w:start w:w="80" w:type="dxa"/>
              <w:bottom w:w="60" w:type="dxa"/>
              <w:end w:w="80" w:type="dxa"/>
            </w:tcMar>
            <w:vAlign w:val="center"/>
            <w:shd w:fill="F3F6FA"/>
          </w:tcPr>
          <w:p>
            <w:r>
              <w:rPr>
                <w:sz w:val="16"/>
              </w:rPr>
              <w:t>Invalid-schema events shall be rejected before model invocation and routed to a controlled error/dead-letter process.</w:t>
            </w:r>
          </w:p>
        </w:tc>
        <w:tc>
          <w:tcPr>
            <w:tcW w:type="dxa" w:w="1008"/>
            <w:tcMar>
              <w:top w:w="60" w:type="dxa"/>
              <w:start w:w="80" w:type="dxa"/>
              <w:bottom w:w="60" w:type="dxa"/>
              <w:end w:w="80" w:type="dxa"/>
            </w:tcMar>
            <w:vAlign w:val="center"/>
            <w:shd w:fill="F3F6FA"/>
          </w:tcPr>
          <w:p>
            <w:r>
              <w:rPr>
                <w:sz w:val="16"/>
              </w:rPr>
              <w:t>Must</w:t>
            </w:r>
          </w:p>
        </w:tc>
        <w:tc>
          <w:tcPr>
            <w:tcW w:type="dxa" w:w="3168"/>
            <w:tcMar>
              <w:top w:w="60" w:type="dxa"/>
              <w:start w:w="80" w:type="dxa"/>
              <w:bottom w:w="60" w:type="dxa"/>
              <w:end w:w="80" w:type="dxa"/>
            </w:tcMar>
            <w:vAlign w:val="center"/>
            <w:shd w:fill="F3F6FA"/>
          </w:tcPr>
          <w:p>
            <w:r>
              <w:rPr>
                <w:sz w:val="16"/>
              </w:rPr>
              <w:t>No malformed payload reaches the LLM.</w:t>
            </w:r>
          </w:p>
        </w:tc>
      </w:tr>
    </w:tbl>
    <w:p>
      <w:pPr>
        <w:pStyle w:val="Heading2"/>
      </w:pPr>
      <w:r>
        <w:t>14.2 Recommended Canonical Input Shape</w:t>
      </w:r>
    </w:p>
    <w:tbl>
      <w:tblPr>
        <w:tblW w:type="auto" w:w="0"/>
        <w:jc w:val="center"/>
        <w:tblLook w:firstColumn="1" w:firstRow="1" w:lastColumn="0" w:lastRow="0" w:noHBand="0" w:noVBand="1" w:val="04A0"/>
      </w:tblPr>
      <w:tblGrid>
        <w:gridCol w:w="10224"/>
      </w:tblGrid>
      <w:tr>
        <w:tc>
          <w:tcPr>
            <w:tcW w:type="dxa" w:w="10224"/>
            <w:shd w:fill="F7F7F7"/>
          </w:tcPr>
          <w:p>
            <w:pPr>
              <w:jc w:val="center"/>
            </w:pPr>
            <w:r>
              <w:rPr>
                <w:rFonts w:ascii="Consolas" w:hAnsi="Consolas"/>
                <w:sz w:val="18"/>
              </w:rPr>
              <w:t>{</w:t>
            </w:r>
          </w:p>
          <w:p>
            <w:pPr>
              <w:jc w:val="center"/>
            </w:pPr>
            <w:r>
              <w:rPr>
                <w:rFonts w:ascii="Consolas" w:hAnsi="Consolas"/>
                <w:sz w:val="18"/>
              </w:rPr>
              <w:t xml:space="preserve">  "schema_version": "swift-address-input-v1",</w:t>
            </w:r>
          </w:p>
          <w:p>
            <w:pPr>
              <w:jc w:val="center"/>
            </w:pPr>
            <w:r>
              <w:rPr>
                <w:rFonts w:ascii="Consolas" w:hAnsi="Consolas"/>
                <w:sz w:val="18"/>
              </w:rPr>
              <w:t xml:space="preserve">  "record_id": "CA0000001855",</w:t>
            </w:r>
          </w:p>
          <w:p>
            <w:pPr>
              <w:jc w:val="center"/>
            </w:pPr>
            <w:r>
              <w:rPr>
                <w:rFonts w:ascii="Consolas" w:hAnsi="Consolas"/>
                <w:sz w:val="18"/>
              </w:rPr>
              <w:t xml:space="preserve">  "source_system": "SOURCE_SYSTEM",</w:t>
            </w:r>
          </w:p>
          <w:p>
            <w:pPr>
              <w:jc w:val="center"/>
            </w:pPr>
            <w:r>
              <w:rPr>
                <w:rFonts w:ascii="Consolas" w:hAnsi="Consolas"/>
                <w:sz w:val="18"/>
              </w:rPr>
              <w:t xml:space="preserve">  "event_id": "unique-event-id",</w:t>
            </w:r>
          </w:p>
          <w:p>
            <w:pPr>
              <w:jc w:val="center"/>
            </w:pPr>
            <w:r>
              <w:rPr>
                <w:rFonts w:ascii="Consolas" w:hAnsi="Consolas"/>
                <w:sz w:val="18"/>
              </w:rPr>
              <w:t xml:space="preserve">  "address_groups": [</w:t>
            </w:r>
          </w:p>
          <w:p>
            <w:pPr>
              <w:jc w:val="center"/>
            </w:pPr>
            <w:r>
              <w:rPr>
                <w:rFonts w:ascii="Consolas" w:hAnsi="Consolas"/>
                <w:sz w:val="18"/>
              </w:rPr>
              <w:t xml:space="preserve">    {"group_id":"15","fields":{</w:t>
            </w:r>
          </w:p>
          <w:p>
            <w:pPr>
              <w:jc w:val="center"/>
            </w:pPr>
            <w:r>
              <w:rPr>
                <w:rFonts w:ascii="Consolas" w:hAnsi="Consolas"/>
                <w:sz w:val="18"/>
              </w:rPr>
              <w:t xml:space="preserve">      "LINE_1":"23 CUSTOMS STREET EAST LEVEL 11",</w:t>
            </w:r>
          </w:p>
          <w:p>
            <w:pPr>
              <w:jc w:val="center"/>
            </w:pPr>
            <w:r>
              <w:rPr>
                <w:rFonts w:ascii="Consolas" w:hAnsi="Consolas"/>
                <w:sz w:val="18"/>
              </w:rPr>
              <w:t xml:space="preserve">      "LINE_2":"CITIGROUP CENTRE AUCKLAND AUCKLAND",</w:t>
            </w:r>
          </w:p>
          <w:p>
            <w:pPr>
              <w:jc w:val="center"/>
            </w:pPr>
            <w:r>
              <w:rPr>
                <w:rFonts w:ascii="Consolas" w:hAnsi="Consolas"/>
                <w:sz w:val="18"/>
              </w:rPr>
              <w:t xml:space="preserve">      "LINE_3":"1140 NZ"}}</w:t>
            </w:r>
          </w:p>
          <w:p>
            <w:pPr>
              <w:jc w:val="center"/>
            </w:pPr>
            <w:r>
              <w:rPr>
                <w:rFonts w:ascii="Consolas" w:hAnsi="Consolas"/>
                <w:sz w:val="18"/>
              </w:rPr>
              <w:t xml:space="preserve">  ]</w:t>
            </w:r>
          </w:p>
          <w:p>
            <w:pPr>
              <w:jc w:val="center"/>
            </w:pPr>
            <w:r>
              <w:rPr>
                <w:rFonts w:ascii="Consolas" w:hAnsi="Consolas"/>
                <w:sz w:val="18"/>
              </w:rPr>
              <w:t>}</w:t>
            </w:r>
          </w:p>
        </w:tc>
      </w:tr>
    </w:tbl>
    <w:p>
      <w:pPr>
        <w:pStyle w:val="Heading1"/>
      </w:pPr>
      <w:r>
        <w:t>15. Enterprise Target-State Output and Eventing</w:t>
      </w:r>
    </w:p>
    <w:p>
      <w:r>
        <w:t>The full audit trail and actual business output should be emitted as structured JSON. JSON/JSONL should be the canonical enterprise contract; CSV should be generated only where a downstream consumer explicitly requires a flat representation.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008"/>
            <w:tcMar>
              <w:top w:w="60" w:type="dxa"/>
              <w:start w:w="80" w:type="dxa"/>
              <w:bottom w:w="60" w:type="dxa"/>
              <w:end w:w="80" w:type="dxa"/>
            </w:tcMar>
            <w:vAlign w:val="center"/>
            <w:shd w:fill="17365D"/>
          </w:tcPr>
          <w:p>
            <w:r>
              <w:rPr>
                <w:b/>
                <w:color w:val="FFFFFF"/>
                <w:sz w:val="16"/>
              </w:rPr>
              <w:t>ID</w:t>
            </w:r>
          </w:p>
        </w:tc>
        <w:tc>
          <w:tcPr>
            <w:tcW w:type="dxa" w:w="5328"/>
            <w:tcMar>
              <w:top w:w="60" w:type="dxa"/>
              <w:start w:w="80" w:type="dxa"/>
              <w:bottom w:w="60" w:type="dxa"/>
              <w:end w:w="80" w:type="dxa"/>
            </w:tcMar>
            <w:vAlign w:val="center"/>
            <w:shd w:fill="17365D"/>
          </w:tcPr>
          <w:p>
            <w:r>
              <w:rPr>
                <w:b/>
                <w:color w:val="FFFFFF"/>
                <w:sz w:val="16"/>
              </w:rPr>
              <w:t>Business / Functional Requirement</w:t>
            </w:r>
          </w:p>
        </w:tc>
        <w:tc>
          <w:tcPr>
            <w:tcW w:type="dxa" w:w="1008"/>
            <w:tcMar>
              <w:top w:w="60" w:type="dxa"/>
              <w:start w:w="80" w:type="dxa"/>
              <w:bottom w:w="60" w:type="dxa"/>
              <w:end w:w="80" w:type="dxa"/>
            </w:tcMar>
            <w:vAlign w:val="center"/>
            <w:shd w:fill="17365D"/>
          </w:tcPr>
          <w:p>
            <w:r>
              <w:rPr>
                <w:b/>
                <w:color w:val="FFFFFF"/>
                <w:sz w:val="16"/>
              </w:rPr>
              <w:t>Priority</w:t>
            </w:r>
          </w:p>
        </w:tc>
        <w:tc>
          <w:tcPr>
            <w:tcW w:type="dxa" w:w="3168"/>
            <w:tcMar>
              <w:top w:w="60" w:type="dxa"/>
              <w:start w:w="80" w:type="dxa"/>
              <w:bottom w:w="60" w:type="dxa"/>
              <w:end w:w="80" w:type="dxa"/>
            </w:tcMar>
            <w:vAlign w:val="center"/>
            <w:shd w:fill="17365D"/>
          </w:tcPr>
          <w:p>
            <w:r>
              <w:rPr>
                <w:b/>
                <w:color w:val="FFFFFF"/>
                <w:sz w:val="16"/>
              </w:rPr>
              <w:t>Acceptance / Verification</w:t>
            </w:r>
          </w:p>
        </w:tc>
      </w:tr>
      <w:tr>
        <w:tc>
          <w:tcPr>
            <w:tcW w:type="dxa" w:w="1008"/>
            <w:tcMar>
              <w:top w:w="60" w:type="dxa"/>
              <w:start w:w="80" w:type="dxa"/>
              <w:bottom w:w="60" w:type="dxa"/>
              <w:end w:w="80" w:type="dxa"/>
            </w:tcMar>
            <w:vAlign w:val="center"/>
          </w:tcPr>
          <w:p>
            <w:r>
              <w:rPr>
                <w:sz w:val="16"/>
              </w:rPr>
              <w:t>ENT-010</w:t>
            </w:r>
          </w:p>
        </w:tc>
        <w:tc>
          <w:tcPr>
            <w:tcW w:type="dxa" w:w="5328"/>
            <w:tcMar>
              <w:top w:w="60" w:type="dxa"/>
              <w:start w:w="80" w:type="dxa"/>
              <w:bottom w:w="60" w:type="dxa"/>
              <w:end w:w="80" w:type="dxa"/>
            </w:tcMar>
            <w:vAlign w:val="center"/>
          </w:tcPr>
          <w:p>
            <w:r>
              <w:rPr>
                <w:sz w:val="16"/>
              </w:rPr>
              <w:t>Emit a canonical processed-result JSON event/object containing the final Town/Country outcome, scoring, HITL decision and provenance.</w:t>
            </w:r>
          </w:p>
        </w:tc>
        <w:tc>
          <w:tcPr>
            <w:tcW w:type="dxa" w:w="1008"/>
            <w:tcMar>
              <w:top w:w="60" w:type="dxa"/>
              <w:start w:w="80" w:type="dxa"/>
              <w:bottom w:w="60" w:type="dxa"/>
              <w:end w:w="80" w:type="dxa"/>
            </w:tcMar>
            <w:vAlign w:val="center"/>
          </w:tcPr>
          <w:p>
            <w:r>
              <w:rPr>
                <w:sz w:val="16"/>
              </w:rPr>
              <w:t>Must</w:t>
            </w:r>
          </w:p>
        </w:tc>
        <w:tc>
          <w:tcPr>
            <w:tcW w:type="dxa" w:w="3168"/>
            <w:tcMar>
              <w:top w:w="60" w:type="dxa"/>
              <w:start w:w="80" w:type="dxa"/>
              <w:bottom w:w="60" w:type="dxa"/>
              <w:end w:w="80" w:type="dxa"/>
            </w:tcMar>
            <w:vAlign w:val="center"/>
          </w:tcPr>
          <w:p>
            <w:r>
              <w:rPr>
                <w:sz w:val="16"/>
              </w:rPr>
              <w:t>Schema validates and contains all decision fields.</w:t>
            </w:r>
          </w:p>
        </w:tc>
      </w:tr>
      <w:tr>
        <w:tc>
          <w:tcPr>
            <w:tcW w:type="dxa" w:w="1008"/>
            <w:tcMar>
              <w:top w:w="60" w:type="dxa"/>
              <w:start w:w="80" w:type="dxa"/>
              <w:bottom w:w="60" w:type="dxa"/>
              <w:end w:w="80" w:type="dxa"/>
            </w:tcMar>
            <w:vAlign w:val="center"/>
            <w:shd w:fill="F3F6FA"/>
          </w:tcPr>
          <w:p>
            <w:r>
              <w:rPr>
                <w:sz w:val="16"/>
              </w:rPr>
              <w:t>ENT-011</w:t>
            </w:r>
          </w:p>
        </w:tc>
        <w:tc>
          <w:tcPr>
            <w:tcW w:type="dxa" w:w="5328"/>
            <w:tcMar>
              <w:top w:w="60" w:type="dxa"/>
              <w:start w:w="80" w:type="dxa"/>
              <w:bottom w:w="60" w:type="dxa"/>
              <w:end w:w="80" w:type="dxa"/>
            </w:tcMar>
            <w:vAlign w:val="center"/>
            <w:shd w:fill="F3F6FA"/>
          </w:tcPr>
          <w:p>
            <w:r>
              <w:rPr>
                <w:sz w:val="16"/>
              </w:rPr>
              <w:t>Emit a full audit JSON event/object containing source-group detail, evidence, ground-truth/evaluation detail, retraction before/after and processing metadata.</w:t>
            </w:r>
          </w:p>
        </w:tc>
        <w:tc>
          <w:tcPr>
            <w:tcW w:type="dxa" w:w="1008"/>
            <w:tcMar>
              <w:top w:w="60" w:type="dxa"/>
              <w:start w:w="80" w:type="dxa"/>
              <w:bottom w:w="60" w:type="dxa"/>
              <w:end w:w="80" w:type="dxa"/>
            </w:tcMar>
            <w:vAlign w:val="center"/>
            <w:shd w:fill="F3F6FA"/>
          </w:tcPr>
          <w:p>
            <w:r>
              <w:rPr>
                <w:sz w:val="16"/>
              </w:rPr>
              <w:t>Must</w:t>
            </w:r>
          </w:p>
        </w:tc>
        <w:tc>
          <w:tcPr>
            <w:tcW w:type="dxa" w:w="3168"/>
            <w:tcMar>
              <w:top w:w="60" w:type="dxa"/>
              <w:start w:w="80" w:type="dxa"/>
              <w:bottom w:w="60" w:type="dxa"/>
              <w:end w:w="80" w:type="dxa"/>
            </w:tcMar>
            <w:vAlign w:val="center"/>
            <w:shd w:fill="F3F6FA"/>
          </w:tcPr>
          <w:p>
            <w:r>
              <w:rPr>
                <w:sz w:val="16"/>
              </w:rPr>
              <w:t>Audit can reconstruct why the result was produced.</w:t>
            </w:r>
          </w:p>
        </w:tc>
      </w:tr>
      <w:tr>
        <w:tc>
          <w:tcPr>
            <w:tcW w:type="dxa" w:w="1008"/>
            <w:tcMar>
              <w:top w:w="60" w:type="dxa"/>
              <w:start w:w="80" w:type="dxa"/>
              <w:bottom w:w="60" w:type="dxa"/>
              <w:end w:w="80" w:type="dxa"/>
            </w:tcMar>
            <w:vAlign w:val="center"/>
          </w:tcPr>
          <w:p>
            <w:r>
              <w:rPr>
                <w:sz w:val="16"/>
              </w:rPr>
              <w:t>ENT-012</w:t>
            </w:r>
          </w:p>
        </w:tc>
        <w:tc>
          <w:tcPr>
            <w:tcW w:type="dxa" w:w="5328"/>
            <w:tcMar>
              <w:top w:w="60" w:type="dxa"/>
              <w:start w:w="80" w:type="dxa"/>
              <w:bottom w:w="60" w:type="dxa"/>
              <w:end w:w="80" w:type="dxa"/>
            </w:tcMar>
            <w:vAlign w:val="center"/>
          </w:tcPr>
          <w:p>
            <w:r>
              <w:rPr>
                <w:sz w:val="16"/>
              </w:rPr>
              <w:t>Support separate logical channels/partitions for processed results, HITL cases and processing failures/dead-letter cases.</w:t>
            </w:r>
          </w:p>
        </w:tc>
        <w:tc>
          <w:tcPr>
            <w:tcW w:type="dxa" w:w="1008"/>
            <w:tcMar>
              <w:top w:w="60" w:type="dxa"/>
              <w:start w:w="80" w:type="dxa"/>
              <w:bottom w:w="60" w:type="dxa"/>
              <w:end w:w="80" w:type="dxa"/>
            </w:tcMar>
            <w:vAlign w:val="center"/>
          </w:tcPr>
          <w:p>
            <w:r>
              <w:rPr>
                <w:sz w:val="16"/>
              </w:rPr>
              <w:t>Should</w:t>
            </w:r>
          </w:p>
        </w:tc>
        <w:tc>
          <w:tcPr>
            <w:tcW w:type="dxa" w:w="3168"/>
            <w:tcMar>
              <w:top w:w="60" w:type="dxa"/>
              <w:start w:w="80" w:type="dxa"/>
              <w:bottom w:w="60" w:type="dxa"/>
              <w:end w:w="80" w:type="dxa"/>
            </w:tcMar>
            <w:vAlign w:val="center"/>
          </w:tcPr>
          <w:p>
            <w:r>
              <w:rPr>
                <w:sz w:val="16"/>
              </w:rPr>
              <w:t>Consumers can subscribe to the relevant state.</w:t>
            </w:r>
          </w:p>
        </w:tc>
      </w:tr>
      <w:tr>
        <w:tc>
          <w:tcPr>
            <w:tcW w:type="dxa" w:w="1008"/>
            <w:tcMar>
              <w:top w:w="60" w:type="dxa"/>
              <w:start w:w="80" w:type="dxa"/>
              <w:bottom w:w="60" w:type="dxa"/>
              <w:end w:w="80" w:type="dxa"/>
            </w:tcMar>
            <w:vAlign w:val="center"/>
            <w:shd w:fill="F3F6FA"/>
          </w:tcPr>
          <w:p>
            <w:r>
              <w:rPr>
                <w:sz w:val="16"/>
              </w:rPr>
              <w:t>ENT-013</w:t>
            </w:r>
          </w:p>
        </w:tc>
        <w:tc>
          <w:tcPr>
            <w:tcW w:type="dxa" w:w="5328"/>
            <w:tcMar>
              <w:top w:w="60" w:type="dxa"/>
              <w:start w:w="80" w:type="dxa"/>
              <w:bottom w:w="60" w:type="dxa"/>
              <w:end w:w="80" w:type="dxa"/>
            </w:tcMar>
            <w:vAlign w:val="center"/>
            <w:shd w:fill="F3F6FA"/>
          </w:tcPr>
          <w:p>
            <w:r>
              <w:rPr>
                <w:sz w:val="16"/>
              </w:rPr>
              <w:t>For batch, write partitioned JSON/JSONL to S3 by processing date/run/source; for streaming, publish equivalent canonical JSON/Avro-governed events to Kafka.</w:t>
            </w:r>
          </w:p>
        </w:tc>
        <w:tc>
          <w:tcPr>
            <w:tcW w:type="dxa" w:w="1008"/>
            <w:tcMar>
              <w:top w:w="60" w:type="dxa"/>
              <w:start w:w="80" w:type="dxa"/>
              <w:bottom w:w="60" w:type="dxa"/>
              <w:end w:w="80" w:type="dxa"/>
            </w:tcMar>
            <w:vAlign w:val="center"/>
            <w:shd w:fill="F3F6FA"/>
          </w:tcPr>
          <w:p>
            <w:r>
              <w:rPr>
                <w:sz w:val="16"/>
              </w:rPr>
              <w:t>Should</w:t>
            </w:r>
          </w:p>
        </w:tc>
        <w:tc>
          <w:tcPr>
            <w:tcW w:type="dxa" w:w="3168"/>
            <w:tcMar>
              <w:top w:w="60" w:type="dxa"/>
              <w:start w:w="80" w:type="dxa"/>
              <w:bottom w:w="60" w:type="dxa"/>
              <w:end w:w="80" w:type="dxa"/>
            </w:tcMar>
            <w:vAlign w:val="center"/>
            <w:shd w:fill="F3F6FA"/>
          </w:tcPr>
          <w:p>
            <w:r>
              <w:rPr>
                <w:sz w:val="16"/>
              </w:rPr>
              <w:t>Batch and streaming outputs share schema semantics.</w:t>
            </w:r>
          </w:p>
        </w:tc>
      </w:tr>
      <w:tr>
        <w:tc>
          <w:tcPr>
            <w:tcW w:type="dxa" w:w="1008"/>
            <w:tcMar>
              <w:top w:w="60" w:type="dxa"/>
              <w:start w:w="80" w:type="dxa"/>
              <w:bottom w:w="60" w:type="dxa"/>
              <w:end w:w="80" w:type="dxa"/>
            </w:tcMar>
            <w:vAlign w:val="center"/>
          </w:tcPr>
          <w:p>
            <w:r>
              <w:rPr>
                <w:sz w:val="16"/>
              </w:rPr>
              <w:t>ENT-014</w:t>
            </w:r>
          </w:p>
        </w:tc>
        <w:tc>
          <w:tcPr>
            <w:tcW w:type="dxa" w:w="5328"/>
            <w:tcMar>
              <w:top w:w="60" w:type="dxa"/>
              <w:start w:w="80" w:type="dxa"/>
              <w:bottom w:w="60" w:type="dxa"/>
              <w:end w:w="80" w:type="dxa"/>
            </w:tcMar>
            <w:vAlign w:val="center"/>
          </w:tcPr>
          <w:p>
            <w:r>
              <w:rPr>
                <w:sz w:val="16"/>
              </w:rPr>
              <w:t>Every output shall carry record/event correlation IDs, schema version, processing version and outcome status.</w:t>
            </w:r>
          </w:p>
        </w:tc>
        <w:tc>
          <w:tcPr>
            <w:tcW w:type="dxa" w:w="1008"/>
            <w:tcMar>
              <w:top w:w="60" w:type="dxa"/>
              <w:start w:w="80" w:type="dxa"/>
              <w:bottom w:w="60" w:type="dxa"/>
              <w:end w:w="80" w:type="dxa"/>
            </w:tcMar>
            <w:vAlign w:val="center"/>
          </w:tcPr>
          <w:p>
            <w:r>
              <w:rPr>
                <w:sz w:val="16"/>
              </w:rPr>
              <w:t>Must</w:t>
            </w:r>
          </w:p>
        </w:tc>
        <w:tc>
          <w:tcPr>
            <w:tcW w:type="dxa" w:w="3168"/>
            <w:tcMar>
              <w:top w:w="60" w:type="dxa"/>
              <w:start w:w="80" w:type="dxa"/>
              <w:bottom w:w="60" w:type="dxa"/>
              <w:end w:w="80" w:type="dxa"/>
            </w:tcMar>
            <w:vAlign w:val="center"/>
          </w:tcPr>
          <w:p>
            <w:r>
              <w:rPr>
                <w:sz w:val="16"/>
              </w:rPr>
              <w:t>End-to-end traceability.</w:t>
            </w:r>
          </w:p>
        </w:tc>
      </w:tr>
      <w:tr>
        <w:tc>
          <w:tcPr>
            <w:tcW w:type="dxa" w:w="1008"/>
            <w:tcMar>
              <w:top w:w="60" w:type="dxa"/>
              <w:start w:w="80" w:type="dxa"/>
              <w:bottom w:w="60" w:type="dxa"/>
              <w:end w:w="80" w:type="dxa"/>
            </w:tcMar>
            <w:vAlign w:val="center"/>
            <w:shd w:fill="F3F6FA"/>
          </w:tcPr>
          <w:p>
            <w:r>
              <w:rPr>
                <w:sz w:val="16"/>
              </w:rPr>
              <w:t>ENT-015</w:t>
            </w:r>
          </w:p>
        </w:tc>
        <w:tc>
          <w:tcPr>
            <w:tcW w:type="dxa" w:w="5328"/>
            <w:tcMar>
              <w:top w:w="60" w:type="dxa"/>
              <w:start w:w="80" w:type="dxa"/>
              <w:bottom w:w="60" w:type="dxa"/>
              <w:end w:w="80" w:type="dxa"/>
            </w:tcMar>
            <w:vAlign w:val="center"/>
            <w:shd w:fill="F3F6FA"/>
          </w:tcPr>
          <w:p>
            <w:r>
              <w:rPr>
                <w:sz w:val="16"/>
              </w:rPr>
              <w:t>Human corrections shall produce a new auditable decision event rather than destructively overwriting the machine decision.</w:t>
            </w:r>
          </w:p>
        </w:tc>
        <w:tc>
          <w:tcPr>
            <w:tcW w:type="dxa" w:w="1008"/>
            <w:tcMar>
              <w:top w:w="60" w:type="dxa"/>
              <w:start w:w="80" w:type="dxa"/>
              <w:bottom w:w="60" w:type="dxa"/>
              <w:end w:w="80" w:type="dxa"/>
            </w:tcMar>
            <w:vAlign w:val="center"/>
            <w:shd w:fill="F3F6FA"/>
          </w:tcPr>
          <w:p>
            <w:r>
              <w:rPr>
                <w:sz w:val="16"/>
              </w:rPr>
              <w:t>Must</w:t>
            </w:r>
          </w:p>
        </w:tc>
        <w:tc>
          <w:tcPr>
            <w:tcW w:type="dxa" w:w="3168"/>
            <w:tcMar>
              <w:top w:w="60" w:type="dxa"/>
              <w:start w:w="80" w:type="dxa"/>
              <w:bottom w:w="60" w:type="dxa"/>
              <w:end w:w="80" w:type="dxa"/>
            </w:tcMar>
            <w:vAlign w:val="center"/>
            <w:shd w:fill="F3F6FA"/>
          </w:tcPr>
          <w:p>
            <w:r>
              <w:rPr>
                <w:sz w:val="16"/>
              </w:rPr>
              <w:t>Machine and human states are both reconstructable.</w:t>
            </w:r>
          </w:p>
        </w:tc>
      </w:tr>
    </w:tbl>
    <w:p>
      <w:pPr>
        <w:pStyle w:val="Heading2"/>
      </w:pPr>
      <w:r>
        <w:t>15.1 Recommended Processed Output Shape</w:t>
      </w:r>
    </w:p>
    <w:tbl>
      <w:tblPr>
        <w:tblW w:type="auto" w:w="0"/>
        <w:jc w:val="center"/>
        <w:tblLook w:firstColumn="1" w:firstRow="1" w:lastColumn="0" w:lastRow="0" w:noHBand="0" w:noVBand="1" w:val="04A0"/>
      </w:tblPr>
      <w:tblGrid>
        <w:gridCol w:w="10224"/>
      </w:tblGrid>
      <w:tr>
        <w:tc>
          <w:tcPr>
            <w:tcW w:type="dxa" w:w="10224"/>
            <w:shd w:fill="F7F7F7"/>
          </w:tcPr>
          <w:p>
            <w:pPr>
              <w:jc w:val="center"/>
            </w:pPr>
            <w:r>
              <w:rPr>
                <w:rFonts w:ascii="Consolas" w:hAnsi="Consolas"/>
                <w:sz w:val="18"/>
              </w:rPr>
              <w:t>{</w:t>
            </w:r>
          </w:p>
          <w:p>
            <w:pPr>
              <w:jc w:val="center"/>
            </w:pPr>
            <w:r>
              <w:rPr>
                <w:rFonts w:ascii="Consolas" w:hAnsi="Consolas"/>
                <w:sz w:val="18"/>
              </w:rPr>
              <w:t xml:space="preserve">  "schema_version": "swift-address-result-v1",</w:t>
            </w:r>
          </w:p>
          <w:p>
            <w:pPr>
              <w:jc w:val="center"/>
            </w:pPr>
            <w:r>
              <w:rPr>
                <w:rFonts w:ascii="Consolas" w:hAnsi="Consolas"/>
                <w:sz w:val="18"/>
              </w:rPr>
              <w:t xml:space="preserve">  "record_id": "CA0000001855",</w:t>
            </w:r>
          </w:p>
          <w:p>
            <w:pPr>
              <w:jc w:val="center"/>
            </w:pPr>
            <w:r>
              <w:rPr>
                <w:rFonts w:ascii="Consolas" w:hAnsi="Consolas"/>
                <w:sz w:val="18"/>
              </w:rPr>
              <w:t xml:space="preserve">  "processing": {"model":"&lt;approved-model&gt;","prompt_version":"&lt;version&gt;"},</w:t>
            </w:r>
          </w:p>
          <w:p>
            <w:pPr>
              <w:jc w:val="center"/>
            </w:pPr>
            <w:r>
              <w:rPr>
                <w:rFonts w:ascii="Consolas" w:hAnsi="Consolas"/>
                <w:sz w:val="18"/>
              </w:rPr>
              <w:t xml:space="preserve">  "groups": {</w:t>
            </w:r>
          </w:p>
          <w:p>
            <w:pPr>
              <w:jc w:val="center"/>
            </w:pPr>
            <w:r>
              <w:rPr>
                <w:rFonts w:ascii="Consolas" w:hAnsi="Consolas"/>
                <w:sz w:val="18"/>
              </w:rPr>
              <w:t xml:space="preserve">    "15": {</w:t>
            </w:r>
          </w:p>
          <w:p>
            <w:pPr>
              <w:jc w:val="center"/>
            </w:pPr>
            <w:r>
              <w:rPr>
                <w:rFonts w:ascii="Consolas" w:hAnsi="Consolas"/>
                <w:sz w:val="18"/>
              </w:rPr>
              <w:t xml:space="preserve">      "prediction":{"town":"AUCKLAND","country":"NZ","country_name":"New Zealand"},</w:t>
            </w:r>
          </w:p>
          <w:p>
            <w:pPr>
              <w:jc w:val="center"/>
            </w:pPr>
            <w:r>
              <w:rPr>
                <w:rFonts w:ascii="Consolas" w:hAnsi="Consolas"/>
                <w:sz w:val="18"/>
              </w:rPr>
              <w:t xml:space="preserve">      "evidence":{"town_exists":true,"country_exists":true},</w:t>
            </w:r>
          </w:p>
          <w:p>
            <w:pPr>
              <w:jc w:val="center"/>
            </w:pPr>
            <w:r>
              <w:rPr>
                <w:rFonts w:ascii="Consolas" w:hAnsi="Consolas"/>
                <w:sz w:val="18"/>
              </w:rPr>
              <w:t xml:space="preserve">      "scoring":{"scenario":"both_explicit","composite_weighted_score":0.9702},</w:t>
            </w:r>
          </w:p>
          <w:p>
            <w:pPr>
              <w:jc w:val="center"/>
            </w:pPr>
            <w:r>
              <w:rPr>
                <w:rFonts w:ascii="Consolas" w:hAnsi="Consolas"/>
                <w:sz w:val="18"/>
              </w:rPr>
              <w:t xml:space="preserve">      "hitl":{"required":false,"threshold":0.90},</w:t>
            </w:r>
          </w:p>
          <w:p>
            <w:pPr>
              <w:jc w:val="center"/>
            </w:pPr>
            <w:r>
              <w:rPr>
                <w:rFonts w:ascii="Consolas" w:hAnsi="Consolas"/>
                <w:sz w:val="18"/>
              </w:rPr>
              <w:t xml:space="preserve">      "evaluation":{"cross_entropy":0.0151,"status":"both_grounded"},</w:t>
            </w:r>
          </w:p>
          <w:p>
            <w:pPr>
              <w:jc w:val="center"/>
            </w:pPr>
            <w:r>
              <w:rPr>
                <w:rFonts w:ascii="Consolas" w:hAnsi="Consolas"/>
                <w:sz w:val="18"/>
              </w:rPr>
              <w:t xml:space="preserve">      "retraction":{"combined_address_retracted":"23 CUSTOMS STREET EAST LEVEL 11 CITIGROUP CENTRE 1140"}</w:t>
            </w:r>
          </w:p>
          <w:p>
            <w:pPr>
              <w:jc w:val="center"/>
            </w:pPr>
            <w:r>
              <w:rPr>
                <w:rFonts w:ascii="Consolas" w:hAnsi="Consolas"/>
                <w:sz w:val="18"/>
              </w:rPr>
              <w:t xml:space="preserve">    }</w:t>
            </w:r>
          </w:p>
          <w:p>
            <w:pPr>
              <w:jc w:val="center"/>
            </w:pPr>
            <w:r>
              <w:rPr>
                <w:rFonts w:ascii="Consolas" w:hAnsi="Consolas"/>
                <w:sz w:val="18"/>
              </w:rPr>
              <w:t xml:space="preserve">  }</w:t>
            </w:r>
          </w:p>
          <w:p>
            <w:pPr>
              <w:jc w:val="center"/>
            </w:pPr>
            <w:r>
              <w:rPr>
                <w:rFonts w:ascii="Consolas" w:hAnsi="Consolas"/>
                <w:sz w:val="18"/>
              </w:rPr>
              <w:t>}</w:t>
            </w:r>
          </w:p>
        </w:tc>
      </w:tr>
    </w:tbl>
    <w:p>
      <w:pPr>
        <w:pStyle w:val="Heading1"/>
      </w:pPr>
      <w:r>
        <w:t>16. Enterprise Target-State Logical Architecture</w:t>
      </w:r>
    </w:p>
    <w:p>
      <w:r>
        <w:t>The following is a text-only target-state view, preserving the proven core processing semantics while replacing local file orchestration with enterprise ingress, persistence and event controls.</w:t>
      </w:r>
    </w:p>
    <w:tbl>
      <w:tblPr>
        <w:tblW w:type="auto" w:w="0"/>
        <w:jc w:val="center"/>
        <w:tblLook w:firstColumn="1" w:firstRow="1" w:lastColumn="0" w:lastRow="0" w:noHBand="0" w:noVBand="1" w:val="04A0"/>
      </w:tblPr>
      <w:tblGrid>
        <w:gridCol w:w="10224"/>
      </w:tblGrid>
      <w:tr>
        <w:tc>
          <w:tcPr>
            <w:tcW w:type="dxa" w:w="10224"/>
            <w:shd w:fill="F7F7F7"/>
          </w:tcPr>
          <w:p>
            <w:pPr>
              <w:jc w:val="center"/>
            </w:pPr>
            <w:r>
              <w:rPr>
                <w:rFonts w:ascii="Consolas" w:hAnsi="Consolas"/>
                <w:sz w:val="18"/>
              </w:rPr>
              <w:t>S3 Batch JSON/JSONL OR Kafka Event</w:t>
            </w:r>
          </w:p>
          <w:p>
            <w:pPr>
              <w:jc w:val="center"/>
            </w:pPr>
            <w:r>
              <w:rPr>
                <w:rFonts w:ascii="Consolas" w:hAnsi="Consolas"/>
                <w:sz w:val="18"/>
              </w:rPr>
              <w:t xml:space="preserve">        |</w:t>
            </w:r>
          </w:p>
          <w:p>
            <w:pPr>
              <w:jc w:val="center"/>
            </w:pPr>
            <w:r>
              <w:rPr>
                <w:rFonts w:ascii="Consolas" w:hAnsi="Consolas"/>
                <w:sz w:val="18"/>
              </w:rPr>
              <w:t>Schema Registry / Avro Contract Validation</w:t>
            </w:r>
          </w:p>
          <w:p>
            <w:pPr>
              <w:jc w:val="center"/>
            </w:pPr>
            <w:r>
              <w:rPr>
                <w:rFonts w:ascii="Consolas" w:hAnsi="Consolas"/>
                <w:sz w:val="18"/>
              </w:rPr>
              <w:t xml:space="preserve">        |</w:t>
            </w:r>
          </w:p>
          <w:p>
            <w:pPr>
              <w:jc w:val="center"/>
            </w:pPr>
            <w:r>
              <w:rPr>
                <w:rFonts w:ascii="Consolas" w:hAnsi="Consolas"/>
                <w:sz w:val="18"/>
              </w:rPr>
              <w:t>Canonical Record + Address Groups</w:t>
            </w:r>
          </w:p>
          <w:p>
            <w:pPr>
              <w:jc w:val="center"/>
            </w:pPr>
            <w:r>
              <w:rPr>
                <w:rFonts w:ascii="Consolas" w:hAnsi="Consolas"/>
                <w:sz w:val="18"/>
              </w:rPr>
              <w:t xml:space="preserve">        |</w:t>
            </w:r>
          </w:p>
          <w:p>
            <w:pPr>
              <w:jc w:val="center"/>
            </w:pPr>
            <w:r>
              <w:rPr>
                <w:rFonts w:ascii="Consolas" w:hAnsi="Consolas"/>
                <w:sz w:val="18"/>
              </w:rPr>
              <w:t>Deterministic Grouping / Null Skip / Cleaning</w:t>
            </w:r>
          </w:p>
          <w:p>
            <w:pPr>
              <w:jc w:val="center"/>
            </w:pPr>
            <w:r>
              <w:rPr>
                <w:rFonts w:ascii="Consolas" w:hAnsi="Consolas"/>
                <w:sz w:val="18"/>
              </w:rPr>
              <w:t xml:space="preserve">        |</w:t>
            </w:r>
          </w:p>
          <w:p>
            <w:pPr>
              <w:jc w:val="center"/>
            </w:pPr>
            <w:r>
              <w:rPr>
                <w:rFonts w:ascii="Consolas" w:hAnsi="Consolas"/>
                <w:sz w:val="18"/>
              </w:rPr>
              <w:t>Unique-Address Dedupe + Cache</w:t>
            </w:r>
          </w:p>
          <w:p>
            <w:pPr>
              <w:jc w:val="center"/>
            </w:pPr>
            <w:r>
              <w:rPr>
                <w:rFonts w:ascii="Consolas" w:hAnsi="Consolas"/>
                <w:sz w:val="18"/>
              </w:rPr>
              <w:t xml:space="preserve">        |</w:t>
            </w:r>
          </w:p>
          <w:p>
            <w:pPr>
              <w:jc w:val="center"/>
            </w:pPr>
            <w:r>
              <w:rPr>
                <w:rFonts w:ascii="Consolas" w:hAnsi="Consolas"/>
                <w:sz w:val="18"/>
              </w:rPr>
              <w:t>Enterprise-Approved LLM (Structured Output)</w:t>
            </w:r>
          </w:p>
          <w:p>
            <w:pPr>
              <w:jc w:val="center"/>
            </w:pPr>
            <w:r>
              <w:rPr>
                <w:rFonts w:ascii="Consolas" w:hAnsi="Consolas"/>
                <w:sz w:val="18"/>
              </w:rPr>
              <w:t xml:space="preserve">        |</w:t>
            </w:r>
          </w:p>
          <w:p>
            <w:pPr>
              <w:jc w:val="center"/>
            </w:pPr>
            <w:r>
              <w:rPr>
                <w:rFonts w:ascii="Consolas" w:hAnsi="Consolas"/>
                <w:sz w:val="18"/>
              </w:rPr>
              <w:t>ISO + Town/Country Reference Validation</w:t>
            </w:r>
          </w:p>
          <w:p>
            <w:pPr>
              <w:jc w:val="center"/>
            </w:pPr>
            <w:r>
              <w:rPr>
                <w:rFonts w:ascii="Consolas" w:hAnsi="Consolas"/>
                <w:sz w:val="18"/>
              </w:rPr>
              <w:t xml:space="preserve">        |</w:t>
            </w:r>
          </w:p>
          <w:p>
            <w:pPr>
              <w:jc w:val="center"/>
            </w:pPr>
            <w:r>
              <w:rPr>
                <w:rFonts w:ascii="Consolas" w:hAnsi="Consolas"/>
                <w:sz w:val="18"/>
              </w:rPr>
              <w:t>Deterministic Scenario + Composite Score</w:t>
            </w:r>
          </w:p>
          <w:p>
            <w:pPr>
              <w:jc w:val="center"/>
            </w:pPr>
            <w:r>
              <w:rPr>
                <w:rFonts w:ascii="Consolas" w:hAnsi="Consolas"/>
                <w:sz w:val="18"/>
              </w:rPr>
              <w:t xml:space="preserve">        |</w:t>
            </w:r>
          </w:p>
          <w:p>
            <w:pPr>
              <w:jc w:val="center"/>
            </w:pPr>
            <w:r>
              <w:rPr>
                <w:rFonts w:ascii="Consolas" w:hAnsi="Consolas"/>
                <w:sz w:val="18"/>
              </w:rPr>
              <w:t>Ground-Truth Availability + Cross-Entropy Evaluation</w:t>
            </w:r>
          </w:p>
          <w:p>
            <w:pPr>
              <w:jc w:val="center"/>
            </w:pPr>
            <w:r>
              <w:rPr>
                <w:rFonts w:ascii="Consolas" w:hAnsi="Consolas"/>
                <w:sz w:val="18"/>
              </w:rPr>
              <w:t xml:space="preserve">        |</w:t>
            </w:r>
          </w:p>
          <w:p>
            <w:pPr>
              <w:jc w:val="center"/>
            </w:pPr>
            <w:r>
              <w:rPr>
                <w:rFonts w:ascii="Consolas" w:hAnsi="Consolas"/>
                <w:sz w:val="18"/>
              </w:rPr>
              <w:t>Token-Safe Retraction</w:t>
            </w:r>
          </w:p>
          <w:p>
            <w:pPr>
              <w:jc w:val="center"/>
            </w:pPr>
            <w:r>
              <w:rPr>
                <w:rFonts w:ascii="Consolas" w:hAnsi="Consolas"/>
                <w:sz w:val="18"/>
              </w:rPr>
              <w:t xml:space="preserve">        |</w:t>
            </w:r>
          </w:p>
          <w:p>
            <w:pPr>
              <w:jc w:val="center"/>
            </w:pPr>
            <w:r>
              <w:rPr>
                <w:rFonts w:ascii="Consolas" w:hAnsi="Consolas"/>
                <w:sz w:val="18"/>
              </w:rPr>
              <w:t>HITL Decision Router</w:t>
            </w:r>
          </w:p>
          <w:p>
            <w:pPr>
              <w:jc w:val="center"/>
            </w:pPr>
            <w:r>
              <w:rPr>
                <w:rFonts w:ascii="Consolas" w:hAnsi="Consolas"/>
                <w:sz w:val="18"/>
              </w:rPr>
              <w:t xml:space="preserve">       / \</w:t>
            </w:r>
          </w:p>
          <w:p>
            <w:pPr>
              <w:jc w:val="center"/>
            </w:pPr>
            <w:r>
              <w:rPr>
                <w:rFonts w:ascii="Consolas" w:hAnsi="Consolas"/>
                <w:sz w:val="18"/>
              </w:rPr>
              <w:t>Auto Candidate   HITL Queue</w:t>
            </w:r>
          </w:p>
          <w:p>
            <w:pPr>
              <w:jc w:val="center"/>
            </w:pPr>
            <w:r>
              <w:rPr>
                <w:rFonts w:ascii="Consolas" w:hAnsi="Consolas"/>
                <w:sz w:val="18"/>
              </w:rPr>
              <w:t xml:space="preserve">       \ /</w:t>
            </w:r>
          </w:p>
          <w:p>
            <w:pPr>
              <w:jc w:val="center"/>
            </w:pPr>
            <w:r>
              <w:rPr>
                <w:rFonts w:ascii="Consolas" w:hAnsi="Consolas"/>
                <w:sz w:val="18"/>
              </w:rPr>
              <w:t>Canonical Result JSON + Full Audit JSON</w:t>
            </w:r>
          </w:p>
          <w:p>
            <w:pPr>
              <w:jc w:val="center"/>
            </w:pPr>
            <w:r>
              <w:rPr>
                <w:rFonts w:ascii="Consolas" w:hAnsi="Consolas"/>
                <w:sz w:val="18"/>
              </w:rPr>
              <w:t xml:space="preserve">        |</w:t>
            </w:r>
          </w:p>
          <w:p>
            <w:pPr>
              <w:jc w:val="center"/>
            </w:pPr>
            <w:r>
              <w:rPr>
                <w:rFonts w:ascii="Consolas" w:hAnsi="Consolas"/>
                <w:sz w:val="18"/>
              </w:rPr>
              <w:t>S3 / Kafka / Downstream Consumers / Analytics</w:t>
            </w:r>
          </w:p>
        </w:tc>
      </w:tr>
    </w:tbl>
    <w:p>
      <w:pPr>
        <w:pStyle w:val="Heading1"/>
      </w:pPr>
      <w:r>
        <w:t>17. Business Acceptance Criteria</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008"/>
            <w:tcMar>
              <w:top w:w="60" w:type="dxa"/>
              <w:start w:w="80" w:type="dxa"/>
              <w:bottom w:w="60" w:type="dxa"/>
              <w:end w:w="80" w:type="dxa"/>
            </w:tcMar>
            <w:vAlign w:val="center"/>
            <w:shd w:fill="17365D"/>
          </w:tcPr>
          <w:p>
            <w:r>
              <w:rPr>
                <w:b/>
                <w:color w:val="FFFFFF"/>
                <w:sz w:val="16"/>
              </w:rPr>
              <w:t>ID</w:t>
            </w:r>
          </w:p>
        </w:tc>
        <w:tc>
          <w:tcPr>
            <w:tcW w:type="dxa" w:w="2448"/>
            <w:tcMar>
              <w:top w:w="60" w:type="dxa"/>
              <w:start w:w="80" w:type="dxa"/>
              <w:bottom w:w="60" w:type="dxa"/>
              <w:end w:w="80" w:type="dxa"/>
            </w:tcMar>
            <w:vAlign w:val="center"/>
            <w:shd w:fill="17365D"/>
          </w:tcPr>
          <w:p>
            <w:r>
              <w:rPr>
                <w:b/>
                <w:color w:val="FFFFFF"/>
                <w:sz w:val="16"/>
              </w:rPr>
              <w:t>Acceptance Area</w:t>
            </w:r>
          </w:p>
        </w:tc>
        <w:tc>
          <w:tcPr>
            <w:tcW w:type="dxa" w:w="7344"/>
            <w:tcMar>
              <w:top w:w="60" w:type="dxa"/>
              <w:start w:w="80" w:type="dxa"/>
              <w:bottom w:w="60" w:type="dxa"/>
              <w:end w:w="80" w:type="dxa"/>
            </w:tcMar>
            <w:vAlign w:val="center"/>
            <w:shd w:fill="17365D"/>
          </w:tcPr>
          <w:p>
            <w:r>
              <w:rPr>
                <w:b/>
                <w:color w:val="FFFFFF"/>
                <w:sz w:val="16"/>
              </w:rPr>
              <w:t>Criterion</w:t>
            </w:r>
          </w:p>
        </w:tc>
      </w:tr>
      <w:tr>
        <w:tc>
          <w:tcPr>
            <w:tcW w:type="dxa" w:w="1008"/>
            <w:tcMar>
              <w:top w:w="60" w:type="dxa"/>
              <w:start w:w="80" w:type="dxa"/>
              <w:bottom w:w="60" w:type="dxa"/>
              <w:end w:w="80" w:type="dxa"/>
            </w:tcMar>
            <w:vAlign w:val="center"/>
          </w:tcPr>
          <w:p>
            <w:r>
              <w:rPr>
                <w:sz w:val="16"/>
              </w:rPr>
              <w:t>AC-01</w:t>
            </w:r>
          </w:p>
        </w:tc>
        <w:tc>
          <w:tcPr>
            <w:tcW w:type="dxa" w:w="2448"/>
            <w:tcMar>
              <w:top w:w="60" w:type="dxa"/>
              <w:start w:w="80" w:type="dxa"/>
              <w:bottom w:w="60" w:type="dxa"/>
              <w:end w:w="80" w:type="dxa"/>
            </w:tcMar>
            <w:vAlign w:val="center"/>
          </w:tcPr>
          <w:p>
            <w:r>
              <w:rPr>
                <w:sz w:val="16"/>
              </w:rPr>
              <w:t>Source integrity</w:t>
            </w:r>
          </w:p>
        </w:tc>
        <w:tc>
          <w:tcPr>
            <w:tcW w:type="dxa" w:w="7344"/>
            <w:tcMar>
              <w:top w:w="60" w:type="dxa"/>
              <w:start w:w="80" w:type="dxa"/>
              <w:bottom w:w="60" w:type="dxa"/>
              <w:end w:w="80" w:type="dxa"/>
            </w:tcMar>
            <w:vAlign w:val="center"/>
          </w:tcPr>
          <w:p>
            <w:r>
              <w:rPr>
                <w:sz w:val="16"/>
              </w:rPr>
              <w:t>All original source fields and record identifiers are preserved; retraction does not mutate originals.</w:t>
            </w:r>
          </w:p>
        </w:tc>
      </w:tr>
      <w:tr>
        <w:tc>
          <w:tcPr>
            <w:tcW w:type="dxa" w:w="1008"/>
            <w:tcMar>
              <w:top w:w="60" w:type="dxa"/>
              <w:start w:w="80" w:type="dxa"/>
              <w:bottom w:w="60" w:type="dxa"/>
              <w:end w:w="80" w:type="dxa"/>
            </w:tcMar>
            <w:vAlign w:val="center"/>
            <w:shd w:fill="F3F6FA"/>
          </w:tcPr>
          <w:p>
            <w:r>
              <w:rPr>
                <w:sz w:val="16"/>
              </w:rPr>
              <w:t>AC-02</w:t>
            </w:r>
          </w:p>
        </w:tc>
        <w:tc>
          <w:tcPr>
            <w:tcW w:type="dxa" w:w="2448"/>
            <w:tcMar>
              <w:top w:w="60" w:type="dxa"/>
              <w:start w:w="80" w:type="dxa"/>
              <w:bottom w:w="60" w:type="dxa"/>
              <w:end w:w="80" w:type="dxa"/>
            </w:tcMar>
            <w:vAlign w:val="center"/>
            <w:shd w:fill="F3F6FA"/>
          </w:tcPr>
          <w:p>
            <w:r>
              <w:rPr>
                <w:sz w:val="16"/>
              </w:rPr>
              <w:t>Null efficiency</w:t>
            </w:r>
          </w:p>
        </w:tc>
        <w:tc>
          <w:tcPr>
            <w:tcW w:type="dxa" w:w="7344"/>
            <w:tcMar>
              <w:top w:w="60" w:type="dxa"/>
              <w:start w:w="80" w:type="dxa"/>
              <w:bottom w:w="60" w:type="dxa"/>
              <w:end w:w="80" w:type="dxa"/>
            </w:tcMar>
            <w:vAlign w:val="center"/>
            <w:shd w:fill="F3F6FA"/>
          </w:tcPr>
          <w:p>
            <w:r>
              <w:rPr>
                <w:sz w:val="16"/>
              </w:rPr>
              <w:t>Empty address groups do not invoke the LLM.</w:t>
            </w:r>
          </w:p>
        </w:tc>
      </w:tr>
      <w:tr>
        <w:tc>
          <w:tcPr>
            <w:tcW w:type="dxa" w:w="1008"/>
            <w:tcMar>
              <w:top w:w="60" w:type="dxa"/>
              <w:start w:w="80" w:type="dxa"/>
              <w:bottom w:w="60" w:type="dxa"/>
              <w:end w:w="80" w:type="dxa"/>
            </w:tcMar>
            <w:vAlign w:val="center"/>
          </w:tcPr>
          <w:p>
            <w:r>
              <w:rPr>
                <w:sz w:val="16"/>
              </w:rPr>
              <w:t>AC-03</w:t>
            </w:r>
          </w:p>
        </w:tc>
        <w:tc>
          <w:tcPr>
            <w:tcW w:type="dxa" w:w="2448"/>
            <w:tcMar>
              <w:top w:w="60" w:type="dxa"/>
              <w:start w:w="80" w:type="dxa"/>
              <w:bottom w:w="60" w:type="dxa"/>
              <w:end w:w="80" w:type="dxa"/>
            </w:tcMar>
            <w:vAlign w:val="center"/>
          </w:tcPr>
          <w:p>
            <w:r>
              <w:rPr>
                <w:sz w:val="16"/>
              </w:rPr>
              <w:t>Deterministic verification</w:t>
            </w:r>
          </w:p>
        </w:tc>
        <w:tc>
          <w:tcPr>
            <w:tcW w:type="dxa" w:w="7344"/>
            <w:tcMar>
              <w:top w:w="60" w:type="dxa"/>
              <w:start w:w="80" w:type="dxa"/>
              <w:bottom w:w="60" w:type="dxa"/>
              <w:end w:w="80" w:type="dxa"/>
            </w:tcMar>
            <w:vAlign w:val="center"/>
          </w:tcPr>
          <w:p>
            <w:r>
              <w:rPr>
                <w:sz w:val="16"/>
              </w:rPr>
              <w:t>Substring traps and ambiguous country-code tokens are handled safely.</w:t>
            </w:r>
          </w:p>
        </w:tc>
      </w:tr>
      <w:tr>
        <w:tc>
          <w:tcPr>
            <w:tcW w:type="dxa" w:w="1008"/>
            <w:tcMar>
              <w:top w:w="60" w:type="dxa"/>
              <w:start w:w="80" w:type="dxa"/>
              <w:bottom w:w="60" w:type="dxa"/>
              <w:end w:w="80" w:type="dxa"/>
            </w:tcMar>
            <w:vAlign w:val="center"/>
            <w:shd w:fill="F3F6FA"/>
          </w:tcPr>
          <w:p>
            <w:r>
              <w:rPr>
                <w:sz w:val="16"/>
              </w:rPr>
              <w:t>AC-04</w:t>
            </w:r>
          </w:p>
        </w:tc>
        <w:tc>
          <w:tcPr>
            <w:tcW w:type="dxa" w:w="2448"/>
            <w:tcMar>
              <w:top w:w="60" w:type="dxa"/>
              <w:start w:w="80" w:type="dxa"/>
              <w:bottom w:w="60" w:type="dxa"/>
              <w:end w:w="80" w:type="dxa"/>
            </w:tcMar>
            <w:vAlign w:val="center"/>
            <w:shd w:fill="F3F6FA"/>
          </w:tcPr>
          <w:p>
            <w:r>
              <w:rPr>
                <w:sz w:val="16"/>
              </w:rPr>
              <w:t>Country compliance</w:t>
            </w:r>
          </w:p>
        </w:tc>
        <w:tc>
          <w:tcPr>
            <w:tcW w:type="dxa" w:w="7344"/>
            <w:tcMar>
              <w:top w:w="60" w:type="dxa"/>
              <w:start w:w="80" w:type="dxa"/>
              <w:bottom w:w="60" w:type="dxa"/>
              <w:end w:w="80" w:type="dxa"/>
            </w:tcMar>
            <w:vAlign w:val="center"/>
            <w:shd w:fill="F3F6FA"/>
          </w:tcPr>
          <w:p>
            <w:r>
              <w:rPr>
                <w:sz w:val="16"/>
              </w:rPr>
              <w:t>Final Country candidates are valid ISO alpha-2 codes or NO_COUNTRY; deterministic Country Name aligns with each code.</w:t>
            </w:r>
          </w:p>
        </w:tc>
      </w:tr>
      <w:tr>
        <w:tc>
          <w:tcPr>
            <w:tcW w:type="dxa" w:w="1008"/>
            <w:tcMar>
              <w:top w:w="60" w:type="dxa"/>
              <w:start w:w="80" w:type="dxa"/>
              <w:bottom w:w="60" w:type="dxa"/>
              <w:end w:w="80" w:type="dxa"/>
            </w:tcMar>
            <w:vAlign w:val="center"/>
          </w:tcPr>
          <w:p>
            <w:r>
              <w:rPr>
                <w:sz w:val="16"/>
              </w:rPr>
              <w:t>AC-05</w:t>
            </w:r>
          </w:p>
        </w:tc>
        <w:tc>
          <w:tcPr>
            <w:tcW w:type="dxa" w:w="2448"/>
            <w:tcMar>
              <w:top w:w="60" w:type="dxa"/>
              <w:start w:w="80" w:type="dxa"/>
              <w:bottom w:w="60" w:type="dxa"/>
              <w:end w:w="80" w:type="dxa"/>
            </w:tcMar>
            <w:vAlign w:val="center"/>
          </w:tcPr>
          <w:p>
            <w:r>
              <w:rPr>
                <w:sz w:val="16"/>
              </w:rPr>
              <w:t>Ambiguity control</w:t>
            </w:r>
          </w:p>
        </w:tc>
        <w:tc>
          <w:tcPr>
            <w:tcW w:type="dxa" w:w="7344"/>
            <w:tcMar>
              <w:top w:w="60" w:type="dxa"/>
              <w:start w:w="80" w:type="dxa"/>
              <w:bottom w:w="60" w:type="dxa"/>
              <w:end w:w="80" w:type="dxa"/>
            </w:tcMar>
            <w:vAlign w:val="center"/>
          </w:tcPr>
          <w:p>
            <w:r>
              <w:rPr>
                <w:sz w:val="16"/>
              </w:rPr>
              <w:t>Unresolved multi-country cases preserve candidates, score zero on Country side and route to HITL.</w:t>
            </w:r>
          </w:p>
        </w:tc>
      </w:tr>
      <w:tr>
        <w:tc>
          <w:tcPr>
            <w:tcW w:type="dxa" w:w="1008"/>
            <w:tcMar>
              <w:top w:w="60" w:type="dxa"/>
              <w:start w:w="80" w:type="dxa"/>
              <w:bottom w:w="60" w:type="dxa"/>
              <w:end w:w="80" w:type="dxa"/>
            </w:tcMar>
            <w:vAlign w:val="center"/>
            <w:shd w:fill="F3F6FA"/>
          </w:tcPr>
          <w:p>
            <w:r>
              <w:rPr>
                <w:sz w:val="16"/>
              </w:rPr>
              <w:t>AC-06</w:t>
            </w:r>
          </w:p>
        </w:tc>
        <w:tc>
          <w:tcPr>
            <w:tcW w:type="dxa" w:w="2448"/>
            <w:tcMar>
              <w:top w:w="60" w:type="dxa"/>
              <w:start w:w="80" w:type="dxa"/>
              <w:bottom w:w="60" w:type="dxa"/>
              <w:end w:w="80" w:type="dxa"/>
            </w:tcMar>
            <w:vAlign w:val="center"/>
            <w:shd w:fill="F3F6FA"/>
          </w:tcPr>
          <w:p>
            <w:r>
              <w:rPr>
                <w:sz w:val="16"/>
              </w:rPr>
              <w:t>Scoring control</w:t>
            </w:r>
          </w:p>
        </w:tc>
        <w:tc>
          <w:tcPr>
            <w:tcW w:type="dxa" w:w="7344"/>
            <w:tcMar>
              <w:top w:w="60" w:type="dxa"/>
              <w:start w:w="80" w:type="dxa"/>
              <w:bottom w:w="60" w:type="dxa"/>
              <w:end w:w="80" w:type="dxa"/>
            </w:tcMar>
            <w:vAlign w:val="center"/>
            <w:shd w:fill="F3F6FA"/>
          </w:tcPr>
          <w:p>
            <w:r>
              <w:rPr>
                <w:sz w:val="16"/>
              </w:rPr>
              <w:t>Composite Weighted Score is reproducible from stored confidences, scenario and configured weights.</w:t>
            </w:r>
          </w:p>
        </w:tc>
      </w:tr>
      <w:tr>
        <w:tc>
          <w:tcPr>
            <w:tcW w:type="dxa" w:w="1008"/>
            <w:tcMar>
              <w:top w:w="60" w:type="dxa"/>
              <w:start w:w="80" w:type="dxa"/>
              <w:bottom w:w="60" w:type="dxa"/>
              <w:end w:w="80" w:type="dxa"/>
            </w:tcMar>
            <w:vAlign w:val="center"/>
          </w:tcPr>
          <w:p>
            <w:r>
              <w:rPr>
                <w:sz w:val="16"/>
              </w:rPr>
              <w:t>AC-07</w:t>
            </w:r>
          </w:p>
        </w:tc>
        <w:tc>
          <w:tcPr>
            <w:tcW w:type="dxa" w:w="2448"/>
            <w:tcMar>
              <w:top w:w="60" w:type="dxa"/>
              <w:start w:w="80" w:type="dxa"/>
              <w:bottom w:w="60" w:type="dxa"/>
              <w:end w:w="80" w:type="dxa"/>
            </w:tcMar>
            <w:vAlign w:val="center"/>
          </w:tcPr>
          <w:p>
            <w:r>
              <w:rPr>
                <w:sz w:val="16"/>
              </w:rPr>
              <w:t>Threshold control</w:t>
            </w:r>
          </w:p>
        </w:tc>
        <w:tc>
          <w:tcPr>
            <w:tcW w:type="dxa" w:w="7344"/>
            <w:tcMar>
              <w:top w:w="60" w:type="dxa"/>
              <w:start w:w="80" w:type="dxa"/>
              <w:bottom w:w="60" w:type="dxa"/>
              <w:end w:w="80" w:type="dxa"/>
            </w:tcMar>
            <w:vAlign w:val="center"/>
          </w:tcPr>
          <w:p>
            <w:r>
              <w:rPr>
                <w:sz w:val="16"/>
              </w:rPr>
              <w:t>Operational threshold is externalized, versioned and demonstrably separated from analytical recommendation.</w:t>
            </w:r>
          </w:p>
        </w:tc>
      </w:tr>
      <w:tr>
        <w:tc>
          <w:tcPr>
            <w:tcW w:type="dxa" w:w="1008"/>
            <w:tcMar>
              <w:top w:w="60" w:type="dxa"/>
              <w:start w:w="80" w:type="dxa"/>
              <w:bottom w:w="60" w:type="dxa"/>
              <w:end w:w="80" w:type="dxa"/>
            </w:tcMar>
            <w:vAlign w:val="center"/>
            <w:shd w:fill="F3F6FA"/>
          </w:tcPr>
          <w:p>
            <w:r>
              <w:rPr>
                <w:sz w:val="16"/>
              </w:rPr>
              <w:t>AC-08</w:t>
            </w:r>
          </w:p>
        </w:tc>
        <w:tc>
          <w:tcPr>
            <w:tcW w:type="dxa" w:w="2448"/>
            <w:tcMar>
              <w:top w:w="60" w:type="dxa"/>
              <w:start w:w="80" w:type="dxa"/>
              <w:bottom w:w="60" w:type="dxa"/>
              <w:end w:w="80" w:type="dxa"/>
            </w:tcMar>
            <w:vAlign w:val="center"/>
            <w:shd w:fill="F3F6FA"/>
          </w:tcPr>
          <w:p>
            <w:r>
              <w:rPr>
                <w:sz w:val="16"/>
              </w:rPr>
              <w:t>Evaluation integrity</w:t>
            </w:r>
          </w:p>
        </w:tc>
        <w:tc>
          <w:tcPr>
            <w:tcW w:type="dxa" w:w="7344"/>
            <w:tcMar>
              <w:top w:w="60" w:type="dxa"/>
              <w:start w:w="80" w:type="dxa"/>
              <w:bottom w:w="60" w:type="dxa"/>
              <w:end w:w="80" w:type="dxa"/>
            </w:tcMar>
            <w:vAlign w:val="center"/>
            <w:shd w:fill="F3F6FA"/>
          </w:tcPr>
          <w:p>
            <w:r>
              <w:rPr>
                <w:sz w:val="16"/>
              </w:rPr>
              <w:t>Cross-entropy excludes ungrounded observations and can distinguish contradiction from lack of evidence in the audit trail.</w:t>
            </w:r>
          </w:p>
        </w:tc>
      </w:tr>
      <w:tr>
        <w:tc>
          <w:tcPr>
            <w:tcW w:type="dxa" w:w="1008"/>
            <w:tcMar>
              <w:top w:w="60" w:type="dxa"/>
              <w:start w:w="80" w:type="dxa"/>
              <w:bottom w:w="60" w:type="dxa"/>
              <w:end w:w="80" w:type="dxa"/>
            </w:tcMar>
            <w:vAlign w:val="center"/>
          </w:tcPr>
          <w:p>
            <w:r>
              <w:rPr>
                <w:sz w:val="16"/>
              </w:rPr>
              <w:t>AC-09</w:t>
            </w:r>
          </w:p>
        </w:tc>
        <w:tc>
          <w:tcPr>
            <w:tcW w:type="dxa" w:w="2448"/>
            <w:tcMar>
              <w:top w:w="60" w:type="dxa"/>
              <w:start w:w="80" w:type="dxa"/>
              <w:bottom w:w="60" w:type="dxa"/>
              <w:end w:w="80" w:type="dxa"/>
            </w:tcMar>
            <w:vAlign w:val="center"/>
          </w:tcPr>
          <w:p>
            <w:r>
              <w:rPr>
                <w:sz w:val="16"/>
              </w:rPr>
              <w:t>Audit completeness</w:t>
            </w:r>
          </w:p>
        </w:tc>
        <w:tc>
          <w:tcPr>
            <w:tcW w:type="dxa" w:w="7344"/>
            <w:tcMar>
              <w:top w:w="60" w:type="dxa"/>
              <w:start w:w="80" w:type="dxa"/>
              <w:bottom w:w="60" w:type="dxa"/>
              <w:end w:w="80" w:type="dxa"/>
            </w:tcMar>
            <w:vAlign w:val="center"/>
          </w:tcPr>
          <w:p>
            <w:r>
              <w:rPr>
                <w:sz w:val="16"/>
              </w:rPr>
              <w:t>Canonical JSON allows reconstruction of model, reference, scoring, evaluation, retraction and human decisions.</w:t>
            </w:r>
          </w:p>
        </w:tc>
      </w:tr>
      <w:tr>
        <w:tc>
          <w:tcPr>
            <w:tcW w:type="dxa" w:w="1008"/>
            <w:tcMar>
              <w:top w:w="60" w:type="dxa"/>
              <w:start w:w="80" w:type="dxa"/>
              <w:bottom w:w="60" w:type="dxa"/>
              <w:end w:w="80" w:type="dxa"/>
            </w:tcMar>
            <w:vAlign w:val="center"/>
            <w:shd w:fill="F3F6FA"/>
          </w:tcPr>
          <w:p>
            <w:r>
              <w:rPr>
                <w:sz w:val="16"/>
              </w:rPr>
              <w:t>AC-10</w:t>
            </w:r>
          </w:p>
        </w:tc>
        <w:tc>
          <w:tcPr>
            <w:tcW w:type="dxa" w:w="2448"/>
            <w:tcMar>
              <w:top w:w="60" w:type="dxa"/>
              <w:start w:w="80" w:type="dxa"/>
              <w:bottom w:w="60" w:type="dxa"/>
              <w:end w:w="80" w:type="dxa"/>
            </w:tcMar>
            <w:vAlign w:val="center"/>
            <w:shd w:fill="F3F6FA"/>
          </w:tcPr>
          <w:p>
            <w:r>
              <w:rPr>
                <w:sz w:val="16"/>
              </w:rPr>
              <w:t>Schema governance</w:t>
            </w:r>
          </w:p>
        </w:tc>
        <w:tc>
          <w:tcPr>
            <w:tcW w:type="dxa" w:w="7344"/>
            <w:tcMar>
              <w:top w:w="60" w:type="dxa"/>
              <w:start w:w="80" w:type="dxa"/>
              <w:bottom w:w="60" w:type="dxa"/>
              <w:end w:w="80" w:type="dxa"/>
            </w:tcMar>
            <w:vAlign w:val="center"/>
            <w:shd w:fill="F3F6FA"/>
          </w:tcPr>
          <w:p>
            <w:r>
              <w:rPr>
                <w:sz w:val="16"/>
              </w:rPr>
              <w:t>Enterprise input/output pass registered schema compatibility checks.</w:t>
            </w:r>
          </w:p>
        </w:tc>
      </w:tr>
      <w:tr>
        <w:tc>
          <w:tcPr>
            <w:tcW w:type="dxa" w:w="1008"/>
            <w:tcMar>
              <w:top w:w="60" w:type="dxa"/>
              <w:start w:w="80" w:type="dxa"/>
              <w:bottom w:w="60" w:type="dxa"/>
              <w:end w:w="80" w:type="dxa"/>
            </w:tcMar>
            <w:vAlign w:val="center"/>
          </w:tcPr>
          <w:p>
            <w:r>
              <w:rPr>
                <w:sz w:val="16"/>
              </w:rPr>
              <w:t>AC-11</w:t>
            </w:r>
          </w:p>
        </w:tc>
        <w:tc>
          <w:tcPr>
            <w:tcW w:type="dxa" w:w="2448"/>
            <w:tcMar>
              <w:top w:w="60" w:type="dxa"/>
              <w:start w:w="80" w:type="dxa"/>
              <w:bottom w:w="60" w:type="dxa"/>
              <w:end w:w="80" w:type="dxa"/>
            </w:tcMar>
            <w:vAlign w:val="center"/>
          </w:tcPr>
          <w:p>
            <w:r>
              <w:rPr>
                <w:sz w:val="16"/>
              </w:rPr>
              <w:t>Error integrity</w:t>
            </w:r>
          </w:p>
        </w:tc>
        <w:tc>
          <w:tcPr>
            <w:tcW w:type="dxa" w:w="7344"/>
            <w:tcMar>
              <w:top w:w="60" w:type="dxa"/>
              <w:start w:w="80" w:type="dxa"/>
              <w:bottom w:w="60" w:type="dxa"/>
              <w:end w:w="80" w:type="dxa"/>
            </w:tcMar>
            <w:vAlign w:val="center"/>
          </w:tcPr>
          <w:p>
            <w:r>
              <w:rPr>
                <w:sz w:val="16"/>
              </w:rPr>
              <w:t>API/schema/reference failures never appear as valid NO_TOWN/NO_COUNTRY business conclusions.</w:t>
            </w:r>
          </w:p>
        </w:tc>
      </w:tr>
      <w:tr>
        <w:tc>
          <w:tcPr>
            <w:tcW w:type="dxa" w:w="1008"/>
            <w:tcMar>
              <w:top w:w="60" w:type="dxa"/>
              <w:start w:w="80" w:type="dxa"/>
              <w:bottom w:w="60" w:type="dxa"/>
              <w:end w:w="80" w:type="dxa"/>
            </w:tcMar>
            <w:vAlign w:val="center"/>
            <w:shd w:fill="F3F6FA"/>
          </w:tcPr>
          <w:p>
            <w:r>
              <w:rPr>
                <w:sz w:val="16"/>
              </w:rPr>
              <w:t>AC-12</w:t>
            </w:r>
          </w:p>
        </w:tc>
        <w:tc>
          <w:tcPr>
            <w:tcW w:type="dxa" w:w="2448"/>
            <w:tcMar>
              <w:top w:w="60" w:type="dxa"/>
              <w:start w:w="80" w:type="dxa"/>
              <w:bottom w:w="60" w:type="dxa"/>
              <w:end w:w="80" w:type="dxa"/>
            </w:tcMar>
            <w:vAlign w:val="center"/>
            <w:shd w:fill="F3F6FA"/>
          </w:tcPr>
          <w:p>
            <w:r>
              <w:rPr>
                <w:sz w:val="16"/>
              </w:rPr>
              <w:t>HITL traceability</w:t>
            </w:r>
          </w:p>
        </w:tc>
        <w:tc>
          <w:tcPr>
            <w:tcW w:type="dxa" w:w="7344"/>
            <w:tcMar>
              <w:top w:w="60" w:type="dxa"/>
              <w:start w:w="80" w:type="dxa"/>
              <w:bottom w:w="60" w:type="dxa"/>
              <w:end w:w="80" w:type="dxa"/>
            </w:tcMar>
            <w:vAlign w:val="center"/>
            <w:shd w:fill="F3F6FA"/>
          </w:tcPr>
          <w:p>
            <w:r>
              <w:rPr>
                <w:sz w:val="16"/>
              </w:rPr>
              <w:t>Human reviewer action, correction and reason are captured as a new auditable event.</w:t>
            </w:r>
          </w:p>
        </w:tc>
      </w:tr>
      <w:tr>
        <w:tc>
          <w:tcPr>
            <w:tcW w:type="dxa" w:w="1008"/>
            <w:tcMar>
              <w:top w:w="60" w:type="dxa"/>
              <w:start w:w="80" w:type="dxa"/>
              <w:bottom w:w="60" w:type="dxa"/>
              <w:end w:w="80" w:type="dxa"/>
            </w:tcMar>
            <w:vAlign w:val="center"/>
          </w:tcPr>
          <w:p>
            <w:r>
              <w:rPr>
                <w:sz w:val="16"/>
              </w:rPr>
              <w:t>AC-13</w:t>
            </w:r>
          </w:p>
        </w:tc>
        <w:tc>
          <w:tcPr>
            <w:tcW w:type="dxa" w:w="2448"/>
            <w:tcMar>
              <w:top w:w="60" w:type="dxa"/>
              <w:start w:w="80" w:type="dxa"/>
              <w:bottom w:w="60" w:type="dxa"/>
              <w:end w:w="80" w:type="dxa"/>
            </w:tcMar>
            <w:vAlign w:val="center"/>
          </w:tcPr>
          <w:p>
            <w:r>
              <w:rPr>
                <w:sz w:val="16"/>
              </w:rPr>
              <w:t>Operational reporting</w:t>
            </w:r>
          </w:p>
        </w:tc>
        <w:tc>
          <w:tcPr>
            <w:tcW w:type="dxa" w:w="7344"/>
            <w:tcMar>
              <w:top w:w="60" w:type="dxa"/>
              <w:start w:w="80" w:type="dxa"/>
              <w:bottom w:w="60" w:type="dxa"/>
              <w:end w:w="80" w:type="dxa"/>
            </w:tcMar>
            <w:vAlign w:val="center"/>
          </w:tcPr>
          <w:p>
            <w:r>
              <w:rPr>
                <w:sz w:val="16"/>
              </w:rPr>
              <w:t>Management reporting reconciles records, group instances and unique addresses without denominator mixing.</w:t>
            </w:r>
          </w:p>
        </w:tc>
      </w:tr>
      <w:tr>
        <w:tc>
          <w:tcPr>
            <w:tcW w:type="dxa" w:w="1008"/>
            <w:tcMar>
              <w:top w:w="60" w:type="dxa"/>
              <w:start w:w="80" w:type="dxa"/>
              <w:bottom w:w="60" w:type="dxa"/>
              <w:end w:w="80" w:type="dxa"/>
            </w:tcMar>
            <w:vAlign w:val="center"/>
            <w:shd w:fill="F3F6FA"/>
          </w:tcPr>
          <w:p>
            <w:r>
              <w:rPr>
                <w:sz w:val="16"/>
              </w:rPr>
              <w:t>AC-14</w:t>
            </w:r>
          </w:p>
        </w:tc>
        <w:tc>
          <w:tcPr>
            <w:tcW w:type="dxa" w:w="2448"/>
            <w:tcMar>
              <w:top w:w="60" w:type="dxa"/>
              <w:start w:w="80" w:type="dxa"/>
              <w:bottom w:w="60" w:type="dxa"/>
              <w:end w:w="80" w:type="dxa"/>
            </w:tcMar>
            <w:vAlign w:val="center"/>
            <w:shd w:fill="F3F6FA"/>
          </w:tcPr>
          <w:p>
            <w:r>
              <w:rPr>
                <w:sz w:val="16"/>
              </w:rPr>
              <w:t>Security</w:t>
            </w:r>
          </w:p>
        </w:tc>
        <w:tc>
          <w:tcPr>
            <w:tcW w:type="dxa" w:w="7344"/>
            <w:tcMar>
              <w:top w:w="60" w:type="dxa"/>
              <w:start w:w="80" w:type="dxa"/>
              <w:bottom w:w="60" w:type="dxa"/>
              <w:end w:w="80" w:type="dxa"/>
            </w:tcMar>
            <w:vAlign w:val="center"/>
            <w:shd w:fill="F3F6FA"/>
          </w:tcPr>
          <w:p>
            <w:r>
              <w:rPr>
                <w:sz w:val="16"/>
              </w:rPr>
              <w:t>Raw address data is absent from standard operational logs and protected at rest/in transit.</w:t>
            </w:r>
          </w:p>
        </w:tc>
      </w:tr>
      <w:tr>
        <w:tc>
          <w:tcPr>
            <w:tcW w:type="dxa" w:w="1008"/>
            <w:tcMar>
              <w:top w:w="60" w:type="dxa"/>
              <w:start w:w="80" w:type="dxa"/>
              <w:bottom w:w="60" w:type="dxa"/>
              <w:end w:w="80" w:type="dxa"/>
            </w:tcMar>
            <w:vAlign w:val="center"/>
          </w:tcPr>
          <w:p>
            <w:r>
              <w:rPr>
                <w:sz w:val="16"/>
              </w:rPr>
              <w:t>AC-15</w:t>
            </w:r>
          </w:p>
        </w:tc>
        <w:tc>
          <w:tcPr>
            <w:tcW w:type="dxa" w:w="2448"/>
            <w:tcMar>
              <w:top w:w="60" w:type="dxa"/>
              <w:start w:w="80" w:type="dxa"/>
              <w:bottom w:w="60" w:type="dxa"/>
              <w:end w:w="80" w:type="dxa"/>
            </w:tcMar>
            <w:vAlign w:val="center"/>
          </w:tcPr>
          <w:p>
            <w:r>
              <w:rPr>
                <w:sz w:val="16"/>
              </w:rPr>
              <w:t>Regression</w:t>
            </w:r>
          </w:p>
        </w:tc>
        <w:tc>
          <w:tcPr>
            <w:tcW w:type="dxa" w:w="7344"/>
            <w:tcMar>
              <w:top w:w="60" w:type="dxa"/>
              <w:start w:w="80" w:type="dxa"/>
              <w:bottom w:w="60" w:type="dxa"/>
              <w:end w:w="80" w:type="dxa"/>
            </w:tcMar>
            <w:vAlign w:val="center"/>
          </w:tcPr>
          <w:p>
            <w:r>
              <w:rPr>
                <w:sz w:val="16"/>
              </w:rPr>
              <w:t>A stable benchmark suite demonstrates no material regression before model/prompt/reference/policy promotion.</w:t>
            </w:r>
          </w:p>
        </w:tc>
      </w:tr>
    </w:tbl>
    <w:p>
      <w:pPr>
        <w:pStyle w:val="Heading1"/>
      </w:pPr>
      <w:r>
        <w:t>18. Governance and Change Management</w:t>
      </w:r>
    </w:p>
    <w:p>
      <w:pPr>
        <w:pStyle w:val="ListBullet"/>
        <w:spacing w:after="40"/>
      </w:pPr>
      <w:r>
        <w:rPr>
          <w:sz w:val="19"/>
        </w:rPr>
        <w:t>Prompt versions, model versions, reference-data versions, scoring weights and HITL thresholds must be separately versioned.</w:t>
      </w:r>
    </w:p>
    <w:p>
      <w:pPr>
        <w:pStyle w:val="ListBullet"/>
        <w:spacing w:after="40"/>
      </w:pPr>
      <w:r>
        <w:rPr>
          <w:sz w:val="19"/>
        </w:rPr>
        <w:t>Changes to weights/thresholds are business-policy changes and require business/model-governance approval, not only code review.</w:t>
      </w:r>
    </w:p>
    <w:p>
      <w:pPr>
        <w:pStyle w:val="ListBullet"/>
        <w:spacing w:after="40"/>
      </w:pPr>
      <w:r>
        <w:rPr>
          <w:sz w:val="19"/>
        </w:rPr>
        <w:t>Model or prompt promotion must include regression testing on a labeled benchmark and threshold/coverage analysis.</w:t>
      </w:r>
    </w:p>
    <w:p>
      <w:pPr>
        <w:pStyle w:val="ListBullet"/>
        <w:spacing w:after="40"/>
      </w:pPr>
      <w:r>
        <w:rPr>
          <w:sz w:val="19"/>
        </w:rPr>
        <w:t>Reference-data replacement must update provenance/version and invalidate stale cache entries where reference context affects results.</w:t>
      </w:r>
    </w:p>
    <w:p>
      <w:pPr>
        <w:pStyle w:val="ListBullet"/>
        <w:spacing w:after="40"/>
      </w:pPr>
      <w:r>
        <w:rPr>
          <w:sz w:val="19"/>
        </w:rPr>
        <w:t>Schema changes must follow enterprise compatibility rules and producer/consumer change management.</w:t>
      </w:r>
    </w:p>
    <w:p>
      <w:pPr>
        <w:pStyle w:val="ListBullet"/>
        <w:spacing w:after="40"/>
      </w:pPr>
      <w:r>
        <w:rPr>
          <w:sz w:val="19"/>
        </w:rPr>
        <w:t>HITL corrections should be retained as labeled feedback for future calibration and challenger analysis, subject to governance approval.</w:t>
      </w:r>
    </w:p>
    <w:p>
      <w:pPr>
        <w:pStyle w:val="Heading1"/>
      </w:pPr>
      <w:r>
        <w:t>19. Risks, Assumptions and Dependencies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tcMar>
              <w:top w:w="60" w:type="dxa"/>
              <w:start w:w="80" w:type="dxa"/>
              <w:bottom w:w="60" w:type="dxa"/>
              <w:end w:w="80" w:type="dxa"/>
            </w:tcMar>
            <w:vAlign w:val="center"/>
            <w:shd w:fill="17365D"/>
          </w:tcPr>
          <w:p>
            <w:r>
              <w:rPr>
                <w:b/>
                <w:color w:val="FFFFFF"/>
                <w:sz w:val="16"/>
              </w:rPr>
              <w:t>Risk / Dependency</w:t>
            </w:r>
          </w:p>
        </w:tc>
        <w:tc>
          <w:tcPr>
            <w:tcW w:type="dxa" w:w="3888"/>
            <w:tcMar>
              <w:top w:w="60" w:type="dxa"/>
              <w:start w:w="80" w:type="dxa"/>
              <w:bottom w:w="60" w:type="dxa"/>
              <w:end w:w="80" w:type="dxa"/>
            </w:tcMar>
            <w:vAlign w:val="center"/>
            <w:shd w:fill="17365D"/>
          </w:tcPr>
          <w:p>
            <w:r>
              <w:rPr>
                <w:b/>
                <w:color w:val="FFFFFF"/>
                <w:sz w:val="16"/>
              </w:rPr>
              <w:t>Business Impact</w:t>
            </w:r>
          </w:p>
        </w:tc>
        <w:tc>
          <w:tcPr>
            <w:tcW w:type="dxa" w:w="4032"/>
            <w:tcMar>
              <w:top w:w="60" w:type="dxa"/>
              <w:start w:w="80" w:type="dxa"/>
              <w:bottom w:w="60" w:type="dxa"/>
              <w:end w:w="80" w:type="dxa"/>
            </w:tcMar>
            <w:vAlign w:val="center"/>
            <w:shd w:fill="17365D"/>
          </w:tcPr>
          <w:p>
            <w:r>
              <w:rPr>
                <w:b/>
                <w:color w:val="FFFFFF"/>
                <w:sz w:val="16"/>
              </w:rPr>
              <w:t>Required Mitigation</w:t>
            </w:r>
          </w:p>
        </w:tc>
      </w:tr>
      <w:tr>
        <w:tc>
          <w:tcPr>
            <w:tcW w:type="dxa" w:w="2880"/>
            <w:tcMar>
              <w:top w:w="60" w:type="dxa"/>
              <w:start w:w="80" w:type="dxa"/>
              <w:bottom w:w="60" w:type="dxa"/>
              <w:end w:w="80" w:type="dxa"/>
            </w:tcMar>
            <w:vAlign w:val="center"/>
          </w:tcPr>
          <w:p>
            <w:r>
              <w:rPr>
                <w:sz w:val="16"/>
              </w:rPr>
              <w:t>Model confidence is not automatically calibrated</w:t>
            </w:r>
          </w:p>
        </w:tc>
        <w:tc>
          <w:tcPr>
            <w:tcW w:type="dxa" w:w="3888"/>
            <w:tcMar>
              <w:top w:w="60" w:type="dxa"/>
              <w:start w:w="80" w:type="dxa"/>
              <w:bottom w:w="60" w:type="dxa"/>
              <w:end w:w="80" w:type="dxa"/>
            </w:tcMar>
            <w:vAlign w:val="center"/>
          </w:tcPr>
          <w:p>
            <w:r>
              <w:rPr>
                <w:sz w:val="16"/>
              </w:rPr>
              <w:t>Composite routing uses confidence plus policy weights, but production threshold still requires empirical labeled validation.</w:t>
            </w:r>
          </w:p>
        </w:tc>
        <w:tc>
          <w:tcPr>
            <w:tcW w:type="dxa" w:w="4032"/>
            <w:tcMar>
              <w:top w:w="60" w:type="dxa"/>
              <w:start w:w="80" w:type="dxa"/>
              <w:bottom w:w="60" w:type="dxa"/>
              <w:end w:w="80" w:type="dxa"/>
            </w:tcMar>
            <w:vAlign w:val="center"/>
          </w:tcPr>
          <w:p>
            <w:r>
              <w:rPr>
                <w:sz w:val="16"/>
              </w:rPr>
              <w:t>Calibrate threshold; monitor by scenario; use cross-entropy on grounded cases.</w:t>
            </w:r>
          </w:p>
        </w:tc>
      </w:tr>
      <w:tr>
        <w:tc>
          <w:tcPr>
            <w:tcW w:type="dxa" w:w="2880"/>
            <w:tcMar>
              <w:top w:w="60" w:type="dxa"/>
              <w:start w:w="80" w:type="dxa"/>
              <w:bottom w:w="60" w:type="dxa"/>
              <w:end w:w="80" w:type="dxa"/>
            </w:tcMar>
            <w:vAlign w:val="center"/>
            <w:shd w:fill="F3F6FA"/>
          </w:tcPr>
          <w:p>
            <w:r>
              <w:rPr>
                <w:sz w:val="16"/>
              </w:rPr>
              <w:t>Reference coverage varies</w:t>
            </w:r>
          </w:p>
        </w:tc>
        <w:tc>
          <w:tcPr>
            <w:tcW w:type="dxa" w:w="3888"/>
            <w:tcMar>
              <w:top w:w="60" w:type="dxa"/>
              <w:start w:w="80" w:type="dxa"/>
              <w:bottom w:w="60" w:type="dxa"/>
              <w:end w:w="80" w:type="dxa"/>
            </w:tcMar>
            <w:vAlign w:val="center"/>
            <w:shd w:fill="F3F6FA"/>
          </w:tcPr>
          <w:p>
            <w:r>
              <w:rPr>
                <w:sz w:val="16"/>
              </w:rPr>
              <w:t>Development gazetteer coverage is not enterprise master data and missing reference is not proof the model is wrong.</w:t>
            </w:r>
          </w:p>
        </w:tc>
        <w:tc>
          <w:tcPr>
            <w:tcW w:type="dxa" w:w="4032"/>
            <w:tcMar>
              <w:top w:w="60" w:type="dxa"/>
              <w:start w:w="80" w:type="dxa"/>
              <w:bottom w:w="60" w:type="dxa"/>
              <w:end w:w="80" w:type="dxa"/>
            </w:tcMar>
            <w:vAlign w:val="center"/>
            <w:shd w:fill="F3F6FA"/>
          </w:tcPr>
          <w:p>
            <w:r>
              <w:rPr>
                <w:sz w:val="16"/>
              </w:rPr>
              <w:t>Use approved enterprise reference source; retain availability/basis status.</w:t>
            </w:r>
          </w:p>
        </w:tc>
      </w:tr>
      <w:tr>
        <w:tc>
          <w:tcPr>
            <w:tcW w:type="dxa" w:w="2880"/>
            <w:tcMar>
              <w:top w:w="60" w:type="dxa"/>
              <w:start w:w="80" w:type="dxa"/>
              <w:bottom w:w="60" w:type="dxa"/>
              <w:end w:w="80" w:type="dxa"/>
            </w:tcMar>
            <w:vAlign w:val="center"/>
          </w:tcPr>
          <w:p>
            <w:r>
              <w:rPr>
                <w:sz w:val="16"/>
              </w:rPr>
              <w:t>Ambiguous Town names</w:t>
            </w:r>
          </w:p>
        </w:tc>
        <w:tc>
          <w:tcPr>
            <w:tcW w:type="dxa" w:w="3888"/>
            <w:tcMar>
              <w:top w:w="60" w:type="dxa"/>
              <w:start w:w="80" w:type="dxa"/>
              <w:bottom w:w="60" w:type="dxa"/>
              <w:end w:w="80" w:type="dxa"/>
            </w:tcMar>
            <w:vAlign w:val="center"/>
          </w:tcPr>
          <w:p>
            <w:r>
              <w:rPr>
                <w:sz w:val="16"/>
              </w:rPr>
              <w:t>One Town may map to multiple countries.</w:t>
            </w:r>
          </w:p>
        </w:tc>
        <w:tc>
          <w:tcPr>
            <w:tcW w:type="dxa" w:w="4032"/>
            <w:tcMar>
              <w:top w:w="60" w:type="dxa"/>
              <w:start w:w="80" w:type="dxa"/>
              <w:bottom w:w="60" w:type="dxa"/>
              <w:end w:w="80" w:type="dxa"/>
            </w:tcMar>
            <w:vAlign w:val="center"/>
          </w:tcPr>
          <w:p>
            <w:r>
              <w:rPr>
                <w:sz w:val="16"/>
              </w:rPr>
              <w:t>Preserve candidates; force HITL until resolved by explicit/authoritative evidence.</w:t>
            </w:r>
          </w:p>
        </w:tc>
      </w:tr>
      <w:tr>
        <w:tc>
          <w:tcPr>
            <w:tcW w:type="dxa" w:w="2880"/>
            <w:tcMar>
              <w:top w:w="60" w:type="dxa"/>
              <w:start w:w="80" w:type="dxa"/>
              <w:bottom w:w="60" w:type="dxa"/>
              <w:end w:w="80" w:type="dxa"/>
            </w:tcMar>
            <w:vAlign w:val="center"/>
            <w:shd w:fill="F3F6FA"/>
          </w:tcPr>
          <w:p>
            <w:r>
              <w:rPr>
                <w:sz w:val="16"/>
              </w:rPr>
              <w:t>Address data is sensitive</w:t>
            </w:r>
          </w:p>
        </w:tc>
        <w:tc>
          <w:tcPr>
            <w:tcW w:type="dxa" w:w="3888"/>
            <w:tcMar>
              <w:top w:w="60" w:type="dxa"/>
              <w:start w:w="80" w:type="dxa"/>
              <w:bottom w:w="60" w:type="dxa"/>
              <w:end w:w="80" w:type="dxa"/>
            </w:tcMar>
            <w:vAlign w:val="center"/>
            <w:shd w:fill="F3F6FA"/>
          </w:tcPr>
          <w:p>
            <w:r>
              <w:rPr>
                <w:sz w:val="16"/>
              </w:rPr>
              <w:t>Raw addresses and audit data can contain customer/payment information.</w:t>
            </w:r>
          </w:p>
        </w:tc>
        <w:tc>
          <w:tcPr>
            <w:tcW w:type="dxa" w:w="4032"/>
            <w:tcMar>
              <w:top w:w="60" w:type="dxa"/>
              <w:start w:w="80" w:type="dxa"/>
              <w:bottom w:w="60" w:type="dxa"/>
              <w:end w:w="80" w:type="dxa"/>
            </w:tcMar>
            <w:vAlign w:val="center"/>
            <w:shd w:fill="F3F6FA"/>
          </w:tcPr>
          <w:p>
            <w:r>
              <w:rPr>
                <w:sz w:val="16"/>
              </w:rPr>
              <w:t>Encryption, least privilege, protected logs, controlled retention.</w:t>
            </w:r>
          </w:p>
        </w:tc>
      </w:tr>
      <w:tr>
        <w:tc>
          <w:tcPr>
            <w:tcW w:type="dxa" w:w="2880"/>
            <w:tcMar>
              <w:top w:w="60" w:type="dxa"/>
              <w:start w:w="80" w:type="dxa"/>
              <w:bottom w:w="60" w:type="dxa"/>
              <w:end w:w="80" w:type="dxa"/>
            </w:tcMar>
            <w:vAlign w:val="center"/>
          </w:tcPr>
          <w:p>
            <w:r>
              <w:rPr>
                <w:sz w:val="16"/>
              </w:rPr>
              <w:t>Schema proliferation</w:t>
            </w:r>
          </w:p>
        </w:tc>
        <w:tc>
          <w:tcPr>
            <w:tcW w:type="dxa" w:w="3888"/>
            <w:tcMar>
              <w:top w:w="60" w:type="dxa"/>
              <w:start w:w="80" w:type="dxa"/>
              <w:bottom w:w="60" w:type="dxa"/>
              <w:end w:w="80" w:type="dxa"/>
            </w:tcMar>
            <w:vAlign w:val="center"/>
          </w:tcPr>
          <w:p>
            <w:r>
              <w:rPr>
                <w:sz w:val="16"/>
              </w:rPr>
              <w:t>Flat CSV expands rapidly as groups/features grow.</w:t>
            </w:r>
          </w:p>
        </w:tc>
        <w:tc>
          <w:tcPr>
            <w:tcW w:type="dxa" w:w="4032"/>
            <w:tcMar>
              <w:top w:w="60" w:type="dxa"/>
              <w:start w:w="80" w:type="dxa"/>
              <w:bottom w:w="60" w:type="dxa"/>
              <w:end w:w="80" w:type="dxa"/>
            </w:tcMar>
            <w:vAlign w:val="center"/>
          </w:tcPr>
          <w:p>
            <w:r>
              <w:rPr>
                <w:sz w:val="16"/>
              </w:rPr>
              <w:t>Use canonical nested JSON with schema governance; keep CSV derivative only.</w:t>
            </w:r>
          </w:p>
        </w:tc>
      </w:tr>
      <w:tr>
        <w:tc>
          <w:tcPr>
            <w:tcW w:type="dxa" w:w="2880"/>
            <w:tcMar>
              <w:top w:w="60" w:type="dxa"/>
              <w:start w:w="80" w:type="dxa"/>
              <w:bottom w:w="60" w:type="dxa"/>
              <w:end w:w="80" w:type="dxa"/>
            </w:tcMar>
            <w:vAlign w:val="center"/>
            <w:shd w:fill="F3F6FA"/>
          </w:tcPr>
          <w:p>
            <w:r>
              <w:rPr>
                <w:sz w:val="16"/>
              </w:rPr>
              <w:t>Model/service quota</w:t>
            </w:r>
          </w:p>
        </w:tc>
        <w:tc>
          <w:tcPr>
            <w:tcW w:type="dxa" w:w="3888"/>
            <w:tcMar>
              <w:top w:w="60" w:type="dxa"/>
              <w:start w:w="80" w:type="dxa"/>
              <w:bottom w:w="60" w:type="dxa"/>
              <w:end w:w="80" w:type="dxa"/>
            </w:tcMar>
            <w:vAlign w:val="center"/>
            <w:shd w:fill="F3F6FA"/>
          </w:tcPr>
          <w:p>
            <w:r>
              <w:rPr>
                <w:sz w:val="16"/>
              </w:rPr>
              <w:t>High throughput can encounter rate limits/transient errors.</w:t>
            </w:r>
          </w:p>
        </w:tc>
        <w:tc>
          <w:tcPr>
            <w:tcW w:type="dxa" w:w="4032"/>
            <w:tcMar>
              <w:top w:w="60" w:type="dxa"/>
              <w:start w:w="80" w:type="dxa"/>
              <w:bottom w:w="60" w:type="dxa"/>
              <w:end w:w="80" w:type="dxa"/>
            </w:tcMar>
            <w:vAlign w:val="center"/>
            <w:shd w:fill="F3F6FA"/>
          </w:tcPr>
          <w:p>
            <w:r>
              <w:rPr>
                <w:sz w:val="16"/>
              </w:rPr>
              <w:t>Bounded concurrency, retry/backoff, dedupe/cache, replay controls.</w:t>
            </w:r>
          </w:p>
        </w:tc>
      </w:tr>
      <w:tr>
        <w:tc>
          <w:tcPr>
            <w:tcW w:type="dxa" w:w="2880"/>
            <w:tcMar>
              <w:top w:w="60" w:type="dxa"/>
              <w:start w:w="80" w:type="dxa"/>
              <w:bottom w:w="60" w:type="dxa"/>
              <w:end w:w="80" w:type="dxa"/>
            </w:tcMar>
            <w:vAlign w:val="center"/>
          </w:tcPr>
          <w:p>
            <w:r>
              <w:rPr>
                <w:sz w:val="16"/>
              </w:rPr>
              <w:t>Human workload</w:t>
            </w:r>
          </w:p>
        </w:tc>
        <w:tc>
          <w:tcPr>
            <w:tcW w:type="dxa" w:w="3888"/>
            <w:tcMar>
              <w:top w:w="60" w:type="dxa"/>
              <w:start w:w="80" w:type="dxa"/>
              <w:bottom w:w="60" w:type="dxa"/>
              <w:end w:w="80" w:type="dxa"/>
            </w:tcMar>
            <w:vAlign w:val="center"/>
          </w:tcPr>
          <w:p>
            <w:r>
              <w:rPr>
                <w:sz w:val="16"/>
              </w:rPr>
              <w:t>Conservative thresholds can produce large review queues.</w:t>
            </w:r>
          </w:p>
        </w:tc>
        <w:tc>
          <w:tcPr>
            <w:tcW w:type="dxa" w:w="4032"/>
            <w:tcMar>
              <w:top w:w="60" w:type="dxa"/>
              <w:start w:w="80" w:type="dxa"/>
              <w:bottom w:w="60" w:type="dxa"/>
              <w:end w:w="80" w:type="dxa"/>
            </w:tcMar>
            <w:vAlign w:val="center"/>
          </w:tcPr>
          <w:p>
            <w:r>
              <w:rPr>
                <w:sz w:val="16"/>
              </w:rPr>
              <w:t>Threshold sensitivity analysis, staffing/capacity planning, scenario-level monitoring.</w:t>
            </w:r>
          </w:p>
        </w:tc>
      </w:tr>
      <w:tr>
        <w:tc>
          <w:tcPr>
            <w:tcW w:type="dxa" w:w="2880"/>
            <w:tcMar>
              <w:top w:w="60" w:type="dxa"/>
              <w:start w:w="80" w:type="dxa"/>
              <w:bottom w:w="60" w:type="dxa"/>
              <w:end w:w="80" w:type="dxa"/>
            </w:tcMar>
            <w:vAlign w:val="center"/>
            <w:shd w:fill="F3F6FA"/>
          </w:tcPr>
          <w:p>
            <w:r>
              <w:rPr>
                <w:sz w:val="16"/>
              </w:rPr>
              <w:t>Reference licensing</w:t>
            </w:r>
          </w:p>
        </w:tc>
        <w:tc>
          <w:tcPr>
            <w:tcW w:type="dxa" w:w="3888"/>
            <w:tcMar>
              <w:top w:w="60" w:type="dxa"/>
              <w:start w:w="80" w:type="dxa"/>
              <w:bottom w:w="60" w:type="dxa"/>
              <w:end w:w="80" w:type="dxa"/>
            </w:tcMar>
            <w:vAlign w:val="center"/>
            <w:shd w:fill="F3F6FA"/>
          </w:tcPr>
          <w:p>
            <w:r>
              <w:rPr>
                <w:sz w:val="16"/>
              </w:rPr>
              <w:t>SWIFTRef/BIC data is entitled/licensed.</w:t>
            </w:r>
          </w:p>
        </w:tc>
        <w:tc>
          <w:tcPr>
            <w:tcW w:type="dxa" w:w="4032"/>
            <w:tcMar>
              <w:top w:w="60" w:type="dxa"/>
              <w:start w:w="80" w:type="dxa"/>
              <w:bottom w:w="60" w:type="dxa"/>
              <w:end w:w="80" w:type="dxa"/>
            </w:tcMar>
            <w:vAlign w:val="center"/>
            <w:shd w:fill="F3F6FA"/>
          </w:tcPr>
          <w:p>
            <w:r>
              <w:rPr>
                <w:sz w:val="16"/>
              </w:rPr>
              <w:t>Use approved credentials/data copy; do not scrape or simulate.</w:t>
            </w:r>
          </w:p>
        </w:tc>
      </w:tr>
    </w:tbl>
    <w:p>
      <w:pPr>
        <w:pStyle w:val="Heading1"/>
      </w:pPr>
      <w:r>
        <w:t>20. Nice-to-Have / Future Enhancements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tcMar>
              <w:top w:w="60" w:type="dxa"/>
              <w:start w:w="80" w:type="dxa"/>
              <w:bottom w:w="60" w:type="dxa"/>
              <w:end w:w="80" w:type="dxa"/>
            </w:tcMar>
            <w:vAlign w:val="center"/>
            <w:shd w:fill="17365D"/>
          </w:tcPr>
          <w:p>
            <w:r>
              <w:rPr>
                <w:b/>
                <w:color w:val="FFFFFF"/>
                <w:sz w:val="16"/>
              </w:rPr>
              <w:t>Enhancement</w:t>
            </w:r>
          </w:p>
        </w:tc>
        <w:tc>
          <w:tcPr>
            <w:tcW w:type="dxa" w:w="7632"/>
            <w:tcMar>
              <w:top w:w="60" w:type="dxa"/>
              <w:start w:w="80" w:type="dxa"/>
              <w:bottom w:w="60" w:type="dxa"/>
              <w:end w:w="80" w:type="dxa"/>
            </w:tcMar>
            <w:vAlign w:val="center"/>
            <w:shd w:fill="17365D"/>
          </w:tcPr>
          <w:p>
            <w:r>
              <w:rPr>
                <w:b/>
                <w:color w:val="FFFFFF"/>
                <w:sz w:val="16"/>
              </w:rPr>
              <w:t>Business Value / Recommendation</w:t>
            </w:r>
          </w:p>
        </w:tc>
      </w:tr>
      <w:tr>
        <w:tc>
          <w:tcPr>
            <w:tcW w:type="dxa" w:w="3168"/>
            <w:tcMar>
              <w:top w:w="60" w:type="dxa"/>
              <w:start w:w="80" w:type="dxa"/>
              <w:bottom w:w="60" w:type="dxa"/>
              <w:end w:w="80" w:type="dxa"/>
            </w:tcMar>
            <w:vAlign w:val="center"/>
          </w:tcPr>
          <w:p>
            <w:r>
              <w:rPr>
                <w:sz w:val="16"/>
              </w:rPr>
              <w:t>BIC / SWIFTRef Integration</w:t>
            </w:r>
          </w:p>
        </w:tc>
        <w:tc>
          <w:tcPr>
            <w:tcW w:type="dxa" w:w="7632"/>
            <w:tcMar>
              <w:top w:w="60" w:type="dxa"/>
              <w:start w:w="80" w:type="dxa"/>
              <w:bottom w:w="60" w:type="dxa"/>
              <w:end w:w="80" w:type="dxa"/>
            </w:tcMar>
            <w:vAlign w:val="center"/>
          </w:tcPr>
          <w:p>
            <w:r>
              <w:rPr>
                <w:sz w:val="16"/>
              </w:rPr>
              <w:t>Use entitled BIC8/BIC11/SWIFTRef data as higher-authority institution reference evidence and feed it into the existing post-extraction validation slot.</w:t>
            </w:r>
          </w:p>
        </w:tc>
      </w:tr>
      <w:tr>
        <w:tc>
          <w:tcPr>
            <w:tcW w:type="dxa" w:w="3168"/>
            <w:tcMar>
              <w:top w:w="60" w:type="dxa"/>
              <w:start w:w="80" w:type="dxa"/>
              <w:bottom w:w="60" w:type="dxa"/>
              <w:end w:w="80" w:type="dxa"/>
            </w:tcMar>
            <w:vAlign w:val="center"/>
            <w:shd w:fill="F3F6FA"/>
          </w:tcPr>
          <w:p>
            <w:r>
              <w:rPr>
                <w:sz w:val="16"/>
              </w:rPr>
              <w:t>Enterprise Reference Mastering</w:t>
            </w:r>
          </w:p>
        </w:tc>
        <w:tc>
          <w:tcPr>
            <w:tcW w:type="dxa" w:w="7632"/>
            <w:tcMar>
              <w:top w:w="60" w:type="dxa"/>
              <w:start w:w="80" w:type="dxa"/>
              <w:bottom w:w="60" w:type="dxa"/>
              <w:end w:w="80" w:type="dxa"/>
            </w:tcMar>
            <w:vAlign w:val="center"/>
            <w:shd w:fill="F3F6FA"/>
          </w:tcPr>
          <w:p>
            <w:r>
              <w:rPr>
                <w:sz w:val="16"/>
              </w:rPr>
              <w:t>Replace development Town/Country data with approved mastered location/reference services, with effective dating and lineage.</w:t>
            </w:r>
          </w:p>
        </w:tc>
      </w:tr>
      <w:tr>
        <w:tc>
          <w:tcPr>
            <w:tcW w:type="dxa" w:w="3168"/>
            <w:tcMar>
              <w:top w:w="60" w:type="dxa"/>
              <w:start w:w="80" w:type="dxa"/>
              <w:bottom w:w="60" w:type="dxa"/>
              <w:end w:w="80" w:type="dxa"/>
            </w:tcMar>
            <w:vAlign w:val="center"/>
          </w:tcPr>
          <w:p>
            <w:r>
              <w:rPr>
                <w:sz w:val="16"/>
              </w:rPr>
              <w:t>HITL User Interface</w:t>
            </w:r>
          </w:p>
        </w:tc>
        <w:tc>
          <w:tcPr>
            <w:tcW w:type="dxa" w:w="7632"/>
            <w:tcMar>
              <w:top w:w="60" w:type="dxa"/>
              <w:start w:w="80" w:type="dxa"/>
              <w:bottom w:w="60" w:type="dxa"/>
              <w:end w:w="80" w:type="dxa"/>
            </w:tcMar>
            <w:vAlign w:val="center"/>
          </w:tcPr>
          <w:p>
            <w:r>
              <w:rPr>
                <w:sz w:val="16"/>
              </w:rPr>
              <w:t>Provide a reviewer workbench showing source address, model result, evidence, reference evidence, score rationale and safe correction workflow.</w:t>
            </w:r>
          </w:p>
        </w:tc>
      </w:tr>
      <w:tr>
        <w:tc>
          <w:tcPr>
            <w:tcW w:type="dxa" w:w="3168"/>
            <w:tcMar>
              <w:top w:w="60" w:type="dxa"/>
              <w:start w:w="80" w:type="dxa"/>
              <w:bottom w:w="60" w:type="dxa"/>
              <w:end w:w="80" w:type="dxa"/>
            </w:tcMar>
            <w:vAlign w:val="center"/>
            <w:shd w:fill="F3F6FA"/>
          </w:tcPr>
          <w:p>
            <w:r>
              <w:rPr>
                <w:sz w:val="16"/>
              </w:rPr>
              <w:t>Feedback Loop</w:t>
            </w:r>
          </w:p>
        </w:tc>
        <w:tc>
          <w:tcPr>
            <w:tcW w:type="dxa" w:w="7632"/>
            <w:tcMar>
              <w:top w:w="60" w:type="dxa"/>
              <w:start w:w="80" w:type="dxa"/>
              <w:bottom w:w="60" w:type="dxa"/>
              <w:end w:w="80" w:type="dxa"/>
            </w:tcMar>
            <w:vAlign w:val="center"/>
            <w:shd w:fill="F3F6FA"/>
          </w:tcPr>
          <w:p>
            <w:r>
              <w:rPr>
                <w:sz w:val="16"/>
              </w:rPr>
              <w:t>Create governed labeled feedback from human corrections for calibration, prompt/model challenger testing and error-taxonomy analysis.</w:t>
            </w:r>
          </w:p>
        </w:tc>
      </w:tr>
      <w:tr>
        <w:tc>
          <w:tcPr>
            <w:tcW w:type="dxa" w:w="3168"/>
            <w:tcMar>
              <w:top w:w="60" w:type="dxa"/>
              <w:start w:w="80" w:type="dxa"/>
              <w:bottom w:w="60" w:type="dxa"/>
              <w:end w:w="80" w:type="dxa"/>
            </w:tcMar>
            <w:vAlign w:val="center"/>
          </w:tcPr>
          <w:p>
            <w:r>
              <w:rPr>
                <w:sz w:val="16"/>
              </w:rPr>
              <w:t>Model Registry and Promotion Gates</w:t>
            </w:r>
          </w:p>
        </w:tc>
        <w:tc>
          <w:tcPr>
            <w:tcW w:type="dxa" w:w="7632"/>
            <w:tcMar>
              <w:top w:w="60" w:type="dxa"/>
              <w:start w:w="80" w:type="dxa"/>
              <w:bottom w:w="60" w:type="dxa"/>
              <w:end w:w="80" w:type="dxa"/>
            </w:tcMar>
            <w:vAlign w:val="center"/>
          </w:tcPr>
          <w:p>
            <w:r>
              <w:rPr>
                <w:sz w:val="16"/>
              </w:rPr>
              <w:t>Integrate model/prompt packages with enterprise model registry, test evidence, approvals and rollback.</w:t>
            </w:r>
          </w:p>
        </w:tc>
      </w:tr>
      <w:tr>
        <w:tc>
          <w:tcPr>
            <w:tcW w:type="dxa" w:w="3168"/>
            <w:tcMar>
              <w:top w:w="60" w:type="dxa"/>
              <w:start w:w="80" w:type="dxa"/>
              <w:bottom w:w="60" w:type="dxa"/>
              <w:end w:w="80" w:type="dxa"/>
            </w:tcMar>
            <w:vAlign w:val="center"/>
            <w:shd w:fill="F3F6FA"/>
          </w:tcPr>
          <w:p>
            <w:r>
              <w:rPr>
                <w:sz w:val="16"/>
              </w:rPr>
              <w:t>Calibration Dashboard</w:t>
            </w:r>
          </w:p>
        </w:tc>
        <w:tc>
          <w:tcPr>
            <w:tcW w:type="dxa" w:w="7632"/>
            <w:tcMar>
              <w:top w:w="60" w:type="dxa"/>
              <w:start w:w="80" w:type="dxa"/>
              <w:bottom w:w="60" w:type="dxa"/>
              <w:end w:w="80" w:type="dxa"/>
            </w:tcMar>
            <w:vAlign w:val="center"/>
            <w:shd w:fill="F3F6FA"/>
          </w:tcPr>
          <w:p>
            <w:r>
              <w:rPr>
                <w:sz w:val="16"/>
              </w:rPr>
              <w:t>Track reliability diagrams, cross-entropy, correctness/coverage by confidence band, country, source system and scenario.</w:t>
            </w:r>
          </w:p>
        </w:tc>
      </w:tr>
      <w:tr>
        <w:tc>
          <w:tcPr>
            <w:tcW w:type="dxa" w:w="3168"/>
            <w:tcMar>
              <w:top w:w="60" w:type="dxa"/>
              <w:start w:w="80" w:type="dxa"/>
              <w:bottom w:w="60" w:type="dxa"/>
              <w:end w:w="80" w:type="dxa"/>
            </w:tcMar>
            <w:vAlign w:val="center"/>
          </w:tcPr>
          <w:p>
            <w:r>
              <w:rPr>
                <w:sz w:val="16"/>
              </w:rPr>
              <w:t>Challenger Models</w:t>
            </w:r>
          </w:p>
        </w:tc>
        <w:tc>
          <w:tcPr>
            <w:tcW w:type="dxa" w:w="7632"/>
            <w:tcMar>
              <w:top w:w="60" w:type="dxa"/>
              <w:start w:w="80" w:type="dxa"/>
              <w:bottom w:w="60" w:type="dxa"/>
              <w:end w:w="80" w:type="dxa"/>
            </w:tcMar>
            <w:vAlign w:val="center"/>
          </w:tcPr>
          <w:p>
            <w:r>
              <w:rPr>
                <w:sz w:val="16"/>
              </w:rPr>
              <w:t>Run offline or shadow challengers for difficult/low-confidence cohorts without altering production decisions.</w:t>
            </w:r>
          </w:p>
        </w:tc>
      </w:tr>
      <w:tr>
        <w:tc>
          <w:tcPr>
            <w:tcW w:type="dxa" w:w="3168"/>
            <w:tcMar>
              <w:top w:w="60" w:type="dxa"/>
              <w:start w:w="80" w:type="dxa"/>
              <w:bottom w:w="60" w:type="dxa"/>
              <w:end w:w="80" w:type="dxa"/>
            </w:tcMar>
            <w:vAlign w:val="center"/>
            <w:shd w:fill="F3F6FA"/>
          </w:tcPr>
          <w:p>
            <w:r>
              <w:rPr>
                <w:sz w:val="16"/>
              </w:rPr>
              <w:t>Operational Replay</w:t>
            </w:r>
          </w:p>
        </w:tc>
        <w:tc>
          <w:tcPr>
            <w:tcW w:type="dxa" w:w="7632"/>
            <w:tcMar>
              <w:top w:w="60" w:type="dxa"/>
              <w:start w:w="80" w:type="dxa"/>
              <w:bottom w:w="60" w:type="dxa"/>
              <w:end w:w="80" w:type="dxa"/>
            </w:tcMar>
            <w:vAlign w:val="center"/>
            <w:shd w:fill="F3F6FA"/>
          </w:tcPr>
          <w:p>
            <w:r>
              <w:rPr>
                <w:sz w:val="16"/>
              </w:rPr>
              <w:t>Support replay by event ID, batch ID or S3 object version with idempotent result replacement/new-version semantics.</w:t>
            </w:r>
          </w:p>
        </w:tc>
      </w:tr>
      <w:tr>
        <w:tc>
          <w:tcPr>
            <w:tcW w:type="dxa" w:w="3168"/>
            <w:tcMar>
              <w:top w:w="60" w:type="dxa"/>
              <w:start w:w="80" w:type="dxa"/>
              <w:bottom w:w="60" w:type="dxa"/>
              <w:end w:w="80" w:type="dxa"/>
            </w:tcMar>
            <w:vAlign w:val="center"/>
          </w:tcPr>
          <w:p>
            <w:r>
              <w:rPr>
                <w:sz w:val="16"/>
              </w:rPr>
              <w:t>Analytics Derivatives</w:t>
            </w:r>
          </w:p>
        </w:tc>
        <w:tc>
          <w:tcPr>
            <w:tcW w:type="dxa" w:w="7632"/>
            <w:tcMar>
              <w:top w:w="60" w:type="dxa"/>
              <w:start w:w="80" w:type="dxa"/>
              <w:bottom w:w="60" w:type="dxa"/>
              <w:end w:w="80" w:type="dxa"/>
            </w:tcMar>
            <w:vAlign w:val="center"/>
          </w:tcPr>
          <w:p>
            <w:r>
              <w:rPr>
                <w:sz w:val="16"/>
              </w:rPr>
              <w:t>Generate Parquet/warehouse tables from canonical JSON for analytics without changing the canonical business contract.</w:t>
            </w:r>
          </w:p>
        </w:tc>
      </w:tr>
      <w:tr>
        <w:tc>
          <w:tcPr>
            <w:tcW w:type="dxa" w:w="3168"/>
            <w:tcMar>
              <w:top w:w="60" w:type="dxa"/>
              <w:start w:w="80" w:type="dxa"/>
              <w:bottom w:w="60" w:type="dxa"/>
              <w:end w:w="80" w:type="dxa"/>
            </w:tcMar>
            <w:vAlign w:val="center"/>
            <w:shd w:fill="F3F6FA"/>
          </w:tcPr>
          <w:p>
            <w:r>
              <w:rPr>
                <w:sz w:val="16"/>
              </w:rPr>
              <w:t>Automated Drift Alerts</w:t>
            </w:r>
          </w:p>
        </w:tc>
        <w:tc>
          <w:tcPr>
            <w:tcW w:type="dxa" w:w="7632"/>
            <w:tcMar>
              <w:top w:w="60" w:type="dxa"/>
              <w:start w:w="80" w:type="dxa"/>
              <w:bottom w:w="60" w:type="dxa"/>
              <w:end w:w="80" w:type="dxa"/>
            </w:tcMar>
            <w:vAlign w:val="center"/>
            <w:shd w:fill="F3F6FA"/>
          </w:tcPr>
          <w:p>
            <w:r>
              <w:rPr>
                <w:sz w:val="16"/>
              </w:rPr>
              <w:t>Alert on score distribution, HITL rate, reference conflict rate, error rate or cross-entropy drift beyond approved tolerances.</w:t>
            </w:r>
          </w:p>
        </w:tc>
      </w:tr>
    </w:tbl>
    <w:p>
      <w:pPr>
        <w:pStyle w:val="Heading1"/>
      </w:pPr>
      <w:r>
        <w:t>Appendix A - Key Field Semantics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888"/>
            <w:tcMar>
              <w:top w:w="60" w:type="dxa"/>
              <w:start w:w="80" w:type="dxa"/>
              <w:bottom w:w="60" w:type="dxa"/>
              <w:end w:w="80" w:type="dxa"/>
            </w:tcMar>
            <w:vAlign w:val="center"/>
            <w:shd w:fill="17365D"/>
          </w:tcPr>
          <w:p>
            <w:r>
              <w:rPr>
                <w:b/>
                <w:color w:val="FFFFFF"/>
                <w:sz w:val="16"/>
              </w:rPr>
              <w:t>Field / Concept</w:t>
            </w:r>
          </w:p>
        </w:tc>
        <w:tc>
          <w:tcPr>
            <w:tcW w:type="dxa" w:w="6912"/>
            <w:tcMar>
              <w:top w:w="60" w:type="dxa"/>
              <w:start w:w="80" w:type="dxa"/>
              <w:bottom w:w="60" w:type="dxa"/>
              <w:end w:w="80" w:type="dxa"/>
            </w:tcMar>
            <w:vAlign w:val="center"/>
            <w:shd w:fill="17365D"/>
          </w:tcPr>
          <w:p>
            <w:r>
              <w:rPr>
                <w:b/>
                <w:color w:val="FFFFFF"/>
                <w:sz w:val="16"/>
              </w:rPr>
              <w:t>Business Meaning</w:t>
            </w:r>
          </w:p>
        </w:tc>
      </w:tr>
      <w:tr>
        <w:tc>
          <w:tcPr>
            <w:tcW w:type="dxa" w:w="3888"/>
            <w:tcMar>
              <w:top w:w="60" w:type="dxa"/>
              <w:start w:w="80" w:type="dxa"/>
              <w:bottom w:w="60" w:type="dxa"/>
              <w:end w:w="80" w:type="dxa"/>
            </w:tcMar>
            <w:vAlign w:val="center"/>
          </w:tcPr>
          <w:p>
            <w:r>
              <w:rPr>
                <w:sz w:val="16"/>
              </w:rPr>
              <w:t>predicted_town</w:t>
            </w:r>
          </w:p>
        </w:tc>
        <w:tc>
          <w:tcPr>
            <w:tcW w:type="dxa" w:w="6912"/>
            <w:tcMar>
              <w:top w:w="60" w:type="dxa"/>
              <w:start w:w="80" w:type="dxa"/>
              <w:bottom w:w="60" w:type="dxa"/>
              <w:end w:w="80" w:type="dxa"/>
            </w:tcMar>
            <w:vAlign w:val="center"/>
          </w:tcPr>
          <w:p>
            <w:r>
              <w:rPr>
                <w:sz w:val="16"/>
              </w:rPr>
              <w:t>Model-derived final Town after validation/normalization.</w:t>
            </w:r>
          </w:p>
        </w:tc>
      </w:tr>
      <w:tr>
        <w:tc>
          <w:tcPr>
            <w:tcW w:type="dxa" w:w="3888"/>
            <w:tcMar>
              <w:top w:w="60" w:type="dxa"/>
              <w:start w:w="80" w:type="dxa"/>
              <w:bottom w:w="60" w:type="dxa"/>
              <w:end w:w="80" w:type="dxa"/>
            </w:tcMar>
            <w:vAlign w:val="center"/>
            <w:shd w:fill="F3F6FA"/>
          </w:tcPr>
          <w:p>
            <w:r>
              <w:rPr>
                <w:sz w:val="16"/>
              </w:rPr>
              <w:t>predicted_country</w:t>
            </w:r>
          </w:p>
        </w:tc>
        <w:tc>
          <w:tcPr>
            <w:tcW w:type="dxa" w:w="6912"/>
            <w:tcMar>
              <w:top w:w="60" w:type="dxa"/>
              <w:start w:w="80" w:type="dxa"/>
              <w:bottom w:w="60" w:type="dxa"/>
              <w:end w:w="80" w:type="dxa"/>
            </w:tcMar>
            <w:vAlign w:val="center"/>
            <w:shd w:fill="F3F6FA"/>
          </w:tcPr>
          <w:p>
            <w:r>
              <w:rPr>
                <w:sz w:val="16"/>
              </w:rPr>
              <w:t>Final ISO alpha-2 Country or deterministic comma-separated candidate set.</w:t>
            </w:r>
          </w:p>
        </w:tc>
      </w:tr>
      <w:tr>
        <w:tc>
          <w:tcPr>
            <w:tcW w:type="dxa" w:w="3888"/>
            <w:tcMar>
              <w:top w:w="60" w:type="dxa"/>
              <w:start w:w="80" w:type="dxa"/>
              <w:bottom w:w="60" w:type="dxa"/>
              <w:end w:w="80" w:type="dxa"/>
            </w:tcMar>
            <w:vAlign w:val="center"/>
          </w:tcPr>
          <w:p>
            <w:r>
              <w:rPr>
                <w:sz w:val="16"/>
              </w:rPr>
              <w:t>predicted_country_name</w:t>
            </w:r>
          </w:p>
        </w:tc>
        <w:tc>
          <w:tcPr>
            <w:tcW w:type="dxa" w:w="6912"/>
            <w:tcMar>
              <w:top w:w="60" w:type="dxa"/>
              <w:start w:w="80" w:type="dxa"/>
              <w:bottom w:w="60" w:type="dxa"/>
              <w:end w:w="80" w:type="dxa"/>
            </w:tcMar>
            <w:vAlign w:val="center"/>
          </w:tcPr>
          <w:p>
            <w:r>
              <w:rPr>
                <w:sz w:val="16"/>
              </w:rPr>
              <w:t>Deterministic ISO-derived display name aligned to Country code(s).</w:t>
            </w:r>
          </w:p>
        </w:tc>
      </w:tr>
      <w:tr>
        <w:tc>
          <w:tcPr>
            <w:tcW w:type="dxa" w:w="3888"/>
            <w:tcMar>
              <w:top w:w="60" w:type="dxa"/>
              <w:start w:w="80" w:type="dxa"/>
              <w:bottom w:w="60" w:type="dxa"/>
              <w:end w:w="80" w:type="dxa"/>
            </w:tcMar>
            <w:vAlign w:val="center"/>
            <w:shd w:fill="F3F6FA"/>
          </w:tcPr>
          <w:p>
            <w:r>
              <w:rPr>
                <w:sz w:val="16"/>
              </w:rPr>
              <w:t>predicted_town_probability</w:t>
            </w:r>
          </w:p>
        </w:tc>
        <w:tc>
          <w:tcPr>
            <w:tcW w:type="dxa" w:w="6912"/>
            <w:tcMar>
              <w:top w:w="60" w:type="dxa"/>
              <w:start w:w="80" w:type="dxa"/>
              <w:bottom w:w="60" w:type="dxa"/>
              <w:end w:w="80" w:type="dxa"/>
            </w:tcMar>
            <w:vAlign w:val="center"/>
            <w:shd w:fill="F3F6FA"/>
          </w:tcPr>
          <w:p>
            <w:r>
              <w:rPr>
                <w:sz w:val="16"/>
              </w:rPr>
              <w:t>Validated model-confidence input used by scoring.</w:t>
            </w:r>
          </w:p>
        </w:tc>
      </w:tr>
      <w:tr>
        <w:tc>
          <w:tcPr>
            <w:tcW w:type="dxa" w:w="3888"/>
            <w:tcMar>
              <w:top w:w="60" w:type="dxa"/>
              <w:start w:w="80" w:type="dxa"/>
              <w:bottom w:w="60" w:type="dxa"/>
              <w:end w:w="80" w:type="dxa"/>
            </w:tcMar>
            <w:vAlign w:val="center"/>
          </w:tcPr>
          <w:p>
            <w:r>
              <w:rPr>
                <w:sz w:val="16"/>
              </w:rPr>
              <w:t>predicted_country_probability</w:t>
            </w:r>
          </w:p>
        </w:tc>
        <w:tc>
          <w:tcPr>
            <w:tcW w:type="dxa" w:w="6912"/>
            <w:tcMar>
              <w:top w:w="60" w:type="dxa"/>
              <w:start w:w="80" w:type="dxa"/>
              <w:bottom w:w="60" w:type="dxa"/>
              <w:end w:w="80" w:type="dxa"/>
            </w:tcMar>
            <w:vAlign w:val="center"/>
          </w:tcPr>
          <w:p>
            <w:r>
              <w:rPr>
                <w:sz w:val="16"/>
              </w:rPr>
              <w:t>Validated model-confidence input; forced to 0.0 for unresolved Country ambiguity.</w:t>
            </w:r>
          </w:p>
        </w:tc>
      </w:tr>
      <w:tr>
        <w:tc>
          <w:tcPr>
            <w:tcW w:type="dxa" w:w="3888"/>
            <w:tcMar>
              <w:top w:w="60" w:type="dxa"/>
              <w:start w:w="80" w:type="dxa"/>
              <w:bottom w:w="60" w:type="dxa"/>
              <w:end w:w="80" w:type="dxa"/>
            </w:tcMar>
            <w:vAlign w:val="center"/>
            <w:shd w:fill="F3F6FA"/>
          </w:tcPr>
          <w:p>
            <w:r>
              <w:rPr>
                <w:sz w:val="16"/>
              </w:rPr>
              <w:t>predicted_town_exists</w:t>
            </w:r>
          </w:p>
        </w:tc>
        <w:tc>
          <w:tcPr>
            <w:tcW w:type="dxa" w:w="6912"/>
            <w:tcMar>
              <w:top w:w="60" w:type="dxa"/>
              <w:start w:w="80" w:type="dxa"/>
              <w:bottom w:w="60" w:type="dxa"/>
              <w:end w:w="80" w:type="dxa"/>
            </w:tcMar>
            <w:vAlign w:val="center"/>
            <w:shd w:fill="F3F6FA"/>
          </w:tcPr>
          <w:p>
            <w:r>
              <w:rPr>
                <w:sz w:val="16"/>
              </w:rPr>
              <w:t>Whether the predicted Town is explicitly supported by source text.</w:t>
            </w:r>
          </w:p>
        </w:tc>
      </w:tr>
      <w:tr>
        <w:tc>
          <w:tcPr>
            <w:tcW w:type="dxa" w:w="3888"/>
            <w:tcMar>
              <w:top w:w="60" w:type="dxa"/>
              <w:start w:w="80" w:type="dxa"/>
              <w:bottom w:w="60" w:type="dxa"/>
              <w:end w:w="80" w:type="dxa"/>
            </w:tcMar>
            <w:vAlign w:val="center"/>
          </w:tcPr>
          <w:p>
            <w:r>
              <w:rPr>
                <w:sz w:val="16"/>
              </w:rPr>
              <w:t>predicted_country_exists</w:t>
            </w:r>
          </w:p>
        </w:tc>
        <w:tc>
          <w:tcPr>
            <w:tcW w:type="dxa" w:w="6912"/>
            <w:tcMar>
              <w:top w:w="60" w:type="dxa"/>
              <w:start w:w="80" w:type="dxa"/>
              <w:bottom w:w="60" w:type="dxa"/>
              <w:end w:w="80" w:type="dxa"/>
            </w:tcMar>
            <w:vAlign w:val="center"/>
          </w:tcPr>
          <w:p>
            <w:r>
              <w:rPr>
                <w:sz w:val="16"/>
              </w:rPr>
              <w:t>Whether the predicted Country is explicitly supported by source text.</w:t>
            </w:r>
          </w:p>
        </w:tc>
      </w:tr>
      <w:tr>
        <w:tc>
          <w:tcPr>
            <w:tcW w:type="dxa" w:w="3888"/>
            <w:tcMar>
              <w:top w:w="60" w:type="dxa"/>
              <w:start w:w="80" w:type="dxa"/>
              <w:bottom w:w="60" w:type="dxa"/>
              <w:end w:w="80" w:type="dxa"/>
            </w:tcMar>
            <w:vAlign w:val="center"/>
            <w:shd w:fill="F3F6FA"/>
          </w:tcPr>
          <w:p>
            <w:r>
              <w:rPr>
                <w:sz w:val="16"/>
              </w:rPr>
              <w:t>town_exists_ok / country_exists_ok</w:t>
            </w:r>
          </w:p>
        </w:tc>
        <w:tc>
          <w:tcPr>
            <w:tcW w:type="dxa" w:w="6912"/>
            <w:tcMar>
              <w:top w:w="60" w:type="dxa"/>
              <w:start w:w="80" w:type="dxa"/>
              <w:bottom w:w="60" w:type="dxa"/>
              <w:end w:w="80" w:type="dxa"/>
            </w:tcMar>
            <w:vAlign w:val="center"/>
            <w:shd w:fill="F3F6FA"/>
          </w:tcPr>
          <w:p>
            <w:r>
              <w:rPr>
                <w:sz w:val="16"/>
              </w:rPr>
              <w:t>Flat correctness indicators in the current implementation; detailed audit must also retain availability/basis so lack of evidence is distinguishable from contradiction.</w:t>
            </w:r>
          </w:p>
        </w:tc>
      </w:tr>
      <w:tr>
        <w:tc>
          <w:tcPr>
            <w:tcW w:type="dxa" w:w="3888"/>
            <w:tcMar>
              <w:top w:w="60" w:type="dxa"/>
              <w:start w:w="80" w:type="dxa"/>
              <w:bottom w:w="60" w:type="dxa"/>
              <w:end w:w="80" w:type="dxa"/>
            </w:tcMar>
            <w:vAlign w:val="center"/>
          </w:tcPr>
          <w:p>
            <w:r>
              <w:rPr>
                <w:sz w:val="16"/>
              </w:rPr>
              <w:t>composite_weighted_score</w:t>
            </w:r>
          </w:p>
        </w:tc>
        <w:tc>
          <w:tcPr>
            <w:tcW w:type="dxa" w:w="6912"/>
            <w:tcMar>
              <w:top w:w="60" w:type="dxa"/>
              <w:start w:w="80" w:type="dxa"/>
              <w:bottom w:w="60" w:type="dxa"/>
              <w:end w:w="80" w:type="dxa"/>
            </w:tcMar>
            <w:vAlign w:val="center"/>
          </w:tcPr>
          <w:p>
            <w:r>
              <w:rPr>
                <w:sz w:val="16"/>
              </w:rPr>
              <w:t>Operational HITL routing score; higher is better.</w:t>
            </w:r>
          </w:p>
        </w:tc>
      </w:tr>
      <w:tr>
        <w:tc>
          <w:tcPr>
            <w:tcW w:type="dxa" w:w="3888"/>
            <w:tcMar>
              <w:top w:w="60" w:type="dxa"/>
              <w:start w:w="80" w:type="dxa"/>
              <w:bottom w:w="60" w:type="dxa"/>
              <w:end w:w="80" w:type="dxa"/>
            </w:tcMar>
            <w:vAlign w:val="center"/>
            <w:shd w:fill="F3F6FA"/>
          </w:tcPr>
          <w:p>
            <w:r>
              <w:rPr>
                <w:sz w:val="16"/>
              </w:rPr>
              <w:t>cross_entropy</w:t>
            </w:r>
          </w:p>
        </w:tc>
        <w:tc>
          <w:tcPr>
            <w:tcW w:type="dxa" w:w="6912"/>
            <w:tcMar>
              <w:top w:w="60" w:type="dxa"/>
              <w:start w:w="80" w:type="dxa"/>
              <w:bottom w:w="60" w:type="dxa"/>
              <w:end w:w="80" w:type="dxa"/>
            </w:tcMar>
            <w:vAlign w:val="center"/>
            <w:shd w:fill="F3F6FA"/>
          </w:tcPr>
          <w:p>
            <w:r>
              <w:rPr>
                <w:sz w:val="16"/>
              </w:rPr>
              <w:t>Confidence-vs-ground-truth evaluation loss on grounded components; lower is better.</w:t>
            </w:r>
          </w:p>
        </w:tc>
      </w:tr>
      <w:tr>
        <w:tc>
          <w:tcPr>
            <w:tcW w:type="dxa" w:w="3888"/>
            <w:tcMar>
              <w:top w:w="60" w:type="dxa"/>
              <w:start w:w="80" w:type="dxa"/>
              <w:bottom w:w="60" w:type="dxa"/>
              <w:end w:w="80" w:type="dxa"/>
            </w:tcMar>
            <w:vAlign w:val="center"/>
          </w:tcPr>
          <w:p>
            <w:r>
              <w:rPr>
                <w:sz w:val="16"/>
              </w:rPr>
              <w:t>combined_address_retracted</w:t>
            </w:r>
          </w:p>
        </w:tc>
        <w:tc>
          <w:tcPr>
            <w:tcW w:type="dxa" w:w="6912"/>
            <w:tcMar>
              <w:top w:w="60" w:type="dxa"/>
              <w:start w:w="80" w:type="dxa"/>
              <w:bottom w:w="60" w:type="dxa"/>
              <w:end w:w="80" w:type="dxa"/>
            </w:tcMar>
            <w:vAlign w:val="center"/>
          </w:tcPr>
          <w:p>
            <w:r>
              <w:rPr>
                <w:sz w:val="16"/>
              </w:rPr>
              <w:t>Residual combined address after token-safe removal of explicitly verified Town/Country evidence.</w:t>
            </w:r>
          </w:p>
        </w:tc>
      </w:tr>
      <w:tr>
        <w:tc>
          <w:tcPr>
            <w:tcW w:type="dxa" w:w="3888"/>
            <w:tcMar>
              <w:top w:w="60" w:type="dxa"/>
              <w:start w:w="80" w:type="dxa"/>
              <w:bottom w:w="60" w:type="dxa"/>
              <w:end w:w="80" w:type="dxa"/>
            </w:tcMar>
            <w:vAlign w:val="center"/>
            <w:shd w:fill="F3F6FA"/>
          </w:tcPr>
          <w:p>
            <w:r>
              <w:rPr>
                <w:sz w:val="16"/>
              </w:rPr>
              <w:t>retraction before/after</w:t>
            </w:r>
          </w:p>
        </w:tc>
        <w:tc>
          <w:tcPr>
            <w:tcW w:type="dxa" w:w="6912"/>
            <w:tcMar>
              <w:top w:w="60" w:type="dxa"/>
              <w:start w:w="80" w:type="dxa"/>
              <w:bottom w:w="60" w:type="dxa"/>
              <w:end w:w="80" w:type="dxa"/>
            </w:tcMar>
            <w:vAlign w:val="center"/>
            <w:shd w:fill="F3F6FA"/>
          </w:tcPr>
          <w:p>
            <w:r>
              <w:rPr>
                <w:sz w:val="16"/>
              </w:rPr>
              <w:t>Detailed source-field values before and after deterministic retraction, stored in nested audit JSON.</w:t>
            </w:r>
          </w:p>
        </w:tc>
      </w:tr>
    </w:tbl>
    <w:p>
      <w:pPr>
        <w:pStyle w:val="Heading1"/>
      </w:pPr>
      <w:r>
        <w:t>Appendix B - Reference Implementation Evidence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tcMar>
              <w:top w:w="60" w:type="dxa"/>
              <w:start w:w="80" w:type="dxa"/>
              <w:bottom w:w="60" w:type="dxa"/>
              <w:end w:w="80" w:type="dxa"/>
            </w:tcMar>
            <w:vAlign w:val="center"/>
            <w:shd w:fill="17365D"/>
          </w:tcPr>
          <w:p>
            <w:r>
              <w:rPr>
                <w:b/>
                <w:color w:val="FFFFFF"/>
                <w:sz w:val="16"/>
              </w:rPr>
              <w:t>Merged Change</w:t>
            </w:r>
          </w:p>
        </w:tc>
        <w:tc>
          <w:tcPr>
            <w:tcW w:type="dxa" w:w="8496"/>
            <w:tcMar>
              <w:top w:w="60" w:type="dxa"/>
              <w:start w:w="80" w:type="dxa"/>
              <w:bottom w:w="60" w:type="dxa"/>
              <w:end w:w="80" w:type="dxa"/>
            </w:tcMar>
            <w:vAlign w:val="center"/>
            <w:shd w:fill="17365D"/>
          </w:tcPr>
          <w:p>
            <w:r>
              <w:rPr>
                <w:b/>
                <w:color w:val="FFFFFF"/>
                <w:sz w:val="16"/>
              </w:rPr>
              <w:t>Evidence Used by This BRD</w:t>
            </w:r>
          </w:p>
        </w:tc>
      </w:tr>
      <w:tr>
        <w:tc>
          <w:tcPr>
            <w:tcW w:type="dxa" w:w="2304"/>
            <w:tcMar>
              <w:top w:w="60" w:type="dxa"/>
              <w:start w:w="80" w:type="dxa"/>
              <w:bottom w:w="60" w:type="dxa"/>
              <w:end w:w="80" w:type="dxa"/>
            </w:tcMar>
            <w:vAlign w:val="center"/>
          </w:tcPr>
          <w:p>
            <w:r>
              <w:rPr>
                <w:sz w:val="16"/>
              </w:rPr>
              <w:t>PR #1</w:t>
            </w:r>
          </w:p>
        </w:tc>
        <w:tc>
          <w:tcPr>
            <w:tcW w:type="dxa" w:w="8496"/>
            <w:tcMar>
              <w:top w:w="60" w:type="dxa"/>
              <w:start w:w="80" w:type="dxa"/>
              <w:bottom w:w="60" w:type="dxa"/>
              <w:end w:w="80" w:type="dxa"/>
            </w:tcMar>
            <w:vAlign w:val="center"/>
          </w:tcPr>
          <w:p>
            <w:r>
              <w:rPr>
                <w:sz w:val="16"/>
              </w:rPr>
              <w:t>Initial Phase 1 implementation: grouping, null skip, dedupe, structured extraction, deterministic scoring, cache/error handling. Merge description reported 222 tests passing.</w:t>
            </w:r>
          </w:p>
        </w:tc>
      </w:tr>
      <w:tr>
        <w:tc>
          <w:tcPr>
            <w:tcW w:type="dxa" w:w="2304"/>
            <w:tcMar>
              <w:top w:w="60" w:type="dxa"/>
              <w:start w:w="80" w:type="dxa"/>
              <w:bottom w:w="60" w:type="dxa"/>
              <w:end w:w="80" w:type="dxa"/>
            </w:tcMar>
            <w:vAlign w:val="center"/>
            <w:shd w:fill="F3F6FA"/>
          </w:tcPr>
          <w:p>
            <w:r>
              <w:rPr>
                <w:sz w:val="16"/>
              </w:rPr>
              <w:t>PR #2</w:t>
            </w:r>
          </w:p>
        </w:tc>
        <w:tc>
          <w:tcPr>
            <w:tcW w:type="dxa" w:w="8496"/>
            <w:tcMar>
              <w:top w:w="60" w:type="dxa"/>
              <w:start w:w="80" w:type="dxa"/>
              <w:bottom w:w="60" w:type="dxa"/>
              <w:end w:w="80" w:type="dxa"/>
            </w:tcMar>
            <w:vAlign w:val="center"/>
            <w:shd w:fill="F3F6FA"/>
          </w:tcPr>
          <w:p>
            <w:r>
              <w:rPr>
                <w:sz w:val="16"/>
              </w:rPr>
              <w:t>Added Country Name, Town/Country reference provider, executive reporting and provisional threshold guidance. Merge description reported 325 tests passing.</w:t>
            </w:r>
          </w:p>
        </w:tc>
      </w:tr>
      <w:tr>
        <w:tc>
          <w:tcPr>
            <w:tcW w:type="dxa" w:w="2304"/>
            <w:tcMar>
              <w:top w:w="60" w:type="dxa"/>
              <w:start w:w="80" w:type="dxa"/>
              <w:bottom w:w="60" w:type="dxa"/>
              <w:end w:w="80" w:type="dxa"/>
            </w:tcMar>
            <w:vAlign w:val="center"/>
          </w:tcPr>
          <w:p>
            <w:r>
              <w:rPr>
                <w:sz w:val="16"/>
              </w:rPr>
              <w:t>PR #3</w:t>
            </w:r>
          </w:p>
        </w:tc>
        <w:tc>
          <w:tcPr>
            <w:tcW w:type="dxa" w:w="8496"/>
            <w:tcMar>
              <w:top w:w="60" w:type="dxa"/>
              <w:start w:w="80" w:type="dxa"/>
              <w:bottom w:w="60" w:type="dxa"/>
              <w:end w:w="80" w:type="dxa"/>
            </w:tcMar>
            <w:vAlign w:val="center"/>
          </w:tcPr>
          <w:p>
            <w:r>
              <w:rPr>
                <w:sz w:val="16"/>
              </w:rPr>
              <w:t>Added ground-truth labels, binary cross-entropy, token-safe retraction and streaming nested JSON/JSONL. Merge description reported 438 tests passing and both notebooks executing.</w:t>
            </w:r>
          </w:p>
        </w:tc>
      </w:tr>
      <w:tr>
        <w:tc>
          <w:tcPr>
            <w:tcW w:type="dxa" w:w="2304"/>
            <w:tcMar>
              <w:top w:w="60" w:type="dxa"/>
              <w:start w:w="80" w:type="dxa"/>
              <w:bottom w:w="60" w:type="dxa"/>
              <w:end w:w="80" w:type="dxa"/>
            </w:tcMar>
            <w:vAlign w:val="center"/>
            <w:shd w:fill="F3F6FA"/>
          </w:tcPr>
          <w:p>
            <w:r>
              <w:rPr>
                <w:sz w:val="16"/>
              </w:rPr>
              <w:t>PR #4 / latest main</w:t>
            </w:r>
          </w:p>
        </w:tc>
        <w:tc>
          <w:tcPr>
            <w:tcW w:type="dxa" w:w="8496"/>
            <w:tcMar>
              <w:top w:w="60" w:type="dxa"/>
              <w:start w:w="80" w:type="dxa"/>
              <w:bottom w:w="60" w:type="dxa"/>
              <w:end w:w="80" w:type="dxa"/>
            </w:tcMar>
            <w:vAlign w:val="center"/>
            <w:shd w:fill="F3F6FA"/>
          </w:tcPr>
          <w:p>
            <w:r>
              <w:rPr>
                <w:sz w:val="16"/>
              </w:rPr>
              <w:t>Kept ungrounded correctness null inside the detailed audit payload while flat exists_ok behavior remains collapsed; refreshed dry-run outputs. Merge description reported 442 tests passing.</w:t>
            </w:r>
          </w:p>
        </w:tc>
      </w:tr>
    </w:tbl>
    <w:p>
      <w:pPr>
        <w:pStyle w:val="BRDNote"/>
      </w:pPr>
      <w:r>
        <w:t>Implementation-evidence test counts are reported from merged pull-request descriptions and are included only to demonstrate the maturity of the prototype baseline. They are not substitutes for enterprise functional testing, security testing, performance testing, model validation or user acceptance testing.</w:t>
      </w:r>
    </w:p>
    <w:p>
      <w:pPr>
        <w:pStyle w:val="Heading1"/>
      </w:pPr>
      <w:r>
        <w:t>Appendix C - Glossary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tcMar>
              <w:top w:w="60" w:type="dxa"/>
              <w:start w:w="80" w:type="dxa"/>
              <w:bottom w:w="60" w:type="dxa"/>
              <w:end w:w="80" w:type="dxa"/>
            </w:tcMar>
            <w:vAlign w:val="center"/>
            <w:shd w:fill="17365D"/>
          </w:tcPr>
          <w:p>
            <w:r>
              <w:rPr>
                <w:b/>
                <w:color w:val="FFFFFF"/>
                <w:sz w:val="16"/>
              </w:rPr>
              <w:t>Term</w:t>
            </w:r>
          </w:p>
        </w:tc>
        <w:tc>
          <w:tcPr>
            <w:tcW w:type="dxa" w:w="7776"/>
            <w:tcMar>
              <w:top w:w="60" w:type="dxa"/>
              <w:start w:w="80" w:type="dxa"/>
              <w:bottom w:w="60" w:type="dxa"/>
              <w:end w:w="80" w:type="dxa"/>
            </w:tcMar>
            <w:vAlign w:val="center"/>
            <w:shd w:fill="17365D"/>
          </w:tcPr>
          <w:p>
            <w:r>
              <w:rPr>
                <w:b/>
                <w:color w:val="FFFFFF"/>
                <w:sz w:val="16"/>
              </w:rPr>
              <w:t>Definition</w:t>
            </w:r>
          </w:p>
        </w:tc>
      </w:tr>
      <w:tr>
        <w:tc>
          <w:tcPr>
            <w:tcW w:type="dxa" w:w="3024"/>
            <w:tcMar>
              <w:top w:w="60" w:type="dxa"/>
              <w:start w:w="80" w:type="dxa"/>
              <w:bottom w:w="60" w:type="dxa"/>
              <w:end w:w="80" w:type="dxa"/>
            </w:tcMar>
            <w:vAlign w:val="center"/>
          </w:tcPr>
          <w:p>
            <w:r>
              <w:rPr>
                <w:sz w:val="16"/>
              </w:rPr>
              <w:t>Avro</w:t>
            </w:r>
          </w:p>
        </w:tc>
        <w:tc>
          <w:tcPr>
            <w:tcW w:type="dxa" w:w="7776"/>
            <w:tcMar>
              <w:top w:w="60" w:type="dxa"/>
              <w:start w:w="80" w:type="dxa"/>
              <w:bottom w:w="60" w:type="dxa"/>
              <w:end w:w="80" w:type="dxa"/>
            </w:tcMar>
            <w:vAlign w:val="center"/>
          </w:tcPr>
          <w:p>
            <w:r>
              <w:rPr>
                <w:sz w:val="16"/>
              </w:rPr>
              <w:t>A schema-based data serialization and contract format commonly used with Kafka and enterprise Schema Registries.</w:t>
            </w:r>
          </w:p>
        </w:tc>
      </w:tr>
      <w:tr>
        <w:tc>
          <w:tcPr>
            <w:tcW w:type="dxa" w:w="3024"/>
            <w:tcMar>
              <w:top w:w="60" w:type="dxa"/>
              <w:start w:w="80" w:type="dxa"/>
              <w:bottom w:w="60" w:type="dxa"/>
              <w:end w:w="80" w:type="dxa"/>
            </w:tcMar>
            <w:vAlign w:val="center"/>
            <w:shd w:fill="F3F6FA"/>
          </w:tcPr>
          <w:p>
            <w:r>
              <w:rPr>
                <w:sz w:val="16"/>
              </w:rPr>
              <w:t>Composite Weighted Score</w:t>
            </w:r>
          </w:p>
        </w:tc>
        <w:tc>
          <w:tcPr>
            <w:tcW w:type="dxa" w:w="7776"/>
            <w:tcMar>
              <w:top w:w="60" w:type="dxa"/>
              <w:start w:w="80" w:type="dxa"/>
              <w:bottom w:w="60" w:type="dxa"/>
              <w:end w:w="80" w:type="dxa"/>
            </w:tcMar>
            <w:vAlign w:val="center"/>
            <w:shd w:fill="F3F6FA"/>
          </w:tcPr>
          <w:p>
            <w:r>
              <w:rPr>
                <w:sz w:val="16"/>
              </w:rPr>
              <w:t>Policy-driven operational score combining model confidence with scenario reliability weights.</w:t>
            </w:r>
          </w:p>
        </w:tc>
      </w:tr>
      <w:tr>
        <w:tc>
          <w:tcPr>
            <w:tcW w:type="dxa" w:w="3024"/>
            <w:tcMar>
              <w:top w:w="60" w:type="dxa"/>
              <w:start w:w="80" w:type="dxa"/>
              <w:bottom w:w="60" w:type="dxa"/>
              <w:end w:w="80" w:type="dxa"/>
            </w:tcMar>
            <w:vAlign w:val="center"/>
          </w:tcPr>
          <w:p>
            <w:r>
              <w:rPr>
                <w:sz w:val="16"/>
              </w:rPr>
              <w:t>Cross-Entropy / BCE</w:t>
            </w:r>
          </w:p>
        </w:tc>
        <w:tc>
          <w:tcPr>
            <w:tcW w:type="dxa" w:w="7776"/>
            <w:tcMar>
              <w:top w:w="60" w:type="dxa"/>
              <w:start w:w="80" w:type="dxa"/>
              <w:bottom w:w="60" w:type="dxa"/>
              <w:end w:w="80" w:type="dxa"/>
            </w:tcMar>
            <w:vAlign w:val="center"/>
          </w:tcPr>
          <w:p>
            <w:r>
              <w:rPr>
                <w:sz w:val="16"/>
              </w:rPr>
              <w:t>Binary log loss measuring confidence quality against independently grounded correctness.</w:t>
            </w:r>
          </w:p>
        </w:tc>
      </w:tr>
      <w:tr>
        <w:tc>
          <w:tcPr>
            <w:tcW w:type="dxa" w:w="3024"/>
            <w:tcMar>
              <w:top w:w="60" w:type="dxa"/>
              <w:start w:w="80" w:type="dxa"/>
              <w:bottom w:w="60" w:type="dxa"/>
              <w:end w:w="80" w:type="dxa"/>
            </w:tcMar>
            <w:vAlign w:val="center"/>
            <w:shd w:fill="F3F6FA"/>
          </w:tcPr>
          <w:p>
            <w:r>
              <w:rPr>
                <w:sz w:val="16"/>
              </w:rPr>
              <w:t>HITL</w:t>
            </w:r>
          </w:p>
        </w:tc>
        <w:tc>
          <w:tcPr>
            <w:tcW w:type="dxa" w:w="7776"/>
            <w:tcMar>
              <w:top w:w="60" w:type="dxa"/>
              <w:start w:w="80" w:type="dxa"/>
              <w:bottom w:w="60" w:type="dxa"/>
              <w:end w:w="80" w:type="dxa"/>
            </w:tcMar>
            <w:vAlign w:val="center"/>
            <w:shd w:fill="F3F6FA"/>
          </w:tcPr>
          <w:p>
            <w:r>
              <w:rPr>
                <w:sz w:val="16"/>
              </w:rPr>
              <w:t>Human-in-the-Loop; controlled manual review of low-confidence, ambiguous, conflicting or failed cases.</w:t>
            </w:r>
          </w:p>
        </w:tc>
      </w:tr>
      <w:tr>
        <w:tc>
          <w:tcPr>
            <w:tcW w:type="dxa" w:w="3024"/>
            <w:tcMar>
              <w:top w:w="60" w:type="dxa"/>
              <w:start w:w="80" w:type="dxa"/>
              <w:bottom w:w="60" w:type="dxa"/>
              <w:end w:w="80" w:type="dxa"/>
            </w:tcMar>
            <w:vAlign w:val="center"/>
          </w:tcPr>
          <w:p>
            <w:r>
              <w:rPr>
                <w:sz w:val="16"/>
              </w:rPr>
              <w:t>ISO 3166-1 alpha-2</w:t>
            </w:r>
          </w:p>
        </w:tc>
        <w:tc>
          <w:tcPr>
            <w:tcW w:type="dxa" w:w="7776"/>
            <w:tcMar>
              <w:top w:w="60" w:type="dxa"/>
              <w:start w:w="80" w:type="dxa"/>
              <w:bottom w:w="60" w:type="dxa"/>
              <w:end w:w="80" w:type="dxa"/>
            </w:tcMar>
            <w:vAlign w:val="center"/>
          </w:tcPr>
          <w:p>
            <w:r>
              <w:rPr>
                <w:sz w:val="16"/>
              </w:rPr>
              <w:t>Two-letter Country code standard used for normalized Country output.</w:t>
            </w:r>
          </w:p>
        </w:tc>
      </w:tr>
      <w:tr>
        <w:tc>
          <w:tcPr>
            <w:tcW w:type="dxa" w:w="3024"/>
            <w:tcMar>
              <w:top w:w="60" w:type="dxa"/>
              <w:start w:w="80" w:type="dxa"/>
              <w:bottom w:w="60" w:type="dxa"/>
              <w:end w:w="80" w:type="dxa"/>
            </w:tcMar>
            <w:vAlign w:val="center"/>
            <w:shd w:fill="F3F6FA"/>
          </w:tcPr>
          <w:p>
            <w:r>
              <w:rPr>
                <w:sz w:val="16"/>
              </w:rPr>
              <w:t>JSONL</w:t>
            </w:r>
          </w:p>
        </w:tc>
        <w:tc>
          <w:tcPr>
            <w:tcW w:type="dxa" w:w="7776"/>
            <w:tcMar>
              <w:top w:w="60" w:type="dxa"/>
              <w:start w:w="80" w:type="dxa"/>
              <w:bottom w:w="60" w:type="dxa"/>
              <w:end w:w="80" w:type="dxa"/>
            </w:tcMar>
            <w:vAlign w:val="center"/>
            <w:shd w:fill="F3F6FA"/>
          </w:tcPr>
          <w:p>
            <w:r>
              <w:rPr>
                <w:sz w:val="16"/>
              </w:rPr>
              <w:t>JSON Lines; one JSON object per line, suitable for streaming large record sets.</w:t>
            </w:r>
          </w:p>
        </w:tc>
      </w:tr>
      <w:tr>
        <w:tc>
          <w:tcPr>
            <w:tcW w:type="dxa" w:w="3024"/>
            <w:tcMar>
              <w:top w:w="60" w:type="dxa"/>
              <w:start w:w="80" w:type="dxa"/>
              <w:bottom w:w="60" w:type="dxa"/>
              <w:end w:w="80" w:type="dxa"/>
            </w:tcMar>
            <w:vAlign w:val="center"/>
          </w:tcPr>
          <w:p>
            <w:r>
              <w:rPr>
                <w:sz w:val="16"/>
              </w:rPr>
              <w:t>Reference Conflict</w:t>
            </w:r>
          </w:p>
        </w:tc>
        <w:tc>
          <w:tcPr>
            <w:tcW w:type="dxa" w:w="7776"/>
            <w:tcMar>
              <w:top w:w="60" w:type="dxa"/>
              <w:start w:w="80" w:type="dxa"/>
              <w:bottom w:w="60" w:type="dxa"/>
              <w:end w:w="80" w:type="dxa"/>
            </w:tcMar>
            <w:vAlign w:val="center"/>
          </w:tcPr>
          <w:p>
            <w:r>
              <w:rPr>
                <w:sz w:val="16"/>
              </w:rPr>
              <w:t>A case where deterministic approved reference evidence disagrees with the proposed model result.</w:t>
            </w:r>
          </w:p>
        </w:tc>
      </w:tr>
      <w:tr>
        <w:tc>
          <w:tcPr>
            <w:tcW w:type="dxa" w:w="3024"/>
            <w:tcMar>
              <w:top w:w="60" w:type="dxa"/>
              <w:start w:w="80" w:type="dxa"/>
              <w:bottom w:w="60" w:type="dxa"/>
              <w:end w:w="80" w:type="dxa"/>
            </w:tcMar>
            <w:vAlign w:val="center"/>
            <w:shd w:fill="F3F6FA"/>
          </w:tcPr>
          <w:p>
            <w:r>
              <w:rPr>
                <w:sz w:val="16"/>
              </w:rPr>
              <w:t>Retraction</w:t>
            </w:r>
          </w:p>
        </w:tc>
        <w:tc>
          <w:tcPr>
            <w:tcW w:type="dxa" w:w="7776"/>
            <w:tcMar>
              <w:top w:w="60" w:type="dxa"/>
              <w:start w:w="80" w:type="dxa"/>
              <w:bottom w:w="60" w:type="dxa"/>
              <w:end w:w="80" w:type="dxa"/>
            </w:tcMar>
            <w:vAlign w:val="center"/>
            <w:shd w:fill="F3F6FA"/>
          </w:tcPr>
          <w:p>
            <w:r>
              <w:rPr>
                <w:sz w:val="16"/>
              </w:rPr>
              <w:t>Safe removal of explicitly verified Town/Country evidence from a copy of source address fields.</w:t>
            </w:r>
          </w:p>
        </w:tc>
      </w:tr>
      <w:tr>
        <w:tc>
          <w:tcPr>
            <w:tcW w:type="dxa" w:w="3024"/>
            <w:tcMar>
              <w:top w:w="60" w:type="dxa"/>
              <w:start w:w="80" w:type="dxa"/>
              <w:bottom w:w="60" w:type="dxa"/>
              <w:end w:w="80" w:type="dxa"/>
            </w:tcMar>
            <w:vAlign w:val="center"/>
          </w:tcPr>
          <w:p>
            <w:r>
              <w:rPr>
                <w:sz w:val="16"/>
              </w:rPr>
              <w:t>SWIFTRef</w:t>
            </w:r>
          </w:p>
        </w:tc>
        <w:tc>
          <w:tcPr>
            <w:tcW w:type="dxa" w:w="7776"/>
            <w:tcMar>
              <w:top w:w="60" w:type="dxa"/>
              <w:start w:w="80" w:type="dxa"/>
              <w:bottom w:w="60" w:type="dxa"/>
              <w:end w:w="80" w:type="dxa"/>
            </w:tcMar>
            <w:vAlign w:val="center"/>
          </w:tcPr>
          <w:p>
            <w:r>
              <w:rPr>
                <w:sz w:val="16"/>
              </w:rPr>
              <w:t>Licensed SWIFT reference-data capability; integration requires entitled enterprise access.</w:t>
            </w:r>
          </w:p>
        </w:tc>
      </w:tr>
    </w:tbl>
    <w:p/>
    <w:tbl>
      <w:tblPr>
        <w:tblW w:type="auto" w:w="0"/>
        <w:jc w:val="center"/>
        <w:tblLook w:firstColumn="1" w:firstRow="1" w:lastColumn="0" w:lastRow="0" w:noHBand="0" w:noVBand="1" w:val="04A0"/>
      </w:tblPr>
      <w:tblGrid>
        <w:gridCol w:w="10224"/>
      </w:tblGrid>
      <w:tr>
        <w:tc>
          <w:tcPr>
            <w:tcW w:type="dxa" w:w="10224"/>
            <w:shd w:fill="D9EAF7"/>
            <w:tcBorders>
              <w:top w:val="single" w:sz="6" w:color="2F5597"/>
              <w:start w:val="single" w:sz="6" w:color="2F5597"/>
              <w:bottom w:val="single" w:sz="6" w:color="2F5597"/>
              <w:end w:val="single" w:sz="6" w:color="2F5597"/>
            </w:tcBorders>
          </w:tcPr>
          <w:p>
            <w:pPr>
              <w:spacing w:after="40"/>
            </w:pPr>
            <w:r>
              <w:rPr>
                <w:b/>
                <w:color w:val="17365D"/>
              </w:rPr>
              <w:t xml:space="preserve">BRD positioning: </w:t>
            </w:r>
            <w:r>
              <w:rPr>
                <w:sz w:val="18"/>
              </w:rPr>
              <w:t>This document deliberately separates business requirements from implementation recommendations. The Phase 1 repository establishes a tested feasibility baseline; enterprise approval should finalize target input/output schemas, approved reference sources, production model, production threshold, security/retention controls and HITL operating procedures.</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SWIFT Address Town/Country Extraction - Business Requirements Document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DNote">
    <w:name w:val="BRD Note"/>
    <w:pPr>
      <w:spacing w:after="80"/>
    </w:pPr>
    <w:rPr>
      <w:rFonts w:ascii="Aptos" w:hAnsi="Aptos"/>
      <w:color w:val="595959"/>
      <w:sz w:val="17"/>
    </w:rPr>
  </w:style>
  <w:style w:type="paragraph" w:customStyle="1" w:styleId="RequirementText">
    <w:name w:val="Requirement Text"/>
    <w:pPr>
      <w:spacing w:after="40"/>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