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00"/>
      </w:pPr>
      <w:r>
        <w:rPr>
          <w:rFonts w:ascii="Aptos" w:hAnsi="Aptos" w:eastAsia="Aptos"/>
          <w:b/>
          <w:color w:val="176B87"/>
          <w:sz w:val="36"/>
        </w:rPr>
        <w:t>VOYA</w:t>
      </w:r>
    </w:p>
    <w:p>
      <w:pPr>
        <w:pStyle w:val="Title"/>
        <w:spacing w:before="320" w:after="160"/>
      </w:pPr>
      <w:r>
        <w:rPr>
          <w:rFonts w:ascii="Aptos" w:hAnsi="Aptos" w:eastAsia="Aptos"/>
          <w:b/>
          <w:color w:val="000000"/>
          <w:sz w:val="54"/>
        </w:rPr>
        <w:t>Milestone 1 Client Demo Rehearsal</w:t>
      </w:r>
    </w:p>
    <w:p>
      <w:pPr>
        <w:pStyle w:val="Subtitle"/>
        <w:spacing w:after="400"/>
      </w:pPr>
      <w:r>
        <w:rPr>
          <w:rFonts w:ascii="Aptos" w:hAnsi="Aptos" w:eastAsia="Aptos"/>
          <w:b w:val="0"/>
          <w:color w:val="5B667A"/>
          <w:sz w:val="24"/>
        </w:rPr>
        <w:t>Client demonstration script, live API evidence, acceptance traceability and handoff notes</w:t>
      </w:r>
    </w:p>
    <w:tbl>
      <w:tblPr>
        <w:tblW w:type="auto" w:w="0"/>
        <w:jc w:val="center"/>
        <w:tblLayout w:type="fixed"/>
        <w:tblLook w:firstColumn="1" w:firstRow="1" w:lastColumn="0" w:lastRow="0" w:noHBand="0" w:noVBand="1" w:val="04A0"/>
      </w:tblPr>
      <w:tblGrid>
        <w:gridCol w:w="10080"/>
      </w:tblGrid>
      <w:tr>
        <w:tc>
          <w:tcPr>
            <w:tcW w:type="dxa" w:w="9951"/>
            <w:shd w:fill="EAF4F5"/>
            <w:tcBorders>
              <w:top w:val="single" w:sz="8" w:color="176B87"/>
              <w:left w:val="single" w:sz="8" w:color="176B87"/>
              <w:bottom w:val="single" w:sz="8" w:color="176B87"/>
              <w:right w:val="single" w:sz="8" w:color="176B87"/>
              <w:insideH w:val="single" w:sz="8" w:color="176B87"/>
              <w:insideV w:val="single" w:sz="8" w:color="176B87"/>
            </w:tcBorders>
            <w:tcMar>
              <w:top w:w="150" w:type="dxa"/>
              <w:start w:w="180" w:type="dxa"/>
              <w:bottom w:w="150" w:type="dxa"/>
              <w:end w:w="180" w:type="dxa"/>
            </w:tcMar>
            <w:vAlign w:val="center"/>
          </w:tcPr>
          <w:p>
            <w:pPr>
              <w:spacing w:after="80"/>
            </w:pPr>
            <w:r>
              <w:rPr>
                <w:rFonts w:ascii="Aptos" w:hAnsi="Aptos" w:eastAsia="Aptos"/>
                <w:b/>
                <w:color w:val="176B87"/>
                <w:sz w:val="21"/>
              </w:rPr>
              <w:t>STATUS</w:t>
            </w:r>
          </w:p>
          <w:p>
            <w:pPr>
              <w:spacing w:after="0"/>
            </w:pPr>
            <w:r>
              <w:rPr>
                <w:rFonts w:ascii="Aptos" w:hAnsi="Aptos" w:eastAsia="Aptos"/>
                <w:b w:val="0"/>
                <w:color w:val="000000"/>
                <w:sz w:val="19"/>
              </w:rPr>
              <w:t>Implemented Milestone 1 slice rehearsed successfully against the running VOYA API and configured PostgreSQL environment. This handoff separates observed demo evidence from UAT, load validation and production readiness.</w:t>
            </w:r>
          </w:p>
        </w:tc>
      </w:tr>
    </w:tbl>
    <w:p>
      <w:pPr>
        <w:spacing w:after="20"/>
      </w:pPr>
    </w:p>
    <w:p>
      <w:pPr>
        <w:spacing w:before="400" w:after="40" w:line="259" w:lineRule="auto"/>
      </w:pPr>
      <w:r>
        <w:rPr>
          <w:rFonts w:ascii="Aptos" w:hAnsi="Aptos" w:eastAsia="Aptos"/>
          <w:b/>
          <w:color w:val="172033"/>
          <w:sz w:val="20"/>
        </w:rPr>
        <w:t>Prepared 13 September 2026</w:t>
      </w:r>
    </w:p>
    <w:p>
      <w:pPr>
        <w:spacing w:before="0" w:after="40" w:line="259" w:lineRule="auto"/>
      </w:pPr>
      <w:r>
        <w:rPr>
          <w:rFonts w:ascii="Aptos" w:hAnsi="Aptos" w:eastAsia="Aptos"/>
          <w:b w:val="0"/>
          <w:color w:val="5B667A"/>
          <w:sz w:val="18"/>
        </w:rPr>
        <w:t>Repository: C:\wamp64\www\voya-vendor-platform</w:t>
      </w:r>
    </w:p>
    <w:p>
      <w:pPr>
        <w:spacing w:before="0" w:after="240" w:line="259" w:lineRule="auto"/>
      </w:pPr>
      <w:r>
        <w:rPr>
          <w:rFonts w:ascii="Aptos" w:hAnsi="Aptos" w:eastAsia="Aptos"/>
          <w:b w:val="0"/>
          <w:color w:val="5B667A"/>
          <w:sz w:val="18"/>
        </w:rPr>
        <w:t>Audience: VOYA client demo, product, engineering and QA stakeholders</w:t>
      </w:r>
    </w:p>
    <w:p>
      <w:pPr>
        <w:pStyle w:val="Heading2"/>
        <w:keepNext/>
        <w:spacing w:before="180" w:after="100"/>
      </w:pPr>
      <w:r>
        <w:rPr>
          <w:rFonts w:ascii="Aptos" w:hAnsi="Aptos" w:eastAsia="Aptos"/>
          <w:b/>
          <w:color w:val="000000"/>
          <w:sz w:val="25"/>
        </w:rPr>
        <w:t>What this document enables</w:t>
      </w:r>
    </w:p>
    <w:p>
      <w:pPr>
        <w:pStyle w:val="ListBullet"/>
        <w:spacing w:after="40"/>
        <w:ind w:left="317" w:hanging="173"/>
      </w:pPr>
      <w:r>
        <w:rPr>
          <w:rFonts w:ascii="Aptos" w:hAnsi="Aptos" w:eastAsia="Aptos"/>
          <w:b w:val="0"/>
          <w:color w:val="000000"/>
          <w:sz w:val="19"/>
        </w:rPr>
        <w:t>A repeatable twenty minute path through the actual vendor and travel agent surfaces.</w:t>
      </w:r>
    </w:p>
    <w:p>
      <w:pPr>
        <w:pStyle w:val="ListBullet"/>
        <w:spacing w:after="40"/>
        <w:ind w:left="317" w:hanging="173"/>
      </w:pPr>
      <w:r>
        <w:rPr>
          <w:rFonts w:ascii="Aptos" w:hAnsi="Aptos" w:eastAsia="Aptos"/>
          <w:b w:val="0"/>
          <w:color w:val="000000"/>
          <w:sz w:val="19"/>
        </w:rPr>
        <w:t>A concrete explanation of what is implemented, what was observed live, and what still needs UAT or production validation.</w:t>
      </w:r>
    </w:p>
    <w:p>
      <w:pPr>
        <w:pStyle w:val="ListBullet"/>
        <w:spacing w:after="40"/>
        <w:ind w:left="317" w:hanging="173"/>
      </w:pPr>
      <w:r>
        <w:rPr>
          <w:rFonts w:ascii="Aptos" w:hAnsi="Aptos" w:eastAsia="Aptos"/>
          <w:b w:val="0"/>
          <w:color w:val="000000"/>
          <w:sz w:val="19"/>
        </w:rPr>
        <w:t>A safe handoff with demo data, commands, database checks, risks, open decisions and fallback language.</w:t>
      </w:r>
    </w:p>
    <w:p>
      <w:r>
        <w:br w:type="page"/>
      </w:r>
    </w:p>
    <w:p>
      <w:pPr>
        <w:pStyle w:val="Heading1"/>
        <w:keepNext/>
        <w:spacing w:before="280" w:after="100"/>
      </w:pPr>
      <w:r>
        <w:rPr>
          <w:rFonts w:ascii="Aptos" w:hAnsi="Aptos" w:eastAsia="Aptos"/>
          <w:b/>
          <w:color w:val="000000"/>
          <w:sz w:val="36"/>
        </w:rPr>
        <w:t>Scope and Status</w:t>
      </w:r>
    </w:p>
    <w:p>
      <w:pPr>
        <w:spacing w:before="0" w:after="120" w:line="259" w:lineRule="auto"/>
      </w:pPr>
      <w:r>
        <w:rPr>
          <w:rFonts w:ascii="Aptos" w:hAnsi="Aptos" w:eastAsia="Aptos"/>
          <w:b w:val="0"/>
          <w:color w:val="000000"/>
          <w:sz w:val="20"/>
        </w:rPr>
        <w:t>The demo proves a coherent Milestone 1 slice: role-aware access, vendor catalogue data, agent eligibility search, commercial quote preview, idempotent instant booking, booking detail, immutable snapshots and operational evidence. It does not prove the full BRD, all workflow states, integrations, settlement, load targets or production readiness.</w:t>
      </w:r>
    </w:p>
    <w:tbl>
      <w:tblPr>
        <w:tblW w:type="auto" w:w="0"/>
        <w:jc w:val="center"/>
        <w:tblLayout w:type="fixed"/>
        <w:tblLook w:firstColumn="1" w:firstRow="1" w:lastColumn="0" w:lastRow="0" w:noHBand="0" w:noVBand="1" w:val="04A0"/>
      </w:tblPr>
      <w:tblGrid>
        <w:gridCol w:w="10080"/>
      </w:tblGrid>
      <w:tr>
        <w:tc>
          <w:tcPr>
            <w:tcW w:type="dxa" w:w="9951"/>
            <w:shd w:fill="EAF4F5"/>
            <w:tcBorders>
              <w:top w:val="single" w:sz="8" w:color="176B87"/>
              <w:left w:val="single" w:sz="8" w:color="176B87"/>
              <w:bottom w:val="single" w:sz="8" w:color="176B87"/>
              <w:right w:val="single" w:sz="8" w:color="176B87"/>
              <w:insideH w:val="single" w:sz="8" w:color="176B87"/>
              <w:insideV w:val="single" w:sz="8" w:color="176B87"/>
            </w:tcBorders>
            <w:tcMar>
              <w:top w:w="150" w:type="dxa"/>
              <w:start w:w="180" w:type="dxa"/>
              <w:bottom w:w="150" w:type="dxa"/>
              <w:end w:w="180" w:type="dxa"/>
            </w:tcMar>
            <w:vAlign w:val="center"/>
          </w:tcPr>
          <w:p>
            <w:pPr>
              <w:spacing w:after="80"/>
            </w:pPr>
            <w:r>
              <w:rPr>
                <w:rFonts w:ascii="Aptos" w:hAnsi="Aptos" w:eastAsia="Aptos"/>
                <w:b/>
                <w:color w:val="176B87"/>
                <w:sz w:val="21"/>
              </w:rPr>
              <w:t>TELL THEM</w:t>
            </w:r>
          </w:p>
          <w:p>
            <w:pPr>
              <w:spacing w:after="0"/>
            </w:pPr>
            <w:r>
              <w:rPr>
                <w:rFonts w:ascii="Aptos" w:hAnsi="Aptos" w:eastAsia="Aptos"/>
                <w:b w:val="0"/>
                <w:color w:val="000000"/>
                <w:sz w:val="19"/>
              </w:rPr>
              <w:t>What you are seeing is the implemented Milestone 1 slice in the existing VOYA repository. The API is making the authoritative eligibility, price and inventory decisions; the client-facing UI is presenting those results.</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951"/>
            <w:shd w:fill="FFF2E5"/>
            <w:tcBorders>
              <w:top w:val="single" w:sz="8" w:color="B85C00"/>
              <w:left w:val="single" w:sz="8" w:color="B85C00"/>
              <w:bottom w:val="single" w:sz="8" w:color="B85C00"/>
              <w:right w:val="single" w:sz="8" w:color="B85C00"/>
              <w:insideH w:val="single" w:sz="8" w:color="B85C00"/>
              <w:insideV w:val="single" w:sz="8" w:color="B85C00"/>
            </w:tcBorders>
            <w:tcMar>
              <w:top w:w="150" w:type="dxa"/>
              <w:start w:w="180" w:type="dxa"/>
              <w:bottom w:w="150" w:type="dxa"/>
              <w:end w:w="180" w:type="dxa"/>
            </w:tcMar>
            <w:vAlign w:val="center"/>
          </w:tcPr>
          <w:p>
            <w:pPr>
              <w:spacing w:after="80"/>
            </w:pPr>
            <w:r>
              <w:rPr>
                <w:rFonts w:ascii="Aptos" w:hAnsi="Aptos" w:eastAsia="Aptos"/>
                <w:b/>
                <w:color w:val="B85C00"/>
                <w:sz w:val="21"/>
              </w:rPr>
              <w:t>DO NOT SAY</w:t>
            </w:r>
          </w:p>
          <w:p>
            <w:pPr>
              <w:spacing w:after="0"/>
            </w:pPr>
            <w:r>
              <w:rPr>
                <w:rFonts w:ascii="Aptos" w:hAnsi="Aptos" w:eastAsia="Aptos"/>
                <w:b w:val="0"/>
                <w:color w:val="000000"/>
                <w:sz w:val="19"/>
              </w:rPr>
              <w:t>The full BRD is complete, all integrations are production ready, performance targets are proven, or no defects remain. Say that UAT, security review, load validation and go-live controls remain separate gates.</w:t>
            </w:r>
          </w:p>
        </w:tc>
      </w:tr>
    </w:tbl>
    <w:p>
      <w:pPr>
        <w:spacing w:after="20"/>
      </w:pPr>
    </w:p>
    <w:p>
      <w:pPr>
        <w:pStyle w:val="Heading1"/>
        <w:keepNext/>
        <w:spacing w:before="280" w:after="100"/>
      </w:pPr>
      <w:r>
        <w:rPr>
          <w:rFonts w:ascii="Aptos" w:hAnsi="Aptos" w:eastAsia="Aptos"/>
          <w:b/>
          <w:color w:val="000000"/>
          <w:sz w:val="36"/>
        </w:rPr>
        <w:t>Live Environment Facts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76B87"/>
            <w:tcMar>
              <w:top w:w="90" w:type="dxa"/>
              <w:start w:w="100" w:type="dxa"/>
              <w:bottom w:w="90" w:type="dxa"/>
              <w:end w:w="100" w:type="dxa"/>
            </w:tcMar>
            <w:vAlign w:val="center"/>
          </w:tcPr>
          <w:p>
            <w:pPr>
              <w:spacing w:after="0"/>
            </w:pPr>
            <w:r>
              <w:rPr>
                <w:rFonts w:ascii="Aptos" w:hAnsi="Aptos" w:eastAsia="Aptos"/>
                <w:b/>
                <w:color w:val="FFFFFF"/>
                <w:sz w:val="17"/>
              </w:rPr>
              <w:t>Item</w:t>
            </w:r>
          </w:p>
        </w:tc>
        <w:tc>
          <w:tcPr>
            <w:tcW w:type="dxa" w:w="7992"/>
            <w:shd w:fill="176B87"/>
            <w:tcMar>
              <w:top w:w="90" w:type="dxa"/>
              <w:start w:w="100" w:type="dxa"/>
              <w:bottom w:w="90" w:type="dxa"/>
              <w:end w:w="100" w:type="dxa"/>
            </w:tcMar>
            <w:vAlign w:val="center"/>
          </w:tcPr>
          <w:p>
            <w:pPr>
              <w:spacing w:after="0"/>
            </w:pPr>
            <w:r>
              <w:rPr>
                <w:rFonts w:ascii="Aptos" w:hAnsi="Aptos" w:eastAsia="Aptos"/>
                <w:b/>
                <w:color w:val="FFFFFF"/>
                <w:sz w:val="17"/>
              </w:rPr>
              <w:t>Actual value</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Swagger</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http://localhost:4007/api/docs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API health</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http://localhost:4007/api/health</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Backend</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activity-saas-backend · NestJS · API prefix /api · port 4007</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Frontend</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activity-saas-frontend · Vite dev server · port 3007 · proxy /api to 4007</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Database</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7"/>
              </w:rPr>
              <w:t>Environment-configured PostgreSQL accessed through Prisma; migrate status reported schema up to date with 24 migrations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Demo capture</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7"/>
              </w:rPr>
              <w:t>Swagger responses captured 12 September 2026 UTC; client handoff prepared 13 September 2026 IST</w:t>
            </w:r>
          </w:p>
        </w:tc>
      </w:tr>
    </w:tbl>
    <w:p>
      <w:pPr>
        <w:spacing w:after="20"/>
      </w:pPr>
    </w:p>
    <w:p>
      <w:pPr>
        <w:pStyle w:val="Heading2"/>
        <w:keepNext/>
        <w:spacing w:before="180" w:after="100"/>
      </w:pPr>
      <w:r>
        <w:rPr>
          <w:rFonts w:ascii="Aptos" w:hAnsi="Aptos" w:eastAsia="Aptos"/>
          <w:b/>
          <w:color w:val="000000"/>
          <w:sz w:val="25"/>
        </w:rPr>
        <w:t>Start Commands</w:t>
      </w:r>
    </w:p>
    <w:tbl>
      <w:tblPr>
        <w:tblW w:type="auto" w:w="0"/>
        <w:jc w:val="center"/>
        <w:tblLayout w:type="fixed"/>
        <w:tblLook w:firstColumn="1" w:firstRow="1" w:lastColumn="0" w:lastRow="0" w:noHBand="0" w:noVBand="1" w:val="04A0"/>
      </w:tblPr>
      <w:tblGrid>
        <w:gridCol w:w="10080"/>
      </w:tblGrid>
      <w:tr>
        <w:tc>
          <w:tcPr>
            <w:tcW w:type="dxa" w:w="9951"/>
            <w:shd w:fill="101827"/>
            <w:tcBorders>
              <w:top w:val="single" w:sz="4" w:color="101827"/>
              <w:left w:val="single" w:sz="4" w:color="101827"/>
              <w:bottom w:val="single" w:sz="4" w:color="101827"/>
              <w:right w:val="single" w:sz="4" w:color="101827"/>
              <w:insideH w:val="single" w:sz="4" w:color="101827"/>
              <w:insideV w:val="single" w:sz="4" w:color="101827"/>
            </w:tcBorders>
            <w:tcMar>
              <w:top w:w="120" w:type="dxa"/>
              <w:start w:w="150" w:type="dxa"/>
              <w:bottom w:w="120" w:type="dxa"/>
              <w:end w:w="150" w:type="dxa"/>
            </w:tcMar>
          </w:tcPr>
          <w:p>
            <w:pPr>
              <w:spacing w:after="0" w:line="240" w:lineRule="auto"/>
            </w:pPr>
            <w:r>
              <w:rPr>
                <w:rFonts w:ascii="Consolas" w:hAnsi="Consolas" w:eastAsia="Consolas"/>
                <w:b w:val="0"/>
                <w:color w:val="D8F2EF"/>
                <w:sz w:val="16"/>
              </w:rPr>
              <w:t># terminal 1</w:t>
              <w:br/>
              <w:t>cd activity-saas-backend</w:t>
              <w:br/>
              <w:t>npm install                 # first run only</w:t>
              <w:br/>
              <w:t>npm run prisma:generate</w:t>
              <w:br/>
              <w:t>npm run start:dev            # http://localhost:4007</w:t>
              <w:br/>
              <w:br/>
              <w:t># terminal 2</w:t>
              <w:br/>
              <w:t>cd activity-saas-frontend</w:t>
              <w:br/>
              <w:t>npm install                 # first run only</w:t>
              <w:br/>
              <w:t>npm run dev                  # http://localhost:3007</w:t>
            </w:r>
          </w:p>
        </w:tc>
      </w:tr>
    </w:tbl>
    <w:p>
      <w:pPr>
        <w:spacing w:after="20"/>
      </w:pPr>
    </w:p>
    <w:p>
      <w:pPr>
        <w:spacing w:before="0" w:after="120" w:line="259" w:lineRule="auto"/>
      </w:pPr>
      <w:r>
        <w:rPr>
          <w:rFonts w:ascii="Aptos" w:hAnsi="Aptos" w:eastAsia="Aptos"/>
          <w:b w:val="0"/>
          <w:color w:val="5B667A"/>
          <w:sz w:val="18"/>
        </w:rPr>
        <w:t>Docker is not required for this rehearsal because the backend environment is already configured for PostgreSQL. Do not copy or publish the repository .env file.</w:t>
      </w:r>
    </w:p>
    <w:p>
      <w:pPr>
        <w:pStyle w:val="Heading2"/>
        <w:keepNext/>
        <w:spacing w:before="180" w:after="100"/>
      </w:pPr>
      <w:r>
        <w:rPr>
          <w:rFonts w:ascii="Aptos" w:hAnsi="Aptos" w:eastAsia="Aptos"/>
          <w:b/>
          <w:color w:val="000000"/>
          <w:sz w:val="25"/>
        </w:rPr>
        <w:t>Demo Users and Safety</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1584"/>
            <w:shd w:fill="176B87"/>
            <w:tcMar>
              <w:top w:w="90" w:type="dxa"/>
              <w:start w:w="100" w:type="dxa"/>
              <w:bottom w:w="90" w:type="dxa"/>
              <w:end w:w="100" w:type="dxa"/>
            </w:tcMar>
            <w:vAlign w:val="center"/>
          </w:tcPr>
          <w:p>
            <w:pPr>
              <w:spacing w:after="0"/>
            </w:pPr>
            <w:r>
              <w:rPr>
                <w:rFonts w:ascii="Aptos" w:hAnsi="Aptos" w:eastAsia="Aptos"/>
                <w:b/>
                <w:color w:val="FFFFFF"/>
                <w:sz w:val="16"/>
              </w:rPr>
              <w:t>Role</w:t>
            </w:r>
          </w:p>
        </w:tc>
        <w:tc>
          <w:tcPr>
            <w:tcW w:type="dxa" w:w="2376"/>
            <w:shd w:fill="176B87"/>
            <w:tcMar>
              <w:top w:w="90" w:type="dxa"/>
              <w:start w:w="100" w:type="dxa"/>
              <w:bottom w:w="90" w:type="dxa"/>
              <w:end w:w="100" w:type="dxa"/>
            </w:tcMar>
            <w:vAlign w:val="center"/>
          </w:tcPr>
          <w:p>
            <w:pPr>
              <w:spacing w:after="0"/>
            </w:pPr>
            <w:r>
              <w:rPr>
                <w:rFonts w:ascii="Aptos" w:hAnsi="Aptos" w:eastAsia="Aptos"/>
                <w:b/>
                <w:color w:val="FFFFFF"/>
                <w:sz w:val="16"/>
              </w:rPr>
              <w:t>Login email</w:t>
            </w:r>
          </w:p>
        </w:tc>
        <w:tc>
          <w:tcPr>
            <w:tcW w:type="dxa" w:w="2520"/>
            <w:shd w:fill="176B87"/>
            <w:tcMar>
              <w:top w:w="90" w:type="dxa"/>
              <w:start w:w="100" w:type="dxa"/>
              <w:bottom w:w="90" w:type="dxa"/>
              <w:end w:w="100" w:type="dxa"/>
            </w:tcMar>
            <w:vAlign w:val="center"/>
          </w:tcPr>
          <w:p>
            <w:pPr>
              <w:spacing w:after="0"/>
            </w:pPr>
            <w:r>
              <w:rPr>
                <w:rFonts w:ascii="Aptos" w:hAnsi="Aptos" w:eastAsia="Aptos"/>
                <w:b/>
                <w:color w:val="FFFFFF"/>
                <w:sz w:val="16"/>
              </w:rPr>
              <w:t>Tenant context</w:t>
            </w:r>
          </w:p>
        </w:tc>
        <w:tc>
          <w:tcPr>
            <w:tcW w:type="dxa" w:w="3456"/>
            <w:shd w:fill="176B87"/>
            <w:tcMar>
              <w:top w:w="90" w:type="dxa"/>
              <w:start w:w="100" w:type="dxa"/>
              <w:bottom w:w="90" w:type="dxa"/>
              <w:end w:w="100" w:type="dxa"/>
            </w:tcMar>
            <w:vAlign w:val="center"/>
          </w:tcPr>
          <w:p>
            <w:pPr>
              <w:spacing w:after="0"/>
            </w:pPr>
            <w:r>
              <w:rPr>
                <w:rFonts w:ascii="Aptos" w:hAnsi="Aptos" w:eastAsia="Aptos"/>
                <w:b/>
                <w:color w:val="FFFFFF"/>
                <w:sz w:val="16"/>
              </w:rPr>
              <w:t>Password handling</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Vendor owner</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vendor@voya.demo</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Blue Mountain Adventures</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Enter the configured local demo password; do not place it in client material</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6"/>
              </w:rPr>
              <w:t>Travel agent</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6"/>
              </w:rPr>
              <w:t>agent@voya.demo</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6"/>
              </w:rPr>
              <w:t>Demo Travel Agent</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6"/>
              </w:rPr>
              <w:t>Enter the configured local demo password; do not place it in client material</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Admin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admin@voya.demo</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Platform scope</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6"/>
              </w:rPr>
              <w:t>Use only for read-only inspection when needed; never share the password</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951"/>
            <w:shd w:fill="FFF2E5"/>
            <w:tcBorders>
              <w:top w:val="single" w:sz="8" w:color="B85C00"/>
              <w:left w:val="single" w:sz="8" w:color="B85C00"/>
              <w:bottom w:val="single" w:sz="8" w:color="B85C00"/>
              <w:right w:val="single" w:sz="8" w:color="B85C00"/>
              <w:insideH w:val="single" w:sz="8" w:color="B85C00"/>
              <w:insideV w:val="single" w:sz="8" w:color="B85C00"/>
            </w:tcBorders>
            <w:tcMar>
              <w:top w:w="150" w:type="dxa"/>
              <w:start w:w="180" w:type="dxa"/>
              <w:bottom w:w="150" w:type="dxa"/>
              <w:end w:w="180" w:type="dxa"/>
            </w:tcMar>
            <w:vAlign w:val="center"/>
          </w:tcPr>
          <w:p>
            <w:pPr>
              <w:spacing w:after="80"/>
            </w:pPr>
            <w:r>
              <w:rPr>
                <w:rFonts w:ascii="Aptos" w:hAnsi="Aptos" w:eastAsia="Aptos"/>
                <w:b/>
                <w:color w:val="B85C00"/>
                <w:sz w:val="21"/>
              </w:rPr>
              <w:t>DEMO DATA RULE</w:t>
            </w:r>
          </w:p>
          <w:p>
            <w:pPr>
              <w:spacing w:after="0"/>
            </w:pPr>
            <w:r>
              <w:rPr>
                <w:rFonts w:ascii="Aptos" w:hAnsi="Aptos" w:eastAsia="Aptos"/>
                <w:b w:val="0"/>
                <w:color w:val="000000"/>
                <w:sz w:val="19"/>
              </w:rPr>
              <w:t>Use the non-personal values Demo Customer and Demo Lead Traveller. Never expose JWTs, configured passwords, database URLs, connection hosts, real traveller data or payout details in screenshots or client notes.</w:t>
            </w:r>
          </w:p>
        </w:tc>
      </w:tr>
    </w:tbl>
    <w:p>
      <w:pPr>
        <w:spacing w:after="20"/>
      </w:pPr>
    </w:p>
    <w:p>
      <w:pPr>
        <w:pStyle w:val="Heading1"/>
        <w:keepNext/>
        <w:spacing w:before="280" w:after="100"/>
      </w:pPr>
      <w:r>
        <w:rPr>
          <w:rFonts w:ascii="Aptos" w:hAnsi="Aptos" w:eastAsia="Aptos"/>
          <w:b/>
          <w:color w:val="000000"/>
          <w:sz w:val="36"/>
        </w:rPr>
        <w:t>Selected Demo Data</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584"/>
            <w:shd w:fill="176B87"/>
            <w:tcMar>
              <w:top w:w="90" w:type="dxa"/>
              <w:start w:w="100" w:type="dxa"/>
              <w:bottom w:w="90" w:type="dxa"/>
              <w:end w:w="100" w:type="dxa"/>
            </w:tcMar>
            <w:vAlign w:val="center"/>
          </w:tcPr>
          <w:p>
            <w:pPr>
              <w:spacing w:after="0"/>
            </w:pPr>
            <w:r>
              <w:rPr>
                <w:rFonts w:ascii="Aptos" w:hAnsi="Aptos" w:eastAsia="Aptos"/>
                <w:b/>
                <w:color w:val="FFFFFF"/>
                <w:sz w:val="16"/>
              </w:rPr>
              <w:t>Layer</w:t>
            </w:r>
          </w:p>
        </w:tc>
        <w:tc>
          <w:tcPr>
            <w:tcW w:type="dxa" w:w="4320"/>
            <w:shd w:fill="176B87"/>
            <w:tcMar>
              <w:top w:w="90" w:type="dxa"/>
              <w:start w:w="100" w:type="dxa"/>
              <w:bottom w:w="90" w:type="dxa"/>
              <w:end w:w="100" w:type="dxa"/>
            </w:tcMar>
            <w:vAlign w:val="center"/>
          </w:tcPr>
          <w:p>
            <w:pPr>
              <w:spacing w:after="0"/>
            </w:pPr>
            <w:r>
              <w:rPr>
                <w:rFonts w:ascii="Aptos" w:hAnsi="Aptos" w:eastAsia="Aptos"/>
                <w:b/>
                <w:color w:val="FFFFFF"/>
                <w:sz w:val="16"/>
              </w:rPr>
              <w:t>Selected record</w:t>
            </w:r>
          </w:p>
        </w:tc>
        <w:tc>
          <w:tcPr>
            <w:tcW w:type="dxa" w:w="4032"/>
            <w:shd w:fill="176B87"/>
            <w:tcMar>
              <w:top w:w="90" w:type="dxa"/>
              <w:start w:w="100" w:type="dxa"/>
              <w:bottom w:w="90" w:type="dxa"/>
              <w:end w:w="100" w:type="dxa"/>
            </w:tcMar>
            <w:vAlign w:val="center"/>
          </w:tcPr>
          <w:p>
            <w:pPr>
              <w:spacing w:after="0"/>
            </w:pPr>
            <w:r>
              <w:rPr>
                <w:rFonts w:ascii="Aptos" w:hAnsi="Aptos" w:eastAsia="Aptos"/>
                <w:b/>
                <w:color w:val="FFFFFF"/>
                <w:sz w:val="16"/>
              </w:rPr>
              <w:t>Evidence value</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Product</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Sunrise Trek to Top Station · ACT-F7C5F1E9</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LIVE · published revision v1 · Munnar, Kerala</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Variant</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Shared Sunrise Trek with Breakfast</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SUNRISE_SHARED_0515 · Shared · 240 minutes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Rate plan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Standard B2B · RP-DEMO-001</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ACTIVE · INR · PER_PERSON · INSTANT</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Schedule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Sunrise shared operating schedule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MULTIPLE_SLOTS · Asia/Kolkata · 09:30 to 13:30 slot used</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Session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15 September 2026 · SEED-0930</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OPEN · capacity 12 before booking · required capacity 2</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Fulfilment</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AUTO</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No evidence required for this demo booking; voucher generation was observed</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Booking</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VY-8DC3C3CC7D12</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CONFIRMED · INSTANT · 2 adults · 2998 INR</w:t>
            </w:r>
          </w:p>
        </w:tc>
      </w:tr>
    </w:tbl>
    <w:p>
      <w:pPr>
        <w:spacing w:after="20"/>
      </w:pPr>
    </w:p>
    <w:p>
      <w:pPr>
        <w:pStyle w:val="Heading1"/>
        <w:keepNext/>
        <w:spacing w:before="280" w:after="100"/>
      </w:pPr>
      <w:r>
        <w:rPr>
          <w:rFonts w:ascii="Aptos" w:hAnsi="Aptos" w:eastAsia="Aptos"/>
          <w:b/>
          <w:color w:val="000000"/>
          <w:sz w:val="36"/>
        </w:rPr>
        <w:t>The Twenty Minute Rehearsal</w:t>
      </w:r>
    </w:p>
    <w:p>
      <w:pPr>
        <w:spacing w:before="0" w:after="120" w:line="259" w:lineRule="auto"/>
      </w:pPr>
      <w:r>
        <w:rPr>
          <w:rFonts w:ascii="Aptos" w:hAnsi="Aptos" w:eastAsia="Aptos"/>
          <w:b w:val="0"/>
          <w:color w:val="000000"/>
          <w:sz w:val="20"/>
        </w:rPr>
        <w:t>Keep the client on the visible application surfaces. Use Swagger only as the transparent API evidence layer when a response or decision needs to be shown. The database check is an engineering validation after the client-facing flow, not a client activity.</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1152"/>
            <w:shd w:fill="176B87"/>
            <w:tcMar>
              <w:top w:w="90" w:type="dxa"/>
              <w:start w:w="100" w:type="dxa"/>
              <w:bottom w:w="90" w:type="dxa"/>
              <w:end w:w="100" w:type="dxa"/>
            </w:tcMar>
            <w:vAlign w:val="center"/>
          </w:tcPr>
          <w:p>
            <w:pPr>
              <w:spacing w:after="0"/>
            </w:pPr>
            <w:r>
              <w:rPr>
                <w:rFonts w:ascii="Aptos" w:hAnsi="Aptos" w:eastAsia="Aptos"/>
                <w:b/>
                <w:color w:val="FFFFFF"/>
                <w:sz w:val="15"/>
              </w:rPr>
              <w:t>Time</w:t>
            </w:r>
          </w:p>
        </w:tc>
        <w:tc>
          <w:tcPr>
            <w:tcW w:type="dxa" w:w="2232"/>
            <w:shd w:fill="176B87"/>
            <w:tcMar>
              <w:top w:w="90" w:type="dxa"/>
              <w:start w:w="100" w:type="dxa"/>
              <w:bottom w:w="90" w:type="dxa"/>
              <w:end w:w="100" w:type="dxa"/>
            </w:tcMar>
            <w:vAlign w:val="center"/>
          </w:tcPr>
          <w:p>
            <w:pPr>
              <w:spacing w:after="0"/>
            </w:pPr>
            <w:r>
              <w:rPr>
                <w:rFonts w:ascii="Aptos" w:hAnsi="Aptos" w:eastAsia="Aptos"/>
                <w:b/>
                <w:color w:val="FFFFFF"/>
                <w:sz w:val="15"/>
              </w:rPr>
              <w:t>Action</w:t>
            </w:r>
          </w:p>
        </w:tc>
        <w:tc>
          <w:tcPr>
            <w:tcW w:type="dxa" w:w="3384"/>
            <w:shd w:fill="176B87"/>
            <w:tcMar>
              <w:top w:w="90" w:type="dxa"/>
              <w:start w:w="100" w:type="dxa"/>
              <w:bottom w:w="90" w:type="dxa"/>
              <w:end w:w="100" w:type="dxa"/>
            </w:tcMar>
            <w:vAlign w:val="center"/>
          </w:tcPr>
          <w:p>
            <w:pPr>
              <w:spacing w:after="0"/>
            </w:pPr>
            <w:r>
              <w:rPr>
                <w:rFonts w:ascii="Aptos" w:hAnsi="Aptos" w:eastAsia="Aptos"/>
                <w:b/>
                <w:color w:val="FFFFFF"/>
                <w:sz w:val="15"/>
              </w:rPr>
              <w:t>Route or screen</w:t>
            </w:r>
          </w:p>
        </w:tc>
        <w:tc>
          <w:tcPr>
            <w:tcW w:type="dxa" w:w="3168"/>
            <w:shd w:fill="176B87"/>
            <w:tcMar>
              <w:top w:w="90" w:type="dxa"/>
              <w:start w:w="100" w:type="dxa"/>
              <w:bottom w:w="90" w:type="dxa"/>
              <w:end w:w="100" w:type="dxa"/>
            </w:tcMar>
            <w:vAlign w:val="center"/>
          </w:tcPr>
          <w:p>
            <w:pPr>
              <w:spacing w:after="0"/>
            </w:pPr>
            <w:r>
              <w:rPr>
                <w:rFonts w:ascii="Aptos" w:hAnsi="Aptos" w:eastAsia="Aptos"/>
                <w:b/>
                <w:color w:val="FFFFFF"/>
                <w:sz w:val="15"/>
              </w:rPr>
              <w:t>Evidence to call out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0:00–1:00</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Opening and scope</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This handoff</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Milestone 1 slice; UAT and production gates remain separate</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1:00–2:00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Check service health</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GET /api/health</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status ok · service voya-api</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2:00–4:00</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Show vendor identity and catalogue</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Vendor portal · Products; GET /api/auth/me; GET /api/products</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VENDOR role; Product -&gt; Variant -&gt; Rate Plan hierarchy</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4:00–7:00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Open live product details</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Products -&gt; Sunrise Trek to Top Station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LIVE product, published revision, Munnar destination, fulfilment AUTO</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7:00–10:00</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Search eligible supply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Agent portal -&gt; Marketplace; POST /api/marketplace/search</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One eligible product; exact destination/date; instant confirmation; 2998 INR; capacity 12</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10:00–12:00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Preview before commit</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Agent Product View -&gt; Booking Wizard; POST /api/agent/bookings/preview</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13 eligibility gates PASS; price, policy and context fingerprints returned</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12:00–15:00</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Create booking</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Booking Wizard; POST /api/agent/bookings</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Fresh Idempotency-Key; status CONFIRMED; booking code VY-8DC3C3CC7D12</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15:00–16:30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Repeat same request</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Same POST with the same key</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Same booking returned; no second business booking</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16:30–18:00</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Verify booking detail</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Agent My bookings; GET /api/agent/bookings/{id}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Customer-safe projection; service date/timezone; snapshot and lifecycle timeline</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18:00–20:00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Close and discuss next gates</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Client discussion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SQL evidence, acceptance traceability, risks, UAT and roadmap</w:t>
            </w:r>
          </w:p>
        </w:tc>
      </w:tr>
    </w:tbl>
    <w:p>
      <w:pPr>
        <w:spacing w:after="20"/>
      </w:pPr>
    </w:p>
    <w:p>
      <w:pPr>
        <w:pStyle w:val="Heading2"/>
        <w:keepNext/>
        <w:spacing w:before="180" w:after="100"/>
      </w:pPr>
      <w:r>
        <w:rPr>
          <w:rFonts w:ascii="Aptos" w:hAnsi="Aptos" w:eastAsia="Aptos"/>
          <w:b/>
          <w:color w:val="000000"/>
          <w:sz w:val="25"/>
        </w:rPr>
        <w:t>Suggested Opening</w:t>
      </w:r>
    </w:p>
    <w:p>
      <w:pPr>
        <w:spacing w:before="0" w:after="120" w:line="259" w:lineRule="auto"/>
      </w:pPr>
      <w:r>
        <w:rPr>
          <w:rFonts w:ascii="Aptos" w:hAnsi="Aptos" w:eastAsia="Aptos"/>
          <w:b w:val="0"/>
          <w:color w:val="172033"/>
          <w:sz w:val="19"/>
        </w:rPr>
        <w:t>Today we are reviewing the working Milestone 1 slice in the existing VOYA project. We will trace one supply item from vendor catalogue through eligibility, quote preview and an instant booking. I will also separate what is observed in this rehearsal from what still needs UAT, security, performance and go-live validation.</w:t>
      </w:r>
    </w:p>
    <w:p>
      <w:pPr>
        <w:pStyle w:val="Heading2"/>
        <w:keepNext/>
        <w:spacing w:before="180" w:after="100"/>
      </w:pPr>
      <w:r>
        <w:rPr>
          <w:rFonts w:ascii="Aptos" w:hAnsi="Aptos" w:eastAsia="Aptos"/>
          <w:b/>
          <w:color w:val="000000"/>
          <w:sz w:val="25"/>
        </w:rPr>
        <w:t>Suggested Closing</w:t>
      </w:r>
    </w:p>
    <w:p>
      <w:pPr>
        <w:spacing w:before="0" w:after="120" w:line="259" w:lineRule="auto"/>
      </w:pPr>
      <w:r>
        <w:rPr>
          <w:rFonts w:ascii="Aptos" w:hAnsi="Aptos" w:eastAsia="Aptos"/>
          <w:b w:val="0"/>
          <w:color w:val="172033"/>
          <w:sz w:val="19"/>
        </w:rPr>
        <w:t>The core transaction path is working against the current environment: the agent received an eligible offer, the server revalidated the quote, the booking was confirmed once, and the same idempotency key returned the same booking. The next decision is not whether this path exists; it is which remaining UAT, operational and production gates the client wants to schedule next.</w:t>
      </w:r>
    </w:p>
    <w:p>
      <w:r>
        <w:br w:type="page"/>
      </w:r>
    </w:p>
    <w:p>
      <w:pPr>
        <w:pStyle w:val="Heading1"/>
        <w:keepNext/>
        <w:spacing w:before="280" w:after="100"/>
      </w:pPr>
      <w:r>
        <w:rPr>
          <w:rFonts w:ascii="Aptos" w:hAnsi="Aptos" w:eastAsia="Aptos"/>
          <w:b/>
          <w:color w:val="000000"/>
          <w:sz w:val="36"/>
        </w:rPr>
        <w:t>Live API Evidence</w:t>
      </w:r>
    </w:p>
    <w:p>
      <w:pPr>
        <w:spacing w:before="0" w:after="120" w:line="259" w:lineRule="auto"/>
      </w:pPr>
      <w:r>
        <w:rPr>
          <w:rFonts w:ascii="Aptos" w:hAnsi="Aptos" w:eastAsia="Aptos"/>
          <w:b w:val="0"/>
          <w:color w:val="000000"/>
          <w:sz w:val="20"/>
        </w:rPr>
        <w:t>The following evidence was executed through the live Swagger UI at http://localhost:4007/api/docs. Authentication headers and secrets are intentionally omitted from this artifact.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3528"/>
            <w:shd w:fill="176B87"/>
            <w:tcMar>
              <w:top w:w="90" w:type="dxa"/>
              <w:start w:w="100" w:type="dxa"/>
              <w:bottom w:w="90" w:type="dxa"/>
              <w:end w:w="100" w:type="dxa"/>
            </w:tcMar>
            <w:vAlign w:val="center"/>
          </w:tcPr>
          <w:p>
            <w:pPr>
              <w:spacing w:after="0"/>
            </w:pPr>
            <w:r>
              <w:rPr>
                <w:rFonts w:ascii="Aptos" w:hAnsi="Aptos" w:eastAsia="Aptos"/>
                <w:b/>
                <w:color w:val="FFFFFF"/>
                <w:sz w:val="16"/>
              </w:rPr>
              <w:t>Call</w:t>
            </w:r>
          </w:p>
        </w:tc>
        <w:tc>
          <w:tcPr>
            <w:tcW w:type="dxa" w:w="792"/>
            <w:shd w:fill="176B87"/>
            <w:tcMar>
              <w:top w:w="90" w:type="dxa"/>
              <w:start w:w="100" w:type="dxa"/>
              <w:bottom w:w="90" w:type="dxa"/>
              <w:end w:w="100" w:type="dxa"/>
            </w:tcMar>
            <w:vAlign w:val="center"/>
          </w:tcPr>
          <w:p>
            <w:pPr>
              <w:spacing w:after="0"/>
            </w:pPr>
            <w:r>
              <w:rPr>
                <w:rFonts w:ascii="Aptos" w:hAnsi="Aptos" w:eastAsia="Aptos"/>
                <w:b/>
                <w:color w:val="FFFFFF"/>
                <w:sz w:val="16"/>
              </w:rPr>
              <w:t>Result</w:t>
            </w:r>
          </w:p>
        </w:tc>
        <w:tc>
          <w:tcPr>
            <w:tcW w:type="dxa" w:w="5184"/>
            <w:shd w:fill="176B87"/>
            <w:tcMar>
              <w:top w:w="90" w:type="dxa"/>
              <w:start w:w="100" w:type="dxa"/>
              <w:bottom w:w="90" w:type="dxa"/>
              <w:end w:w="100" w:type="dxa"/>
            </w:tcMar>
            <w:vAlign w:val="center"/>
          </w:tcPr>
          <w:p>
            <w:pPr>
              <w:spacing w:after="0"/>
            </w:pPr>
            <w:r>
              <w:rPr>
                <w:rFonts w:ascii="Aptos" w:hAnsi="Aptos" w:eastAsia="Aptos"/>
                <w:b/>
                <w:color w:val="FFFFFF"/>
                <w:sz w:val="16"/>
              </w:rPr>
              <w:t>What it proves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POST /api/auth/login · vendor</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Configured vendor demo user authenticates</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GET /api/auth/me · vendor</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200</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VENDOR role and tenant context are present</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GET /api/health</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200</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voya-api reports status ok</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POST /api/auth/login · agent</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Configured travel agent demo user authenticates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GET /api/auth/me · agent</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200</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TRAVEL_AGENT role and tenant context are present</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POST /api/marketplace/search</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Only eligible supply is returned for Munnar, 15 September 2026, two adults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POST /api/agent/bookings/preview</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Eligibility, price, capacity and policy are re-evaluated before commit</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POST /api/agent/bookings</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One instant booking confirmed with a stable booking code</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Same POST with same Idempotency-Key</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201</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6"/>
              </w:rPr>
              <w:t>Same booking returned on retry; no duplicate business booking</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GET /api/agent/bookings/{id}</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200</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6"/>
              </w:rPr>
              <w:t>Customer-safe booking projection and timeline available</w:t>
            </w:r>
          </w:p>
        </w:tc>
      </w:tr>
    </w:tbl>
    <w:p>
      <w:pPr>
        <w:spacing w:after="20"/>
      </w:pPr>
    </w:p>
    <w:p>
      <w:pPr>
        <w:jc w:val="center"/>
      </w:pPr>
      <w:r>
        <w:drawing>
          <wp:inline xmlns:a="http://schemas.openxmlformats.org/drawingml/2006/main" xmlns:pic="http://schemas.openxmlformats.org/drawingml/2006/picture">
            <wp:extent cx="6355080" cy="10922794"/>
            <wp:docPr id="1" name="Picture 1"/>
            <wp:cNvGraphicFramePr>
              <a:graphicFrameLocks noChangeAspect="1"/>
            </wp:cNvGraphicFramePr>
            <a:graphic>
              <a:graphicData uri="http://schemas.openxmlformats.org/drawingml/2006/picture">
                <pic:pic>
                  <pic:nvPicPr>
                    <pic:cNvPr id="0" name="rehearsal-evidence.png"/>
                    <pic:cNvPicPr/>
                  </pic:nvPicPr>
                  <pic:blipFill>
                    <a:blip r:embed="rId10"/>
                    <a:stretch>
                      <a:fillRect/>
                    </a:stretch>
                  </pic:blipFill>
                  <pic:spPr>
                    <a:xfrm>
                      <a:off x="0" y="0"/>
                      <a:ext cx="6355080" cy="10922794"/>
                    </a:xfrm>
                    <a:prstGeom prst="rect"/>
                  </pic:spPr>
                </pic:pic>
              </a:graphicData>
            </a:graphic>
          </wp:inline>
        </w:drawing>
      </w:r>
    </w:p>
    <w:p>
      <w:pPr>
        <w:jc w:val="center"/>
      </w:pPr>
      <w:r>
        <w:t>Figure 1. Sanitized evidence capture from the live Swagger rehearsal. Secret headers and credentials are omitted.</w:t>
      </w:r>
      <w:r>
        <w:rPr>
          <w:rFonts w:ascii="Aptos" w:hAnsi="Aptos" w:eastAsia="Aptos"/>
          <w:b w:val="0"/>
          <w:color w:val="5B667A"/>
          <w:sz w:val="16"/>
        </w:rPr>
      </w:r>
    </w:p>
    <w:p>
      <w:pPr>
        <w:pStyle w:val="Heading2"/>
        <w:keepNext/>
        <w:spacing w:before="180" w:after="100"/>
      </w:pPr>
      <w:r>
        <w:rPr>
          <w:rFonts w:ascii="Aptos" w:hAnsi="Aptos" w:eastAsia="Aptos"/>
          <w:b/>
          <w:color w:val="000000"/>
          <w:sz w:val="25"/>
        </w:rPr>
        <w:t>Verified Request Bodies</w:t>
      </w:r>
    </w:p>
    <w:p>
      <w:pPr>
        <w:spacing w:before="0" w:after="120" w:line="259" w:lineRule="auto"/>
      </w:pPr>
      <w:r>
        <w:rPr>
          <w:rFonts w:ascii="Aptos" w:hAnsi="Aptos" w:eastAsia="Aptos"/>
          <w:b w:val="0"/>
          <w:color w:val="000000"/>
          <w:sz w:val="18"/>
        </w:rPr>
        <w:t>Use these client-safe templates. Replace the bracketed fingerprint values with the immediately preceding preview response and use a fresh key for a new booking attempt. Do not copy a JWT or configured password into the request notes.</w:t>
      </w:r>
    </w:p>
    <w:tbl>
      <w:tblPr>
        <w:tblW w:type="auto" w:w="0"/>
        <w:jc w:val="center"/>
        <w:tblLayout w:type="fixed"/>
        <w:tblLook w:firstColumn="1" w:firstRow="1" w:lastColumn="0" w:lastRow="0" w:noHBand="0" w:noVBand="1" w:val="04A0"/>
      </w:tblPr>
      <w:tblGrid>
        <w:gridCol w:w="10080"/>
      </w:tblGrid>
      <w:tr>
        <w:tc>
          <w:tcPr>
            <w:tcW w:type="dxa" w:w="9951"/>
            <w:shd w:fill="101827"/>
            <w:tcBorders>
              <w:top w:val="single" w:sz="4" w:color="101827"/>
              <w:left w:val="single" w:sz="4" w:color="101827"/>
              <w:bottom w:val="single" w:sz="4" w:color="101827"/>
              <w:right w:val="single" w:sz="4" w:color="101827"/>
              <w:insideH w:val="single" w:sz="4" w:color="101827"/>
              <w:insideV w:val="single" w:sz="4" w:color="101827"/>
            </w:tcBorders>
            <w:tcMar>
              <w:top w:w="120" w:type="dxa"/>
              <w:start w:w="150" w:type="dxa"/>
              <w:bottom w:w="120" w:type="dxa"/>
              <w:end w:w="150" w:type="dxa"/>
            </w:tcMar>
          </w:tcPr>
          <w:p>
            <w:pPr>
              <w:spacing w:after="0" w:line="240" w:lineRule="auto"/>
            </w:pPr>
            <w:r>
              <w:rPr>
                <w:rFonts w:ascii="Consolas" w:hAnsi="Consolas" w:eastAsia="Consolas"/>
                <w:b w:val="0"/>
                <w:color w:val="D8F2EF"/>
                <w:sz w:val="16"/>
              </w:rPr>
              <w:t>{</w:t>
              <w:br/>
              <w:t xml:space="preserve">  "ratePlanId": "4af2f547-10bc-48fa-ba42-1aed188d9683",</w:t>
              <w:br/>
              <w:t xml:space="preserve">  "sessionId": "3329fc2e-4219-4e71-b002-75a11930450c",</w:t>
              <w:br/>
              <w:t xml:space="preserve">  "travellers": [{"travellerType": "ADULT", "quantity": 2}],</w:t>
              <w:br/>
              <w:t xml:space="preserve">  "units": 1,</w:t>
              <w:br/>
              <w:t xml:space="preserve">  "travellerDetails": [{"travellerType": "ADULT", "quantity": 2, "fullName": "Demo Lead Traveller", "isLead": true}],</w:t>
              <w:br/>
              <w:t xml:space="preserve">  "bookingAnswers": {}</w:t>
              <w:br/>
              <w:t>}</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951"/>
            <w:shd w:fill="101827"/>
            <w:tcBorders>
              <w:top w:val="single" w:sz="4" w:color="101827"/>
              <w:left w:val="single" w:sz="4" w:color="101827"/>
              <w:bottom w:val="single" w:sz="4" w:color="101827"/>
              <w:right w:val="single" w:sz="4" w:color="101827"/>
              <w:insideH w:val="single" w:sz="4" w:color="101827"/>
              <w:insideV w:val="single" w:sz="4" w:color="101827"/>
            </w:tcBorders>
            <w:tcMar>
              <w:top w:w="120" w:type="dxa"/>
              <w:start w:w="150" w:type="dxa"/>
              <w:bottom w:w="120" w:type="dxa"/>
              <w:end w:w="150" w:type="dxa"/>
            </w:tcMar>
          </w:tcPr>
          <w:p>
            <w:pPr>
              <w:spacing w:after="0" w:line="240" w:lineRule="auto"/>
            </w:pPr>
            <w:r>
              <w:rPr>
                <w:rFonts w:ascii="Consolas" w:hAnsi="Consolas" w:eastAsia="Consolas"/>
                <w:b w:val="0"/>
                <w:color w:val="D8F2EF"/>
                <w:sz w:val="16"/>
              </w:rPr>
              <w:t>POST /api/agent/bookings</w:t>
              <w:br/>
              <w:t>Idempotency-Key: [fresh UUID or stable retry key]</w:t>
              <w:br/>
              <w:br/>
              <w:t>Add to the preview body:</w:t>
              <w:br/>
              <w:t>"expectedQuoteFingerprint": "[preview.quoteFingerprint]"</w:t>
              <w:br/>
              <w:t>"expectedCancellationPolicyFingerprint": "[preview.cancellationPolicyFingerprint]"</w:t>
              <w:br/>
              <w:t>"expectedContextFingerprint": "[preview.contextFingerprint]"</w:t>
              <w:br/>
              <w:t>"priceChangeAcknowledged": true</w:t>
              <w:br/>
              <w:t>"cancellationPolicyAcknowledged": true</w:t>
              <w:br/>
              <w:t>"customerName": "Demo Customer"</w:t>
              <w:br/>
              <w:t>"customerEmail": "demo.customer@example.com"</w:t>
            </w:r>
          </w:p>
        </w:tc>
      </w:tr>
    </w:tbl>
    <w:p>
      <w:pPr>
        <w:spacing w:after="20"/>
      </w:pPr>
    </w:p>
    <w:p>
      <w:pPr>
        <w:pStyle w:val="Heading1"/>
        <w:keepNext/>
        <w:spacing w:before="280" w:after="100"/>
      </w:pPr>
      <w:r>
        <w:rPr>
          <w:rFonts w:ascii="Aptos" w:hAnsi="Aptos" w:eastAsia="Aptos"/>
          <w:b/>
          <w:color w:val="000000"/>
          <w:sz w:val="36"/>
        </w:rPr>
        <w:t>Route and Code Traceability</w:t>
      </w:r>
    </w:p>
    <w:p>
      <w:pPr>
        <w:spacing w:before="0" w:after="120" w:line="259" w:lineRule="auto"/>
      </w:pPr>
      <w:r>
        <w:rPr>
          <w:rFonts w:ascii="Aptos" w:hAnsi="Aptos" w:eastAsia="Aptos"/>
          <w:b w:val="0"/>
          <w:color w:val="000000"/>
          <w:sz w:val="20"/>
        </w:rPr>
        <w:t>The demo uses the actual repository names below. These mappings are useful when a client question crosses from a screen into the service or schema.</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656"/>
            <w:shd w:fill="176B87"/>
            <w:tcMar>
              <w:top w:w="90" w:type="dxa"/>
              <w:start w:w="100" w:type="dxa"/>
              <w:bottom w:w="90" w:type="dxa"/>
              <w:end w:w="100" w:type="dxa"/>
            </w:tcMar>
            <w:vAlign w:val="center"/>
          </w:tcPr>
          <w:p>
            <w:pPr>
              <w:spacing w:after="0"/>
            </w:pPr>
            <w:r>
              <w:rPr>
                <w:rFonts w:ascii="Aptos" w:hAnsi="Aptos" w:eastAsia="Aptos"/>
                <w:b/>
                <w:color w:val="FFFFFF"/>
                <w:sz w:val="15"/>
              </w:rPr>
              <w:t>Capability</w:t>
            </w:r>
          </w:p>
        </w:tc>
        <w:tc>
          <w:tcPr>
            <w:tcW w:type="dxa" w:w="4392"/>
            <w:shd w:fill="176B87"/>
            <w:tcMar>
              <w:top w:w="90" w:type="dxa"/>
              <w:start w:w="100" w:type="dxa"/>
              <w:bottom w:w="90" w:type="dxa"/>
              <w:end w:w="100" w:type="dxa"/>
            </w:tcMar>
            <w:vAlign w:val="center"/>
          </w:tcPr>
          <w:p>
            <w:pPr>
              <w:spacing w:after="0"/>
            </w:pPr>
            <w:r>
              <w:rPr>
                <w:rFonts w:ascii="Aptos" w:hAnsi="Aptos" w:eastAsia="Aptos"/>
                <w:b/>
                <w:color w:val="FFFFFF"/>
                <w:sz w:val="15"/>
              </w:rPr>
              <w:t>API and service layer</w:t>
            </w:r>
          </w:p>
        </w:tc>
        <w:tc>
          <w:tcPr>
            <w:tcW w:type="dxa" w:w="3456"/>
            <w:shd w:fill="176B87"/>
            <w:tcMar>
              <w:top w:w="90" w:type="dxa"/>
              <w:start w:w="100" w:type="dxa"/>
              <w:bottom w:w="90" w:type="dxa"/>
              <w:end w:w="100" w:type="dxa"/>
            </w:tcMar>
            <w:vAlign w:val="center"/>
          </w:tcPr>
          <w:p>
            <w:pPr>
              <w:spacing w:after="0"/>
            </w:pPr>
            <w:r>
              <w:rPr>
                <w:rFonts w:ascii="Aptos" w:hAnsi="Aptos" w:eastAsia="Aptos"/>
                <w:b/>
                <w:color w:val="FFFFFF"/>
                <w:sz w:val="15"/>
              </w:rPr>
              <w:t>Persistence and frontend</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Identity and tenant</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AuthController -&gt; AuthService -&gt; JwtAuthGuard</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User, Tenant · App.tsx login flow · src/api.ts</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Product and revision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CatalogueController -&gt; CatalogueService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Product, ProductRevision · Products.tsx · ProductBuilder.tsx</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Variant and rate plan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CatalogueController, RatePlansController</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ProductVariant, RatePlan, TravellerRule, CancellationRule · ProductBuilder.tsx · CommercialEditor.tsx</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Commercial</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CommercialController -&gt; CommercialService -&gt; CommercialCalculatorService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RatePlanCommercialVersion, TravellerPrice, CommercialRule, CommercialRuleVersion · CommercialEditor.tsx · AdminCommercial.tsx</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Schedule and session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SchedulesController -&gt; SchedulesService -&gt; SessionMaterializerService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ScheduleTemplate, ScheduleSlotTemplate, RatePlanSchedule, ServiceSession · Inventory.tsx</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Inventory</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InventoryController -&gt; InventoryService -&gt; InventoryReservationService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InventoryState, InventoryHold, InventoryAllocation · Inventory.tsx</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Eligibility and search</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MarketplaceController -&gt; MarketplaceService -&gt; EligibilityService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Product/rate/session joins plus AgentProfile and resources · AgentMarketplace.tsx · AdminEligibility.tsx</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Booking</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AgentBookingsController -&gt; BookingsService -&gt; BookingSnapshotService -&gt; BookingProjectionService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Booking, BookingSnapshot, BookingEconomicsSnapshot, BookingTraveller, BookingEvent · BookingWizard.tsx · AgentBookings.tsx</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Fulfilment</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VendorFulfilmentController, AdminFulfilmentController, AgentVoucherController</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BookingFulfilment, FulfilmentEvidence, VoucherVersion, BookingRedemption · FulfilmentCentre.tsx · AdminFulfilment.tsx</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Audit and async work</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AuditService, OutboxService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AuditLog, OutboxEvent · operational evidence only in this demo</w:t>
            </w:r>
          </w:p>
        </w:tc>
      </w:tr>
    </w:tbl>
    <w:p>
      <w:pPr>
        <w:spacing w:after="20"/>
      </w:pPr>
    </w:p>
    <w:p>
      <w:pPr>
        <w:pStyle w:val="Heading1"/>
        <w:keepNext/>
        <w:spacing w:before="280" w:after="100"/>
      </w:pPr>
      <w:r>
        <w:rPr>
          <w:rFonts w:ascii="Aptos" w:hAnsi="Aptos" w:eastAsia="Aptos"/>
          <w:b/>
          <w:color w:val="000000"/>
          <w:sz w:val="36"/>
        </w:rPr>
        <w:t>BRD Traceability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088"/>
            <w:shd w:fill="176B87"/>
            <w:tcMar>
              <w:top w:w="90" w:type="dxa"/>
              <w:start w:w="100" w:type="dxa"/>
              <w:bottom w:w="90" w:type="dxa"/>
              <w:end w:w="100" w:type="dxa"/>
            </w:tcMar>
            <w:vAlign w:val="center"/>
          </w:tcPr>
          <w:p>
            <w:pPr>
              <w:spacing w:after="0"/>
            </w:pPr>
            <w:r>
              <w:rPr>
                <w:rFonts w:ascii="Aptos" w:hAnsi="Aptos" w:eastAsia="Aptos"/>
                <w:b/>
                <w:color w:val="FFFFFF"/>
                <w:sz w:val="15"/>
              </w:rPr>
              <w:t>BRD area</w:t>
            </w:r>
          </w:p>
        </w:tc>
        <w:tc>
          <w:tcPr>
            <w:tcW w:type="dxa" w:w="4968"/>
            <w:shd w:fill="176B87"/>
            <w:tcMar>
              <w:top w:w="90" w:type="dxa"/>
              <w:start w:w="100" w:type="dxa"/>
              <w:bottom w:w="90" w:type="dxa"/>
              <w:end w:w="100" w:type="dxa"/>
            </w:tcMar>
            <w:vAlign w:val="center"/>
          </w:tcPr>
          <w:p>
            <w:pPr>
              <w:spacing w:after="0"/>
            </w:pPr>
            <w:r>
              <w:rPr>
                <w:rFonts w:ascii="Aptos" w:hAnsi="Aptos" w:eastAsia="Aptos"/>
                <w:b/>
                <w:color w:val="FFFFFF"/>
                <w:sz w:val="15"/>
              </w:rPr>
              <w:t>Implemented repository evidence</w:t>
            </w:r>
          </w:p>
        </w:tc>
        <w:tc>
          <w:tcPr>
            <w:tcW w:type="dxa" w:w="2448"/>
            <w:shd w:fill="176B87"/>
            <w:tcMar>
              <w:top w:w="90" w:type="dxa"/>
              <w:start w:w="100" w:type="dxa"/>
              <w:bottom w:w="90" w:type="dxa"/>
              <w:end w:w="100" w:type="dxa"/>
            </w:tcMar>
            <w:vAlign w:val="center"/>
          </w:tcPr>
          <w:p>
            <w:pPr>
              <w:spacing w:after="0"/>
            </w:pPr>
            <w:r>
              <w:rPr>
                <w:rFonts w:ascii="Aptos" w:hAnsi="Aptos" w:eastAsia="Aptos"/>
                <w:b/>
                <w:color w:val="FFFFFF"/>
                <w:sz w:val="15"/>
              </w:rPr>
              <w:t>Live rehearsal status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Shared Marketplace Core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MarketplaceController, MarketplaceService, eligibility gates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Observed via eligible search and preview</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Product hierarchy</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Product -&gt; ProductRevision -&gt; ProductVariant -&gt; RatePlan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Observed in seeded product and vendor route</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Commercial engine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CommercialCalculatorService and versioned commercial models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Observed as NET_RATE, zero Voya revenue, agent-facing 2998 INR</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Schedules and sessions</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MULTIPLE_SLOTS schedule, Asia/Kolkata sessions, cutoff</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Observed in search and preview</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Inventory holds and allocations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InventoryReservationService plus InventoryState/Hold/Allocation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Confirmed allocation observed; on-request hold path not run</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Booking snapshots</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BookingSnapshotService and BookingEconomicsSnapshot</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Observed in database and booking projection</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Tenant isolation and RBAC</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JwtAuthGuard, RolesGuard, PermissionsGuard and tenant predicates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Positive role identity observed; formal negative tests still required</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Fulfilment and vouchers</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AUTO policy, VoucherGenerationService, fulfilment projections</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Auto voucher generation event observed; failure retry not run</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Audit and notifications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AuditService and OutboxService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Audit and outbox evidence observed; delivery reliability needs UAT</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Settlement and distribution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Finance and payout modules; channel IDs in schema</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Not part of this client demo; do not imply production readiness</w:t>
            </w:r>
          </w:p>
        </w:tc>
      </w:tr>
    </w:tbl>
    <w:p>
      <w:pPr>
        <w:spacing w:after="20"/>
      </w:pPr>
    </w:p>
    <w:p>
      <w:r>
        <w:br w:type="page"/>
      </w:r>
    </w:p>
    <w:p>
      <w:pPr>
        <w:pStyle w:val="Heading1"/>
        <w:keepNext/>
        <w:spacing w:before="280" w:after="100"/>
      </w:pPr>
      <w:r>
        <w:rPr>
          <w:rFonts w:ascii="Aptos" w:hAnsi="Aptos" w:eastAsia="Aptos"/>
          <w:b/>
          <w:color w:val="000000"/>
          <w:sz w:val="36"/>
        </w:rPr>
        <w:t>Acceptance Matrix</w:t>
      </w:r>
    </w:p>
    <w:p>
      <w:pPr>
        <w:spacing w:before="0" w:after="120" w:line="259" w:lineRule="auto"/>
      </w:pPr>
      <w:r>
        <w:rPr>
          <w:rFonts w:ascii="Aptos" w:hAnsi="Aptos" w:eastAsia="Aptos"/>
          <w:b w:val="0"/>
          <w:color w:val="000000"/>
          <w:sz w:val="20"/>
        </w:rPr>
        <w:t>Status labels are deliberately conservative: Observed means the behavior was exercised live in this rehearsal; Implemented not run means code and routes exist but the specific acceptance path was not exercised; UAT required means the behavior needs a formal scenario, evidence owner and pass/fail record.</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792"/>
            <w:shd w:fill="176B87"/>
            <w:tcMar>
              <w:top w:w="90" w:type="dxa"/>
              <w:start w:w="100" w:type="dxa"/>
              <w:bottom w:w="90" w:type="dxa"/>
              <w:end w:w="100" w:type="dxa"/>
            </w:tcMar>
            <w:vAlign w:val="center"/>
          </w:tcPr>
          <w:p>
            <w:pPr>
              <w:spacing w:after="0"/>
            </w:pPr>
            <w:r>
              <w:rPr>
                <w:rFonts w:ascii="Aptos" w:hAnsi="Aptos" w:eastAsia="Aptos"/>
                <w:b/>
                <w:color w:val="FFFFFF"/>
                <w:sz w:val="14"/>
              </w:rPr>
              <w:t>ID</w:t>
            </w:r>
          </w:p>
        </w:tc>
        <w:tc>
          <w:tcPr>
            <w:tcW w:type="dxa" w:w="4680"/>
            <w:shd w:fill="176B87"/>
            <w:tcMar>
              <w:top w:w="90" w:type="dxa"/>
              <w:start w:w="100" w:type="dxa"/>
              <w:bottom w:w="90" w:type="dxa"/>
              <w:end w:w="100" w:type="dxa"/>
            </w:tcMar>
            <w:vAlign w:val="center"/>
          </w:tcPr>
          <w:p>
            <w:pPr>
              <w:spacing w:after="0"/>
            </w:pPr>
            <w:r>
              <w:rPr>
                <w:rFonts w:ascii="Aptos" w:hAnsi="Aptos" w:eastAsia="Aptos"/>
                <w:b/>
                <w:color w:val="FFFFFF"/>
                <w:sz w:val="14"/>
              </w:rPr>
              <w:t>Acceptance criterion</w:t>
            </w:r>
          </w:p>
        </w:tc>
        <w:tc>
          <w:tcPr>
            <w:tcW w:type="dxa" w:w="1440"/>
            <w:shd w:fill="176B87"/>
            <w:tcMar>
              <w:top w:w="90" w:type="dxa"/>
              <w:start w:w="100" w:type="dxa"/>
              <w:bottom w:w="90" w:type="dxa"/>
              <w:end w:w="100" w:type="dxa"/>
            </w:tcMar>
            <w:vAlign w:val="center"/>
          </w:tcPr>
          <w:p>
            <w:pPr>
              <w:spacing w:after="0"/>
            </w:pPr>
            <w:r>
              <w:rPr>
                <w:rFonts w:ascii="Aptos" w:hAnsi="Aptos" w:eastAsia="Aptos"/>
                <w:b/>
                <w:color w:val="FFFFFF"/>
                <w:sz w:val="14"/>
              </w:rPr>
              <w:t>Status</w:t>
            </w:r>
          </w:p>
        </w:tc>
        <w:tc>
          <w:tcPr>
            <w:tcW w:type="dxa" w:w="3024"/>
            <w:shd w:fill="176B87"/>
            <w:tcMar>
              <w:top w:w="90" w:type="dxa"/>
              <w:start w:w="100" w:type="dxa"/>
              <w:bottom w:w="90" w:type="dxa"/>
              <w:end w:w="100" w:type="dxa"/>
            </w:tcMar>
            <w:vAlign w:val="center"/>
          </w:tcPr>
          <w:p>
            <w:pPr>
              <w:spacing w:after="0"/>
            </w:pPr>
            <w:r>
              <w:rPr>
                <w:rFonts w:ascii="Aptos" w:hAnsi="Aptos" w:eastAsia="Aptos"/>
                <w:b/>
                <w:color w:val="FFFFFF"/>
                <w:sz w:val="14"/>
              </w:rPr>
              <w:t>Evidence or next test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AC-01</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Product can exist without a rate but is not bookable without eligible rate and inventory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Product list plus eligible search</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AC-02</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 Product supports multiple Variants and a Variant supports multiple Rate Plans</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Seeded product detail and hierarchy</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AC-03</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Commercial rules are deterministic</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Preview returns stable commercial version and 2998 INR</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AC-04</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Final booking revalidates price, policy, eligibility and inventory</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Preview fingerprints accepted by create</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AC-05</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Same idempotency key does not create a duplicate</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Retry returned VY-8DC3C3CC7D12</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AC-06</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On-request bookings hold and release capacity</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Run dedicated vendor-confirmation UAT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AC-07</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Historical economics and policy survive later edits</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Snapshot rows contain frozen version and policy fingerprint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AC-08</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Suspension blocks new supply but preserves history</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Requires admin suspension UAT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AC-09</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Material edits create a draft revision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Requires revision safety UAT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AC-10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Private documents are authorized and not public</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Requires storage and cross-tenant UAT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AC-11</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Privileged overrides carry actor, time, action and reason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Requires admin override UAT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AC-12</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Control views do not reveal unauthorized data</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Requires negative role and tenant tests</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AC-13</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Failed notifications or voucher work can retry without duplicate business transaction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Partial</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Outbox and voucher event observed; failure injection not run</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AC-14</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Eligibility inspector explains a failed gate in human-readable terms</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Preview returned named PASS gates; failed-case UAT remains</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AC-15</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Archive preserves history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Implemented 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Requires archive/deactivate UAT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AC-16</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Settlement is additive and reconcilable</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Not in demo</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4"/>
              </w:rPr>
              <w:t>Finance UAT and financial decision log required</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AC-17</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Stable IDs and versions support future channels</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4"/>
              </w:rPr>
              <w:t>IDs, versioned revision, schedule and commercial records</w:t>
            </w:r>
          </w:p>
        </w:tc>
      </w:tr>
    </w:tbl>
    <w:p>
      <w:pPr>
        <w:spacing w:after="20"/>
      </w:pPr>
    </w:p>
    <w:p>
      <w:pPr>
        <w:pStyle w:val="Heading1"/>
        <w:keepNext/>
        <w:spacing w:before="280" w:after="100"/>
      </w:pPr>
      <w:r>
        <w:rPr>
          <w:rFonts w:ascii="Aptos" w:hAnsi="Aptos" w:eastAsia="Aptos"/>
          <w:b/>
          <w:color w:val="000000"/>
          <w:sz w:val="36"/>
        </w:rPr>
        <w:t>UAT Matrix</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864"/>
            <w:shd w:fill="176B87"/>
            <w:tcMar>
              <w:top w:w="90" w:type="dxa"/>
              <w:start w:w="100" w:type="dxa"/>
              <w:bottom w:w="90" w:type="dxa"/>
              <w:end w:w="100" w:type="dxa"/>
            </w:tcMar>
            <w:vAlign w:val="center"/>
          </w:tcPr>
          <w:p>
            <w:pPr>
              <w:spacing w:after="0"/>
            </w:pPr>
            <w:r>
              <w:rPr>
                <w:rFonts w:ascii="Aptos" w:hAnsi="Aptos" w:eastAsia="Aptos"/>
                <w:b/>
                <w:color w:val="FFFFFF"/>
                <w:sz w:val="15"/>
              </w:rPr>
              <w:t>ID</w:t>
            </w:r>
          </w:p>
        </w:tc>
        <w:tc>
          <w:tcPr>
            <w:tcW w:type="dxa" w:w="2664"/>
            <w:shd w:fill="176B87"/>
            <w:tcMar>
              <w:top w:w="90" w:type="dxa"/>
              <w:start w:w="100" w:type="dxa"/>
              <w:bottom w:w="90" w:type="dxa"/>
              <w:end w:w="100" w:type="dxa"/>
            </w:tcMar>
            <w:vAlign w:val="center"/>
          </w:tcPr>
          <w:p>
            <w:pPr>
              <w:spacing w:after="0"/>
            </w:pPr>
            <w:r>
              <w:rPr>
                <w:rFonts w:ascii="Aptos" w:hAnsi="Aptos" w:eastAsia="Aptos"/>
                <w:b/>
                <w:color w:val="FFFFFF"/>
                <w:sz w:val="15"/>
              </w:rPr>
              <w:t>Scenario</w:t>
            </w:r>
          </w:p>
        </w:tc>
        <w:tc>
          <w:tcPr>
            <w:tcW w:type="dxa" w:w="1296"/>
            <w:shd w:fill="176B87"/>
            <w:tcMar>
              <w:top w:w="90" w:type="dxa"/>
              <w:start w:w="100" w:type="dxa"/>
              <w:bottom w:w="90" w:type="dxa"/>
              <w:end w:w="100" w:type="dxa"/>
            </w:tcMar>
            <w:vAlign w:val="center"/>
          </w:tcPr>
          <w:p>
            <w:pPr>
              <w:spacing w:after="0"/>
            </w:pPr>
            <w:r>
              <w:rPr>
                <w:rFonts w:ascii="Aptos" w:hAnsi="Aptos" w:eastAsia="Aptos"/>
                <w:b/>
                <w:color w:val="FFFFFF"/>
                <w:sz w:val="15"/>
              </w:rPr>
              <w:t>Status</w:t>
            </w:r>
          </w:p>
        </w:tc>
        <w:tc>
          <w:tcPr>
            <w:tcW w:type="dxa" w:w="5112"/>
            <w:shd w:fill="176B87"/>
            <w:tcMar>
              <w:top w:w="90" w:type="dxa"/>
              <w:start w:w="100" w:type="dxa"/>
              <w:bottom w:w="90" w:type="dxa"/>
              <w:end w:w="100" w:type="dxa"/>
            </w:tcMar>
            <w:vAlign w:val="center"/>
          </w:tcPr>
          <w:p>
            <w:pPr>
              <w:spacing w:after="0"/>
            </w:pPr>
            <w:r>
              <w:rPr>
                <w:rFonts w:ascii="Aptos" w:hAnsi="Aptos" w:eastAsia="Aptos"/>
                <w:b/>
                <w:color w:val="FFFFFF"/>
                <w:sz w:val="15"/>
              </w:rPr>
              <w:t>Next evidence</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UAT-01</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Vendor onboarding</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Vendor verification, documents, readiness</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UAT-02</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Product creation and publish</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Create, review, publish and marketplace visibility</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UAT-03</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Revision safety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Edit published product; live revision remains unchanged</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UAT-04</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Commercial calculation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Preview and economics snapshot</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UAT-05</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Agent search</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Observed</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Munnar/date/two adults returned one eligible product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UAT-06</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Instant booking</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CONFIRMED booking and allocation</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UAT-07</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On-request booking</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Pending state, hold, vendor decision</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UAT-08</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Vendor rejection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Reject reason and atomic hold release</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UAT-09</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SLA expiry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Expiry worker and expiry event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UAT-10</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Concurrency</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Competing quantities against same session</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UAT-11</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Cancellation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Whole-booking cancellation and policy snapshot</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UAT-12</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Late cancellation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Charge basis, refund and exception</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UAT-13</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Suspension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New search blocked; existing booking preserved</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UAT-14</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Voucher failure</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Partial</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AUTO generation event observed; retry/failure injection remains</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UAT-15</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Tenant security</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Partial</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Positive tenant context observed; guessed-ID negative tests required</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UAT-16</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Commercial change after booking</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Observed</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Snapshot captured; mutate-after-booking test remains</w:t>
            </w:r>
          </w:p>
        </w:tc>
      </w:tr>
      <w:tr>
        <w:trPr>
          <w:cantSplit/>
        </w:trPr>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UAT-17</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Eligibility inspector</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Partial</w:t>
            </w:r>
          </w:p>
        </w:tc>
        <w:tc>
          <w:tcPr>
            <w:tcW w:type="dxa" w:w="2488"/>
            <w:tcMar>
              <w:top w:w="75" w:type="dxa"/>
              <w:start w:w="100" w:type="dxa"/>
              <w:bottom w:w="75" w:type="dxa"/>
              <w:end w:w="100" w:type="dxa"/>
            </w:tcMar>
            <w:vAlign w:val="center"/>
            <w:shd w:fill="F7F9FC"/>
          </w:tcPr>
          <w:p>
            <w:pPr>
              <w:spacing w:after="0"/>
            </w:pPr>
            <w:r>
              <w:rPr>
                <w:rFonts w:ascii="Aptos" w:hAnsi="Aptos" w:eastAsia="Aptos"/>
                <w:b w:val="0"/>
                <w:color w:val="000000"/>
                <w:sz w:val="15"/>
              </w:rPr>
              <w:t>Preview gates observed; admin inspector screen not run</w:t>
            </w:r>
          </w:p>
        </w:tc>
      </w:tr>
      <w:tr>
        <w:trPr>
          <w:cantSplit/>
        </w:trPr>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UAT-18</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Settlement</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Not run</w:t>
            </w:r>
          </w:p>
        </w:tc>
        <w:tc>
          <w:tcPr>
            <w:tcW w:type="dxa" w:w="2488"/>
            <w:tcMar>
              <w:top w:w="75" w:type="dxa"/>
              <w:start w:w="100" w:type="dxa"/>
              <w:bottom w:w="75" w:type="dxa"/>
              <w:end w:w="100" w:type="dxa"/>
            </w:tcMar>
            <w:vAlign w:val="center"/>
          </w:tcPr>
          <w:p>
            <w:pPr>
              <w:spacing w:after="0"/>
            </w:pPr>
            <w:r>
              <w:rPr>
                <w:rFonts w:ascii="Aptos" w:hAnsi="Aptos" w:eastAsia="Aptos"/>
                <w:b w:val="0"/>
                <w:color w:val="000000"/>
                <w:sz w:val="15"/>
              </w:rPr>
              <w:t>Finance workflow, reconciliation and payout evidence</w:t>
            </w:r>
          </w:p>
        </w:tc>
      </w:tr>
    </w:tbl>
    <w:p>
      <w:pPr>
        <w:spacing w:after="20"/>
      </w:pPr>
    </w:p>
    <w:p>
      <w:pPr>
        <w:pStyle w:val="Heading1"/>
        <w:keepNext/>
        <w:spacing w:before="280" w:after="100"/>
      </w:pPr>
      <w:r>
        <w:rPr>
          <w:rFonts w:ascii="Aptos" w:hAnsi="Aptos" w:eastAsia="Aptos"/>
          <w:b/>
          <w:color w:val="000000"/>
          <w:sz w:val="36"/>
        </w:rPr>
        <w:t>Database Verification</w:t>
      </w:r>
    </w:p>
    <w:p>
      <w:pPr>
        <w:spacing w:before="0" w:after="120" w:line="259" w:lineRule="auto"/>
      </w:pPr>
      <w:r>
        <w:rPr>
          <w:rFonts w:ascii="Aptos" w:hAnsi="Aptos" w:eastAsia="Aptos"/>
          <w:b w:val="0"/>
          <w:color w:val="000000"/>
          <w:sz w:val="20"/>
        </w:rPr>
        <w:t>Read-only SQL was executed through the backend Prisma client against the environment-configured PostgreSQL database. The reproducible statements are in VOYA_Demo_SQL.sql. The queries use quoted Prisma table names and the exact booking id from this rehearsal.</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232"/>
            <w:shd w:fill="176B87"/>
            <w:tcMar>
              <w:top w:w="90" w:type="dxa"/>
              <w:start w:w="100" w:type="dxa"/>
              <w:bottom w:w="90" w:type="dxa"/>
              <w:end w:w="100" w:type="dxa"/>
            </w:tcMar>
            <w:vAlign w:val="center"/>
          </w:tcPr>
          <w:p>
            <w:pPr>
              <w:spacing w:after="0"/>
            </w:pPr>
            <w:r>
              <w:rPr>
                <w:rFonts w:ascii="Aptos" w:hAnsi="Aptos" w:eastAsia="Aptos"/>
                <w:b/>
                <w:color w:val="FFFFFF"/>
                <w:sz w:val="16"/>
              </w:rPr>
              <w:t>Check</w:t>
            </w:r>
          </w:p>
        </w:tc>
        <w:tc>
          <w:tcPr>
            <w:tcW w:type="dxa" w:w="7704"/>
            <w:shd w:fill="176B87"/>
            <w:tcMar>
              <w:top w:w="90" w:type="dxa"/>
              <w:start w:w="100" w:type="dxa"/>
              <w:bottom w:w="90" w:type="dxa"/>
              <w:end w:w="100" w:type="dxa"/>
            </w:tcMar>
            <w:vAlign w:val="center"/>
          </w:tcPr>
          <w:p>
            <w:pPr>
              <w:spacing w:after="0"/>
            </w:pPr>
            <w:r>
              <w:rPr>
                <w:rFonts w:ascii="Aptos" w:hAnsi="Aptos" w:eastAsia="Aptos"/>
                <w:b/>
                <w:color w:val="FFFFFF"/>
                <w:sz w:val="16"/>
              </w:rPr>
              <w:t>Observed result</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Booking</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One row · VY-8DC3C3CC7D12 · CONFIRMED · INSTANT · 15 September 2026 · 2998 INR · capacity 2</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Idempotency</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One canonical row for the rehearsed booking after the same-key retry</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Inventory</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Total 12 · blocked 0 · held 0 · confirmed 2 · version 34</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Operational snapshot</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Product revision v1, schedule, session, PERSON capacity, policy fingerprint present</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Economics snapshot</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NET_RATE · vendor payable 2998 · Voya revenue 0 · agent facing 2998 · tax NONE · promotion 0</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Lifecycle</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BOOKING_CREATED -&gt; CONFIRMED plus BOOKING_CONFIRMED; VOUCHER_GENERATED event observed</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Async and audit</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BOOKING_CREATED and BOOKING_CONFIRMED outbox events pending; BOOKING_CREATED audit record present</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951"/>
            <w:shd w:fill="101827"/>
            <w:tcBorders>
              <w:top w:val="single" w:sz="4" w:color="101827"/>
              <w:left w:val="single" w:sz="4" w:color="101827"/>
              <w:bottom w:val="single" w:sz="4" w:color="101827"/>
              <w:right w:val="single" w:sz="4" w:color="101827"/>
              <w:insideH w:val="single" w:sz="4" w:color="101827"/>
              <w:insideV w:val="single" w:sz="4" w:color="101827"/>
            </w:tcBorders>
            <w:tcMar>
              <w:top w:w="120" w:type="dxa"/>
              <w:start w:w="150" w:type="dxa"/>
              <w:bottom w:w="120" w:type="dxa"/>
              <w:end w:w="150" w:type="dxa"/>
            </w:tcMar>
          </w:tcPr>
          <w:p>
            <w:pPr>
              <w:spacing w:after="0" w:line="240" w:lineRule="auto"/>
            </w:pPr>
            <w:r>
              <w:rPr>
                <w:rFonts w:ascii="Consolas" w:hAnsi="Consolas" w:eastAsia="Consolas"/>
                <w:b w:val="0"/>
                <w:color w:val="D8F2EF"/>
                <w:sz w:val="16"/>
              </w:rPr>
              <w:t>-- Run the client-safe SQL file from a PostgreSQL-aware tool</w:t>
              <w:br/>
              <w:t>VOYA_Demo_SQL.sql</w:t>
              <w:br/>
              <w:br/>
              <w:t>-- The rehearsal booking id is intentionally explicit in each WHERE clause</w:t>
              <w:br/>
              <w:t>-- No database credentials are included in the file.</w:t>
            </w:r>
          </w:p>
        </w:tc>
      </w:tr>
    </w:tbl>
    <w:p>
      <w:pPr>
        <w:spacing w:after="20"/>
      </w:pPr>
    </w:p>
    <w:p>
      <w:pPr>
        <w:pStyle w:val="Heading1"/>
        <w:keepNext/>
        <w:spacing w:before="280" w:after="100"/>
      </w:pPr>
      <w:r>
        <w:rPr>
          <w:rFonts w:ascii="Aptos" w:hAnsi="Aptos" w:eastAsia="Aptos"/>
          <w:b/>
          <w:color w:val="000000"/>
          <w:sz w:val="36"/>
        </w:rPr>
        <w:t>What Not to Demonstrate</w:t>
      </w:r>
    </w:p>
    <w:p>
      <w:pPr>
        <w:pStyle w:val="ListBullet"/>
        <w:spacing w:after="40"/>
        <w:ind w:left="317" w:hanging="173"/>
      </w:pPr>
      <w:r>
        <w:rPr>
          <w:rFonts w:ascii="Aptos" w:hAnsi="Aptos" w:eastAsia="Aptos"/>
          <w:b w:val="0"/>
          <w:color w:val="000000"/>
          <w:sz w:val="19"/>
        </w:rPr>
        <w:t>Do not show passwords, JWTs, .env files, database URLs, connection hosts, private files, payout details or real traveller data.</w:t>
      </w:r>
    </w:p>
    <w:p>
      <w:pPr>
        <w:pStyle w:val="ListBullet"/>
        <w:spacing w:after="40"/>
        <w:ind w:left="317" w:hanging="173"/>
      </w:pPr>
      <w:r>
        <w:rPr>
          <w:rFonts w:ascii="Aptos" w:hAnsi="Aptos" w:eastAsia="Aptos"/>
          <w:b w:val="0"/>
          <w:color w:val="000000"/>
          <w:sz w:val="19"/>
        </w:rPr>
        <w:t>Do not create additional bookings just to fill time. The selected session now has confirmed capacity 2; preserve the captured run.</w:t>
      </w:r>
    </w:p>
    <w:p>
      <w:pPr>
        <w:pStyle w:val="ListBullet"/>
        <w:spacing w:after="40"/>
        <w:ind w:left="317" w:hanging="173"/>
      </w:pPr>
      <w:r>
        <w:rPr>
          <w:rFonts w:ascii="Aptos" w:hAnsi="Aptos" w:eastAsia="Aptos"/>
          <w:b w:val="0"/>
          <w:color w:val="000000"/>
          <w:sz w:val="19"/>
        </w:rPr>
        <w:t>Do not demonstrate cancellation, vendor rejection, expiry, suspension, capacity reduction, file upload or admin override live unless a separate approved UAT fixture is prepared.</w:t>
      </w:r>
    </w:p>
    <w:p>
      <w:pPr>
        <w:pStyle w:val="ListBullet"/>
        <w:spacing w:after="40"/>
        <w:ind w:left="317" w:hanging="173"/>
      </w:pPr>
      <w:r>
        <w:rPr>
          <w:rFonts w:ascii="Aptos" w:hAnsi="Aptos" w:eastAsia="Aptos"/>
          <w:b w:val="0"/>
          <w:color w:val="000000"/>
          <w:sz w:val="19"/>
        </w:rPr>
        <w:t>Do not use payment or external supplier integrations; this rehearsal is local and does not validate external network behavior.</w:t>
      </w:r>
    </w:p>
    <w:p>
      <w:pPr>
        <w:pStyle w:val="ListBullet"/>
        <w:spacing w:after="40"/>
        <w:ind w:left="317" w:hanging="173"/>
      </w:pPr>
      <w:r>
        <w:rPr>
          <w:rFonts w:ascii="Aptos" w:hAnsi="Aptos" w:eastAsia="Aptos"/>
          <w:b w:val="0"/>
          <w:color w:val="000000"/>
          <w:sz w:val="19"/>
        </w:rPr>
        <w:t>Do not infer production performance, disaster recovery, backup RPO/RTO, accessibility conformance or security certification from the demo.</w:t>
      </w:r>
    </w:p>
    <w:p>
      <w:pPr>
        <w:pStyle w:val="ListBullet"/>
        <w:spacing w:after="40"/>
        <w:ind w:left="317" w:hanging="173"/>
      </w:pPr>
      <w:r>
        <w:rPr>
          <w:rFonts w:ascii="Aptos" w:hAnsi="Aptos" w:eastAsia="Aptos"/>
          <w:b w:val="0"/>
          <w:color w:val="000000"/>
          <w:sz w:val="19"/>
        </w:rPr>
        <w:t>Do not present Payouts, Settlements, distribution channels or full admin controls as completed launch scope; they are visible code areas but not validated in this run.</w:t>
      </w:r>
    </w:p>
    <w:p>
      <w:pPr>
        <w:pStyle w:val="Heading1"/>
        <w:keepNext/>
        <w:spacing w:before="280" w:after="100"/>
      </w:pPr>
      <w:r>
        <w:rPr>
          <w:rFonts w:ascii="Aptos" w:hAnsi="Aptos" w:eastAsia="Aptos"/>
          <w:b/>
          <w:color w:val="000000"/>
          <w:sz w:val="36"/>
        </w:rPr>
        <w:t>Risks and Caveats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376"/>
            <w:shd w:fill="176B87"/>
            <w:tcMar>
              <w:top w:w="90" w:type="dxa"/>
              <w:start w:w="100" w:type="dxa"/>
              <w:bottom w:w="90" w:type="dxa"/>
              <w:end w:w="100" w:type="dxa"/>
            </w:tcMar>
            <w:vAlign w:val="center"/>
          </w:tcPr>
          <w:p>
            <w:pPr>
              <w:spacing w:after="0"/>
            </w:pPr>
            <w:r>
              <w:rPr>
                <w:rFonts w:ascii="Aptos" w:hAnsi="Aptos" w:eastAsia="Aptos"/>
                <w:b/>
                <w:color w:val="FFFFFF"/>
                <w:sz w:val="15"/>
              </w:rPr>
              <w:t>Risk</w:t>
            </w:r>
          </w:p>
        </w:tc>
        <w:tc>
          <w:tcPr>
            <w:tcW w:type="dxa" w:w="3384"/>
            <w:shd w:fill="176B87"/>
            <w:tcMar>
              <w:top w:w="90" w:type="dxa"/>
              <w:start w:w="100" w:type="dxa"/>
              <w:bottom w:w="90" w:type="dxa"/>
              <w:end w:w="100" w:type="dxa"/>
            </w:tcMar>
            <w:vAlign w:val="center"/>
          </w:tcPr>
          <w:p>
            <w:pPr>
              <w:spacing w:after="0"/>
            </w:pPr>
            <w:r>
              <w:rPr>
                <w:rFonts w:ascii="Aptos" w:hAnsi="Aptos" w:eastAsia="Aptos"/>
                <w:b/>
                <w:color w:val="FFFFFF"/>
                <w:sz w:val="15"/>
              </w:rPr>
              <w:t>Impact</w:t>
            </w:r>
          </w:p>
        </w:tc>
        <w:tc>
          <w:tcPr>
            <w:tcW w:type="dxa" w:w="4176"/>
            <w:shd w:fill="176B87"/>
            <w:tcMar>
              <w:top w:w="90" w:type="dxa"/>
              <w:start w:w="100" w:type="dxa"/>
              <w:bottom w:w="90" w:type="dxa"/>
              <w:end w:w="100" w:type="dxa"/>
            </w:tcMar>
            <w:vAlign w:val="center"/>
          </w:tcPr>
          <w:p>
            <w:pPr>
              <w:spacing w:after="0"/>
            </w:pPr>
            <w:r>
              <w:rPr>
                <w:rFonts w:ascii="Aptos" w:hAnsi="Aptos" w:eastAsia="Aptos"/>
                <w:b/>
                <w:color w:val="FFFFFF"/>
                <w:sz w:val="15"/>
              </w:rPr>
              <w:t>Mitigation or owner question</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Environment is configured through local .env</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A fresh machine may not have the same database or demo password</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Use the configured environment; document secrets outside the client artifact</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Root README has stale port/path guidance</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A new operator may try 4006 or /api/v1</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Use the actual code facts in this document: 4007, /api/docs, /api/health</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Swagger response interceptor remembers IDs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Manual path editing can be replaced by hydrated context</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Prefer the prepared flow and explicit IDs in the request templates</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External integrations are outside this run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Supplier, payment, email and settlement behavior remains unproven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Schedule integration contract tests and failure-mode UAT</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Performance targets are BRD requirements</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No load test was run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Run p95 search/list &lt;= 2 sec and final booking &lt;= 3 sec validation under representative load</w:t>
            </w:r>
          </w:p>
        </w:tc>
      </w:tr>
      <w:tr>
        <w:trPr>
          <w:cantSplit/>
        </w:trPr>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Formal negative security tests remain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Positive login does not prove tenant isolation</w:t>
            </w:r>
          </w:p>
        </w:tc>
        <w:tc>
          <w:tcPr>
            <w:tcW w:type="dxa" w:w="3317"/>
            <w:tcMar>
              <w:top w:w="75" w:type="dxa"/>
              <w:start w:w="100" w:type="dxa"/>
              <w:bottom w:w="75" w:type="dxa"/>
              <w:end w:w="100" w:type="dxa"/>
            </w:tcMar>
            <w:vAlign w:val="center"/>
          </w:tcPr>
          <w:p>
            <w:pPr>
              <w:spacing w:after="0"/>
            </w:pPr>
            <w:r>
              <w:rPr>
                <w:rFonts w:ascii="Aptos" w:hAnsi="Aptos" w:eastAsia="Aptos"/>
                <w:b w:val="0"/>
                <w:color w:val="000000"/>
                <w:sz w:val="15"/>
              </w:rPr>
              <w:t>Run guessed-ID, role boundary, private file and enumeration tests</w:t>
            </w:r>
          </w:p>
        </w:tc>
      </w:tr>
      <w:tr>
        <w:trPr>
          <w:cantSplit/>
        </w:trPr>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Money and tax open decisions remain</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Demo uses INR, NET_RATE, zero Voya revenue and tax NONE</w:t>
            </w:r>
          </w:p>
        </w:tc>
        <w:tc>
          <w:tcPr>
            <w:tcW w:type="dxa" w:w="3317"/>
            <w:tcMar>
              <w:top w:w="75" w:type="dxa"/>
              <w:start w:w="100" w:type="dxa"/>
              <w:bottom w:w="75" w:type="dxa"/>
              <w:end w:w="100" w:type="dxa"/>
            </w:tcMar>
            <w:vAlign w:val="center"/>
            <w:shd w:fill="F7F9FC"/>
          </w:tcPr>
          <w:p>
            <w:pPr>
              <w:spacing w:after="0"/>
            </w:pPr>
            <w:r>
              <w:rPr>
                <w:rFonts w:ascii="Aptos" w:hAnsi="Aptos" w:eastAsia="Aptos"/>
                <w:b w:val="0"/>
                <w:color w:val="000000"/>
                <w:sz w:val="15"/>
              </w:rPr>
              <w:t>Obtain decisions for OD-03 through OD-15 and OD-21 through OD-23</w:t>
            </w:r>
          </w:p>
        </w:tc>
      </w:tr>
    </w:tbl>
    <w:p>
      <w:pPr>
        <w:spacing w:after="20"/>
      </w:pPr>
    </w:p>
    <w:p>
      <w:pPr>
        <w:pStyle w:val="Heading1"/>
        <w:keepNext/>
        <w:spacing w:before="280" w:after="100"/>
      </w:pPr>
      <w:r>
        <w:rPr>
          <w:rFonts w:ascii="Aptos" w:hAnsi="Aptos" w:eastAsia="Aptos"/>
          <w:b/>
          <w:color w:val="000000"/>
          <w:sz w:val="36"/>
        </w:rPr>
        <w:t>Client Questions to Resolve</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6552"/>
            <w:shd w:fill="176B87"/>
            <w:tcMar>
              <w:top w:w="90" w:type="dxa"/>
              <w:start w:w="100" w:type="dxa"/>
              <w:bottom w:w="90" w:type="dxa"/>
              <w:end w:w="100" w:type="dxa"/>
            </w:tcMar>
            <w:vAlign w:val="center"/>
          </w:tcPr>
          <w:p>
            <w:pPr>
              <w:spacing w:after="0"/>
            </w:pPr>
            <w:r>
              <w:rPr>
                <w:rFonts w:ascii="Aptos" w:hAnsi="Aptos" w:eastAsia="Aptos"/>
                <w:b/>
                <w:color w:val="FFFFFF"/>
                <w:sz w:val="16"/>
              </w:rPr>
              <w:t>Question</w:t>
            </w:r>
          </w:p>
        </w:tc>
        <w:tc>
          <w:tcPr>
            <w:tcW w:type="dxa" w:w="3384"/>
            <w:shd w:fill="176B87"/>
            <w:tcMar>
              <w:top w:w="90" w:type="dxa"/>
              <w:start w:w="100" w:type="dxa"/>
              <w:bottom w:w="90" w:type="dxa"/>
              <w:end w:w="100" w:type="dxa"/>
            </w:tcMar>
            <w:vAlign w:val="center"/>
          </w:tcPr>
          <w:p>
            <w:pPr>
              <w:spacing w:after="0"/>
            </w:pPr>
            <w:r>
              <w:rPr>
                <w:rFonts w:ascii="Aptos" w:hAnsi="Aptos" w:eastAsia="Aptos"/>
                <w:b/>
                <w:color w:val="FFFFFF"/>
                <w:sz w:val="16"/>
              </w:rPr>
              <w:t>Why it matters</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Which agent onboarding and approval policy is required?</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Controls who can search and book marketplace supply</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Who collects payment and when?</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Determines booking state, failure paths and financial ownership</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Which supplier model, tax basis, pricing unit and capacity unit are launch defaults?</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Determines commercial formulas and capacity behavior</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What is the vendor confirmation SLA and pending hold duration?</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Determines on-request availability and expiry behavior</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What is the cancellation financial basis and who funds FOC?</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Determines policy snapshot, refund and settlement logic</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Which notification channels are required at launch?</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MVP currently separates transaction commit from async outbox work</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What is the settlement frequency and go-live reconciliation owner?</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Settlement is a separate operational control plane</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Is Customer View sufficient for launch, and what voucher branding is required?</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Controls agent-facing content and customer-safe outputs</w:t>
            </w:r>
          </w:p>
        </w:tc>
      </w:tr>
    </w:tbl>
    <w:p>
      <w:pPr>
        <w:spacing w:after="20"/>
      </w:pPr>
    </w:p>
    <w:p>
      <w:r>
        <w:br w:type="page"/>
      </w:r>
    </w:p>
    <w:p>
      <w:pPr>
        <w:pStyle w:val="Heading1"/>
        <w:keepNext/>
        <w:spacing w:before="280" w:after="100"/>
      </w:pPr>
      <w:r>
        <w:rPr>
          <w:rFonts w:ascii="Aptos" w:hAnsi="Aptos" w:eastAsia="Aptos"/>
          <w:b/>
          <w:color w:val="000000"/>
          <w:sz w:val="36"/>
        </w:rPr>
        <w:t>Roadmap and Next Milestones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76B87"/>
            <w:tcMar>
              <w:top w:w="90" w:type="dxa"/>
              <w:start w:w="100" w:type="dxa"/>
              <w:bottom w:w="90" w:type="dxa"/>
              <w:end w:w="100" w:type="dxa"/>
            </w:tcMar>
            <w:vAlign w:val="center"/>
          </w:tcPr>
          <w:p>
            <w:pPr>
              <w:spacing w:after="0"/>
            </w:pPr>
            <w:r>
              <w:rPr>
                <w:rFonts w:ascii="Aptos" w:hAnsi="Aptos" w:eastAsia="Aptos"/>
                <w:b/>
                <w:color w:val="FFFFFF"/>
                <w:sz w:val="16"/>
              </w:rPr>
              <w:t>Phase</w:t>
            </w:r>
          </w:p>
        </w:tc>
        <w:tc>
          <w:tcPr>
            <w:tcW w:type="dxa" w:w="7992"/>
            <w:shd w:fill="176B87"/>
            <w:tcMar>
              <w:top w:w="90" w:type="dxa"/>
              <w:start w:w="100" w:type="dxa"/>
              <w:bottom w:w="90" w:type="dxa"/>
              <w:end w:w="100" w:type="dxa"/>
            </w:tcMar>
            <w:vAlign w:val="center"/>
          </w:tcPr>
          <w:p>
            <w:pPr>
              <w:spacing w:after="0"/>
            </w:pPr>
            <w:r>
              <w:rPr>
                <w:rFonts w:ascii="Aptos" w:hAnsi="Aptos" w:eastAsia="Aptos"/>
                <w:b/>
                <w:color w:val="FFFFFF"/>
                <w:sz w:val="16"/>
              </w:rPr>
              <w:t>Scope</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P0 Core Launch</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Identity and RBAC; tenant isolation; vendor onboarding and compliance; Product, Variant and Rate Plan; schedules, availability and holds; commercial engine foundation; booking and snapshots; fulfilment and vouchers; audit and notifications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P1 Scale</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Supplier quality; resources if deferred; demand opportunities; explainable ranking; distribution contracts; automated settlement; supplier performance; channel rules</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P2 Operations</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Amendments and reschedule; partial traveller cancellation; advanced reporting; agent favourites; advanced voucher; manifest/check-in; agent commercial tooling; resource optimization</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P3 Expansion</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AI pricing; native mobile; direct B2C; AI recommendations; full OTA ecosystem; accounting integration; consumer mobile; waiting lists and seat maps</w:t>
            </w:r>
          </w:p>
        </w:tc>
      </w:tr>
    </w:tbl>
    <w:p>
      <w:pPr>
        <w:spacing w:after="20"/>
      </w:pPr>
    </w:p>
    <w:p>
      <w:pPr>
        <w:pStyle w:val="Heading2"/>
        <w:keepNext/>
        <w:spacing w:before="180" w:after="100"/>
      </w:pPr>
      <w:r>
        <w:rPr>
          <w:rFonts w:ascii="Aptos" w:hAnsi="Aptos" w:eastAsia="Aptos"/>
          <w:b/>
          <w:color w:val="000000"/>
          <w:sz w:val="25"/>
        </w:rPr>
        <w:t>Recommended Build Waves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936"/>
            <w:shd w:fill="176B87"/>
            <w:tcMar>
              <w:top w:w="90" w:type="dxa"/>
              <w:start w:w="100" w:type="dxa"/>
              <w:bottom w:w="90" w:type="dxa"/>
              <w:end w:w="100" w:type="dxa"/>
            </w:tcMar>
            <w:vAlign w:val="center"/>
          </w:tcPr>
          <w:p>
            <w:pPr>
              <w:spacing w:after="0"/>
            </w:pPr>
            <w:r>
              <w:rPr>
                <w:rFonts w:ascii="Aptos" w:hAnsi="Aptos" w:eastAsia="Aptos"/>
                <w:b/>
                <w:color w:val="FFFFFF"/>
                <w:sz w:val="16"/>
              </w:rPr>
              <w:t>Wave</w:t>
            </w:r>
          </w:p>
        </w:tc>
        <w:tc>
          <w:tcPr>
            <w:tcW w:type="dxa" w:w="9000"/>
            <w:shd w:fill="176B87"/>
            <w:tcMar>
              <w:top w:w="90" w:type="dxa"/>
              <w:start w:w="100" w:type="dxa"/>
              <w:bottom w:w="90" w:type="dxa"/>
              <w:end w:w="100" w:type="dxa"/>
            </w:tcMar>
            <w:vAlign w:val="center"/>
          </w:tcPr>
          <w:p>
            <w:pPr>
              <w:spacing w:after="0"/>
            </w:pPr>
            <w:r>
              <w:rPr>
                <w:rFonts w:ascii="Aptos" w:hAnsi="Aptos" w:eastAsia="Aptos"/>
                <w:b/>
                <w:color w:val="FFFFFF"/>
                <w:sz w:val="16"/>
              </w:rPr>
              <w:t>Focus</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1</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Foundation: identity, tenants, permissions, masters, product, variant, rate, revision and core APIs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2</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Commercial, scheduling, inventory, holds, search and eligibility</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3</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Booking, on-request, snapshots, cancellation, fulfilment and vouchers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4</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Vendor and Admin workflows</w:t>
            </w:r>
          </w:p>
        </w:tc>
      </w:tr>
      <w:tr>
        <w:trPr>
          <w:cantSplit/>
        </w:trPr>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5</w:t>
            </w:r>
          </w:p>
        </w:tc>
        <w:tc>
          <w:tcPr>
            <w:tcW w:type="dxa" w:w="4975"/>
            <w:tcMar>
              <w:top w:w="75" w:type="dxa"/>
              <w:start w:w="100" w:type="dxa"/>
              <w:bottom w:w="75" w:type="dxa"/>
              <w:end w:w="100" w:type="dxa"/>
            </w:tcMar>
            <w:vAlign w:val="center"/>
            <w:shd w:fill="F7F9FC"/>
          </w:tcPr>
          <w:p>
            <w:pPr>
              <w:spacing w:after="0"/>
            </w:pPr>
            <w:r>
              <w:rPr>
                <w:rFonts w:ascii="Aptos" w:hAnsi="Aptos" w:eastAsia="Aptos"/>
                <w:b w:val="0"/>
                <w:color w:val="000000"/>
                <w:sz w:val="16"/>
              </w:rPr>
              <w:t>Agent console, Customer View, reports, payout and settlement views</w:t>
            </w:r>
          </w:p>
        </w:tc>
      </w:tr>
      <w:tr>
        <w:trPr>
          <w:cantSplit/>
        </w:trPr>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6</w:t>
            </w:r>
          </w:p>
        </w:tc>
        <w:tc>
          <w:tcPr>
            <w:tcW w:type="dxa" w:w="4975"/>
            <w:tcMar>
              <w:top w:w="75" w:type="dxa"/>
              <w:start w:w="100" w:type="dxa"/>
              <w:bottom w:w="75" w:type="dxa"/>
              <w:end w:w="100" w:type="dxa"/>
            </w:tcMar>
            <w:vAlign w:val="center"/>
          </w:tcPr>
          <w:p>
            <w:pPr>
              <w:spacing w:after="0"/>
            </w:pPr>
            <w:r>
              <w:rPr>
                <w:rFonts w:ascii="Aptos" w:hAnsi="Aptos" w:eastAsia="Aptos"/>
                <w:b w:val="0"/>
                <w:color w:val="000000"/>
                <w:sz w:val="16"/>
              </w:rPr>
              <w:t>Scale: resources, quality, demand, distribution and performance</w:t>
            </w:r>
          </w:p>
        </w:tc>
      </w:tr>
    </w:tbl>
    <w:p>
      <w:pPr>
        <w:spacing w:after="20"/>
      </w:pPr>
    </w:p>
    <w:p>
      <w:pPr>
        <w:pStyle w:val="Heading1"/>
        <w:keepNext/>
        <w:spacing w:before="280" w:after="100"/>
      </w:pPr>
      <w:r>
        <w:rPr>
          <w:rFonts w:ascii="Aptos" w:hAnsi="Aptos" w:eastAsia="Aptos"/>
          <w:b/>
          <w:color w:val="000000"/>
          <w:sz w:val="36"/>
        </w:rPr>
        <w:t>Emergency Fallback</w:t>
      </w:r>
    </w:p>
    <w:tbl>
      <w:tblPr>
        <w:tblW w:type="auto" w:w="0"/>
        <w:jc w:val="center"/>
        <w:tblLayout w:type="fixed"/>
        <w:tblLook w:firstColumn="1" w:firstRow="1" w:lastColumn="0" w:lastRow="0" w:noHBand="0" w:noVBand="1" w:val="04A0"/>
      </w:tblPr>
      <w:tblGrid>
        <w:gridCol w:w="10080"/>
      </w:tblGrid>
      <w:tr>
        <w:tc>
          <w:tcPr>
            <w:tcW w:type="dxa" w:w="9951"/>
            <w:shd w:fill="FFF2E5"/>
            <w:tcBorders>
              <w:top w:val="single" w:sz="8" w:color="B85C00"/>
              <w:left w:val="single" w:sz="8" w:color="B85C00"/>
              <w:bottom w:val="single" w:sz="8" w:color="B85C00"/>
              <w:right w:val="single" w:sz="8" w:color="B85C00"/>
              <w:insideH w:val="single" w:sz="8" w:color="B85C00"/>
              <w:insideV w:val="single" w:sz="8" w:color="B85C00"/>
            </w:tcBorders>
            <w:tcMar>
              <w:top w:w="150" w:type="dxa"/>
              <w:start w:w="180" w:type="dxa"/>
              <w:bottom w:w="150" w:type="dxa"/>
              <w:end w:w="180" w:type="dxa"/>
            </w:tcMar>
            <w:vAlign w:val="center"/>
          </w:tcPr>
          <w:p>
            <w:pPr>
              <w:spacing w:after="80"/>
            </w:pPr>
            <w:r>
              <w:rPr>
                <w:rFonts w:ascii="Aptos" w:hAnsi="Aptos" w:eastAsia="Aptos"/>
                <w:b/>
                <w:color w:val="B85C00"/>
                <w:sz w:val="21"/>
              </w:rPr>
              <w:t>IF THE UI FAILS</w:t>
            </w:r>
          </w:p>
          <w:p>
            <w:pPr>
              <w:spacing w:after="0"/>
            </w:pPr>
            <w:r>
              <w:rPr>
                <w:rFonts w:ascii="Aptos" w:hAnsi="Aptos" w:eastAsia="Aptos"/>
                <w:b w:val="0"/>
                <w:color w:val="000000"/>
                <w:sz w:val="19"/>
              </w:rPr>
              <w:t>Keep Swagger open. Run the prepared sequence through health, agent login, marketplace search, preview, create and booking detail. If create is unavailable, show the already captured booking code VY-8DC3C3CC7D12 and the sanitized evidence image, then explain that the artifact records the successful live run.</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951"/>
            <w:shd w:fill="EAF4F5"/>
            <w:tcBorders>
              <w:top w:val="single" w:sz="8" w:color="176B87"/>
              <w:left w:val="single" w:sz="8" w:color="176B87"/>
              <w:bottom w:val="single" w:sz="8" w:color="176B87"/>
              <w:right w:val="single" w:sz="8" w:color="176B87"/>
              <w:insideH w:val="single" w:sz="8" w:color="176B87"/>
              <w:insideV w:val="single" w:sz="8" w:color="176B87"/>
            </w:tcBorders>
            <w:tcMar>
              <w:top w:w="150" w:type="dxa"/>
              <w:start w:w="180" w:type="dxa"/>
              <w:bottom w:w="150" w:type="dxa"/>
              <w:end w:w="180" w:type="dxa"/>
            </w:tcMar>
            <w:vAlign w:val="center"/>
          </w:tcPr>
          <w:p>
            <w:pPr>
              <w:spacing w:after="80"/>
            </w:pPr>
            <w:r>
              <w:rPr>
                <w:rFonts w:ascii="Aptos" w:hAnsi="Aptos" w:eastAsia="Aptos"/>
                <w:b/>
                <w:color w:val="176B87"/>
                <w:sz w:val="21"/>
              </w:rPr>
              <w:t>IF THE DATABASE IS SLOW</w:t>
            </w:r>
          </w:p>
          <w:p>
            <w:pPr>
              <w:spacing w:after="0"/>
            </w:pPr>
            <w:r>
              <w:rPr>
                <w:rFonts w:ascii="Aptos" w:hAnsi="Aptos" w:eastAsia="Aptos"/>
                <w:b w:val="0"/>
                <w:color w:val="000000"/>
                <w:sz w:val="19"/>
              </w:rPr>
              <w:t>Do not retry create with a new key. Wait for the original response and use the same key only for the original attempt. A timeout is not proof of failure; check the original booking by idempotency key or booking detail before taking action.</w:t>
            </w:r>
          </w:p>
        </w:tc>
      </w:tr>
    </w:tbl>
    <w:p>
      <w:pPr>
        <w:spacing w:after="20"/>
      </w:pPr>
    </w:p>
    <w:p>
      <w:pPr>
        <w:pStyle w:val="Heading1"/>
        <w:keepNext/>
        <w:spacing w:before="280" w:after="100"/>
      </w:pPr>
      <w:r>
        <w:rPr>
          <w:rFonts w:ascii="Aptos" w:hAnsi="Aptos" w:eastAsia="Aptos"/>
          <w:b/>
          <w:color w:val="000000"/>
          <w:sz w:val="36"/>
        </w:rPr>
        <w:t>Final Handoff Statement</w:t>
      </w:r>
    </w:p>
    <w:p>
      <w:pPr>
        <w:spacing w:before="0" w:after="120" w:line="259" w:lineRule="auto"/>
      </w:pPr>
      <w:r>
        <w:rPr>
          <w:rFonts w:ascii="Aptos" w:hAnsi="Aptos" w:eastAsia="Aptos"/>
          <w:b/>
          <w:color w:val="172033"/>
          <w:sz w:val="20"/>
        </w:rPr>
        <w:t>This rehearsal establishes a working, inspectable Milestone 1 path in the existing VOYA codebase. The next milestone is controlled validation: complete the UAT matrix, close the open commercial and operating decisions, run negative security and representative load tests, and define the production controls for integrations, notifications, backup and settlement.</w:t>
      </w:r>
    </w:p>
    <w:p>
      <w:pPr>
        <w:spacing w:before="0" w:after="0" w:line="259" w:lineRule="auto"/>
      </w:pPr>
      <w:r>
        <w:rPr>
          <w:rFonts w:ascii="Aptos" w:hAnsi="Aptos" w:eastAsia="Aptos"/>
          <w:b w:val="0"/>
          <w:color w:val="5B667A"/>
          <w:sz w:val="18"/>
        </w:rPr>
        <w:t>Requested companion file: VOYA_Demo_SQL.sql. It is read-only, contains no credentials and is scoped to the captured booking evidence.</w:t>
      </w:r>
    </w:p>
    <w:sectPr w:rsidR="00FC693F" w:rsidRPr="0006063C" w:rsidSect="00034616">
      <w:footerReference w:type="default" r:id="rId9"/>
      <w:pgSz w:w="11909" w:h="16834"/>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B667A"/>
        <w:sz w:val="16"/>
      </w:rPr>
      <w:t xml:space="preserve">VOYA  |  Client demo rehearsal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B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