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2667154"/>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2667154"/>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67154"/>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67154"/>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92883"/>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92883"/>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67154"/>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67154"/>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92883"/>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92883"/>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Rate Plan and Travellers</w:t>
            </w:r>
          </w:p>
        </w:tc>
        <w:tc>
          <w:tcPr>
            <w:tcW w:type="dxa" w:w="3360"/>
            <w:vAlign w:val="center"/>
            <w:shd w:fill="F1F6F7"/>
          </w:tcPr>
          <w:p>
            <w:pPr>
              <w:spacing w:after="40"/>
            </w:pPr>
            <w:r/>
            <w:r>
              <w:rPr>
                <w:b w:val="0"/>
                <w:color w:val="243447"/>
                <w:sz w:val="18"/>
              </w:rPr>
              <w:t>Rate plan code, name, price, pax limits</w:t>
            </w:r>
          </w:p>
        </w:tc>
        <w:tc>
          <w:tcPr>
            <w:tcW w:type="dxa" w:w="3360"/>
            <w:vAlign w:val="center"/>
            <w:shd w:fill="F1F6F7"/>
          </w:tcPr>
          <w:p>
            <w:pPr>
              <w:spacing w:after="40"/>
            </w:pPr>
            <w:r/>
            <w:r>
              <w:rPr>
                <w:b w:val="0"/>
                <w:color w:val="243447"/>
                <w:sz w:val="18"/>
              </w:rPr>
              <w:t>Commercial offer that can be booked</w:t>
            </w:r>
          </w:p>
        </w:tc>
      </w:tr>
      <w:tr>
        <w:tc>
          <w:tcPr>
            <w:tcW w:type="dxa" w:w="3360"/>
            <w:vAlign w:val="center"/>
          </w:tcPr>
          <w:p>
            <w:pPr>
              <w:spacing w:after="40"/>
            </w:pPr>
            <w:r/>
            <w:r>
              <w:rPr>
                <w:b w:val="0"/>
                <w:color w:val="243447"/>
                <w:sz w:val="18"/>
              </w:rPr>
              <w:t>Policies and Cancellation</w:t>
            </w:r>
          </w:p>
        </w:tc>
        <w:tc>
          <w:tcPr>
            <w:tcW w:type="dxa" w:w="3360"/>
            <w:vAlign w:val="center"/>
          </w:tcPr>
          <w:p>
            <w:pPr>
              <w:spacing w:after="40"/>
            </w:pPr>
            <w:r/>
            <w:r>
              <w:rPr>
                <w:b w:val="0"/>
                <w:color w:val="243447"/>
                <w:sz w:val="18"/>
              </w:rPr>
              <w:t>Cancellation slabs</w:t>
            </w:r>
          </w:p>
        </w:tc>
        <w:tc>
          <w:tcPr>
            <w:tcW w:type="dxa" w:w="3360"/>
            <w:vAlign w:val="center"/>
          </w:tcPr>
          <w:p>
            <w:pPr>
              <w:spacing w:after="40"/>
            </w:pPr>
            <w:r/>
            <w:r>
              <w:rPr>
                <w:b w:val="0"/>
                <w:color w:val="243447"/>
                <w:sz w:val="18"/>
              </w:rPr>
              <w:t>Charges based on days before service</w:t>
            </w:r>
          </w:p>
        </w:tc>
      </w:tr>
    </w:tbl>
    <w:p>
      <w:pPr>
        <w:spacing w:after="40"/>
      </w:pPr>
    </w:p>
    <w:p>
      <w:r>
        <w:t>Save Draft writes the activity to the database. Submit for Review changes a draft to Under Review. Vendors cannot publish directly; publishing is an admin action.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Pickup / Drop-off</w:t>
            </w:r>
          </w:p>
        </w:tc>
        <w:tc>
          <w:tcPr>
            <w:tcW w:type="dxa" w:w="5040"/>
            <w:vAlign w:val="center"/>
            <w:shd w:fill="F1F6F7"/>
          </w:tcPr>
          <w:p>
            <w:pPr>
              <w:spacing w:after="40"/>
            </w:pPr>
            <w:r/>
            <w:r>
              <w:rPr>
                <w:b w:val="0"/>
                <w:color w:val="243447"/>
                <w:sz w:val="18"/>
              </w:rPr>
              <w:t>Operational transport details</w:t>
            </w:r>
          </w:p>
        </w:tc>
      </w:tr>
      <w:tr>
        <w:tc>
          <w:tcPr>
            <w:tcW w:type="dxa" w:w="5040"/>
            <w:vAlign w:val="center"/>
          </w:tcPr>
          <w:p>
            <w:pPr>
              <w:spacing w:after="40"/>
            </w:pPr>
            <w:r/>
            <w:r>
              <w:rPr>
                <w:b w:val="0"/>
                <w:color w:val="243447"/>
                <w:sz w:val="18"/>
              </w:rPr>
              <w:t>Inclusions / Exclusions</w:t>
            </w:r>
          </w:p>
        </w:tc>
        <w:tc>
          <w:tcPr>
            <w:tcW w:type="dxa" w:w="5040"/>
            <w:vAlign w:val="center"/>
          </w:tcPr>
          <w:p>
            <w:pPr>
              <w:spacing w:after="40"/>
            </w:pPr>
            <w:r/>
            <w:r>
              <w:rPr>
                <w:b w:val="0"/>
                <w:color w:val="243447"/>
                <w:sz w:val="18"/>
              </w:rPr>
              <w:t>What is and is not included in the price</w:t>
            </w:r>
          </w:p>
        </w:tc>
      </w:tr>
      <w:tr>
        <w:tc>
          <w:tcPr>
            <w:tcW w:type="dxa" w:w="5040"/>
            <w:vAlign w:val="center"/>
            <w:shd w:fill="F1F6F7"/>
          </w:tcPr>
          <w:p>
            <w:pPr>
              <w:spacing w:after="40"/>
            </w:pPr>
            <w:r/>
            <w:r>
              <w:rPr>
                <w:b w:val="0"/>
                <w:color w:val="243447"/>
                <w:sz w:val="18"/>
              </w:rPr>
              <w:t>Traveller Rules</w:t>
            </w:r>
          </w:p>
        </w:tc>
        <w:tc>
          <w:tcPr>
            <w:tcW w:type="dxa" w:w="5040"/>
            <w:vAlign w:val="center"/>
            <w:shd w:fill="F1F6F7"/>
          </w:tcPr>
          <w:p>
            <w:pPr>
              <w:spacing w:after="40"/>
            </w:pPr>
            <w:r/>
            <w:r>
              <w:rPr>
                <w:b w:val="0"/>
                <w:color w:val="243447"/>
                <w:sz w:val="18"/>
              </w:rPr>
              <w:t>Adult, child, senior, and other age/price rules</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67154"/>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67154"/>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Promotion</w:t>
            </w:r>
          </w:p>
        </w:tc>
        <w:tc>
          <w:tcPr>
            <w:tcW w:type="dxa" w:w="3360"/>
            <w:vAlign w:val="center"/>
          </w:tcPr>
          <w:p>
            <w:pPr>
              <w:spacing w:after="40"/>
            </w:pPr>
            <w:r/>
            <w:r>
              <w:rPr>
                <w:b w:val="0"/>
                <w:color w:val="243447"/>
                <w:sz w:val="18"/>
              </w:rPr>
              <w:t>Time-boxed discount for an activity</w:t>
            </w:r>
          </w:p>
        </w:tc>
        <w:tc>
          <w:tcPr>
            <w:tcW w:type="dxa" w:w="3360"/>
            <w:vAlign w:val="center"/>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67154"/>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67154"/>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67154"/>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67154"/>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67154"/>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67154"/>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