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RainWood System Module Index</w:t>
      </w:r>
    </w:p>
    <w:p>
      <w:r>
        <w:rPr>
          <w:rFonts w:ascii="Calibri" w:hAnsi="Calibri" w:eastAsia="Calibri"/>
          <w:b w:val="0"/>
          <w:i w:val="0"/>
          <w:color w:val="2E74B5"/>
          <w:sz w:val="26"/>
        </w:rPr>
        <w:t>Code-based map of the functional application modules</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Scope  </w:t>
            </w:r>
            <w:r>
              <w:rPr>
                <w:rFonts w:ascii="Calibri" w:hAnsi="Calibri" w:eastAsia="Calibri"/>
                <w:b w:val="0"/>
                <w:i w:val="0"/>
                <w:color w:val="0D3856"/>
                <w:sz w:val="20"/>
              </w:rPr>
              <w:t>This index identifies the major modules observed in the Next.js frontend, NestJS backend, and Prisma schema. Each linked module guide explains its purpose, UI surface, code locations, endpoints, data model, workflow, permissions, risks, and verification scenarios.</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Representative local RainWood admin screenshot used as the visual index reference." title="Representative local RainWood admin screenshot used as the visual index reference."/>
            <wp:cNvGraphicFramePr>
              <a:graphicFrameLocks noChangeAspect="1"/>
            </wp:cNvGraphicFramePr>
            <a:graphic>
              <a:graphicData uri="http://schemas.openxmlformats.org/drawingml/2006/picture">
                <pic:pic>
                  <pic:nvPicPr>
                    <pic:cNvPr id="0" name="hotel-management-and-catalogue.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Representative local RainWood admin screenshot used as the visual index reference.</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How a client should use these guides  </w:t>
            </w:r>
            <w:r>
              <w:rPr>
                <w:rFonts w:ascii="Calibri" w:hAnsi="Calibri" w:eastAsia="Calibri"/>
                <w:b w:val="0"/>
                <w:i w:val="0"/>
                <w:color w:val="0D3856"/>
                <w:sz w:val="20"/>
              </w:rPr>
              <w:t>Start with the module that matches the task. Read the plain-language purpose, use the field table to understand what to enter or review, follow the numbered workflow, and use the verification scenarios before moving to the next module.</w:t>
            </w:r>
          </w:p>
        </w:tc>
      </w:tr>
    </w:tbl>
    <w:p>
      <w:pPr>
        <w:spacing w:after="0"/>
      </w:pPr>
    </w:p>
    <w:p>
      <w:pPr>
        <w:pStyle w:val="Heading1"/>
      </w:pPr>
      <w:r>
        <w:t>Architecture at a glance</w:t>
      </w:r>
    </w:p>
    <w:p>
      <w:pPr>
        <w:pStyle w:val="ListBullet"/>
      </w:pPr>
      <w:r>
        <w:rPr>
          <w:rFonts w:ascii="Calibri" w:hAnsi="Calibri" w:eastAsia="Calibri"/>
          <w:b w:val="0"/>
          <w:i w:val="0"/>
          <w:color w:val="0D3856"/>
          <w:sz w:val="21"/>
        </w:rPr>
        <w:t>Frontend: Next.js App Router, React, and TypeScript under frontend/src.</w:t>
      </w:r>
    </w:p>
    <w:p>
      <w:pPr>
        <w:pStyle w:val="ListBullet"/>
      </w:pPr>
      <w:r>
        <w:rPr>
          <w:rFonts w:ascii="Calibri" w:hAnsi="Calibri" w:eastAsia="Calibri"/>
          <w:b w:val="0"/>
          <w:i w:val="0"/>
          <w:color w:val="0D3856"/>
          <w:sz w:val="21"/>
        </w:rPr>
        <w:t>Backend: NestJS REST API under backend/src, with authentication, role guards, services, and controllers.</w:t>
      </w:r>
    </w:p>
    <w:p>
      <w:pPr>
        <w:pStyle w:val="ListBullet"/>
      </w:pPr>
      <w:r>
        <w:rPr>
          <w:rFonts w:ascii="Calibri" w:hAnsi="Calibri" w:eastAsia="Calibri"/>
          <w:b w:val="0"/>
          <w:i w:val="0"/>
          <w:color w:val="0D3856"/>
          <w:sz w:val="21"/>
        </w:rPr>
        <w:t>Persistence: Prisma schema and migrations under backend/prisma, backed by PostgreSQL.</w:t>
      </w:r>
    </w:p>
    <w:p>
      <w:pPr>
        <w:pStyle w:val="ListBullet"/>
      </w:pPr>
      <w:r>
        <w:rPr>
          <w:rFonts w:ascii="Calibri" w:hAnsi="Calibri" w:eastAsia="Calibri"/>
          <w:b w:val="0"/>
          <w:i w:val="0"/>
          <w:color w:val="0D3856"/>
          <w:sz w:val="21"/>
        </w:rPr>
        <w:t>Operational boundary: payments, SMTP, storage, AxisRooms, and monitoring are configured per environment.</w:t>
      </w:r>
    </w:p>
    <w:p>
      <w:pPr>
        <w:pStyle w:val="Heading1"/>
      </w:pPr>
      <w:r>
        <w:t>Module inventory</w:t>
      </w:r>
    </w:p>
    <w:tbl>
      <w:tblPr>
        <w:tblStyle w:val="TableGrid"/>
        <w:tblW w:type="dxa" w:w="9360"/>
        <w:jc w:val="center"/>
        <w:tblLayout w:type="fixed"/>
        <w:tblLook w:firstColumn="1" w:firstRow="1" w:lastColumn="0" w:lastRow="0" w:noHBand="0" w:noVBand="1" w:val="04A0"/>
        <w:tblInd w:w="120" w:type="dxa"/>
      </w:tblPr>
      <w:tblGrid>
        <w:gridCol w:w="2500"/>
        <w:gridCol w:w="4860"/>
        <w:gridCol w:w="200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Module</w:t>
            </w:r>
          </w:p>
        </w:tc>
        <w:tc>
          <w:tcPr>
            <w:tcW w:type="dxa" w:w="4860"/>
            <w:vAlign w:val="top"/>
            <w:tcMar>
              <w:top w:w="80" w:type="dxa"/>
              <w:start w:w="120" w:type="dxa"/>
              <w:bottom w:w="80" w:type="dxa"/>
              <w:end w:w="120" w:type="dxa"/>
            </w:tcMar>
            <w:shd w:fill="0D3856"/>
          </w:tcPr>
          <w:p>
            <w:r>
              <w:rPr>
                <w:rFonts w:ascii="Calibri" w:hAnsi="Calibri" w:eastAsia="Calibri"/>
                <w:b/>
                <w:i w:val="0"/>
                <w:color w:val="FFFFFF"/>
                <w:sz w:val="19"/>
              </w:rPr>
              <w:t>Primary responsibility</w:t>
            </w:r>
          </w:p>
        </w:tc>
        <w:tc>
          <w:tcPr>
            <w:tcW w:type="dxa" w:w="2000"/>
            <w:vAlign w:val="top"/>
            <w:tcMar>
              <w:top w:w="80" w:type="dxa"/>
              <w:start w:w="120" w:type="dxa"/>
              <w:bottom w:w="80" w:type="dxa"/>
              <w:end w:w="120" w:type="dxa"/>
            </w:tcMar>
            <w:shd w:fill="0D3856"/>
          </w:tcPr>
          <w:p>
            <w:r>
              <w:rPr>
                <w:rFonts w:ascii="Calibri" w:hAnsi="Calibri" w:eastAsia="Calibri"/>
                <w:b/>
                <w:i w:val="0"/>
                <w:color w:val="FFFFFF"/>
                <w:sz w:val="19"/>
              </w:rPr>
              <w:t>Document</w:t>
            </w:r>
          </w:p>
        </w:tc>
      </w:tr>
      <w:tr>
        <w:tc>
          <w:tcPr>
            <w:tcW w:type="dxa" w:w="2500"/>
            <w:shd w:fill="F7FAFC"/>
          </w:tcPr>
          <w:p>
            <w:r>
              <w:rPr>
                <w:rFonts w:ascii="Calibri" w:hAnsi="Calibri" w:eastAsia="Calibri"/>
                <w:b/>
                <w:i w:val="0"/>
                <w:color w:val="0D3856"/>
                <w:sz w:val="19"/>
              </w:rPr>
              <w:t>Hotel Management and Catalogue</w:t>
            </w:r>
          </w:p>
        </w:tc>
        <w:tc>
          <w:tcPr>
            <w:tcW w:type="dxa" w:w="4860"/>
          </w:tcPr>
          <w:p>
            <w:r>
              <w:rPr>
                <w:rFonts w:ascii="Calibri" w:hAnsi="Calibri" w:eastAsia="Calibri"/>
                <w:b w:val="0"/>
                <w:i w:val="0"/>
                <w:color w:val="0D3856"/>
                <w:sz w:val="19"/>
              </w:rPr>
              <w:t>Hotel identity, rooms, amenities, images, and catalogue records</w:t>
            </w:r>
          </w:p>
        </w:tc>
        <w:tc>
          <w:tcPr>
            <w:tcW w:type="dxa" w:w="2000"/>
          </w:tcPr>
          <w:p>
            <w:r>
              <w:rPr>
                <w:rFonts w:ascii="Calibri" w:hAnsi="Calibri" w:eastAsia="Calibri"/>
                <w:b w:val="0"/>
                <w:i w:val="0"/>
                <w:color w:val="0D3856"/>
                <w:sz w:val="19"/>
              </w:rPr>
              <w:t>module-guides/hotel-management-and-catalogue.docx</w:t>
            </w:r>
          </w:p>
        </w:tc>
      </w:tr>
      <w:tr>
        <w:tc>
          <w:tcPr>
            <w:tcW w:type="dxa" w:w="2500"/>
            <w:shd w:fill="F7FAFC"/>
          </w:tcPr>
          <w:p>
            <w:r>
              <w:rPr>
                <w:rFonts w:ascii="Calibri" w:hAnsi="Calibri" w:eastAsia="Calibri"/>
                <w:b/>
                <w:i w:val="0"/>
                <w:color w:val="0D3856"/>
                <w:sz w:val="19"/>
              </w:rPr>
              <w:t>Rate Plans and Price Book</w:t>
            </w:r>
          </w:p>
        </w:tc>
        <w:tc>
          <w:tcPr>
            <w:tcW w:type="dxa" w:w="4860"/>
          </w:tcPr>
          <w:p>
            <w:r>
              <w:rPr>
                <w:rFonts w:ascii="Calibri" w:hAnsi="Calibri" w:eastAsia="Calibri"/>
                <w:b w:val="0"/>
                <w:i w:val="0"/>
                <w:color w:val="0D3856"/>
                <w:sz w:val="19"/>
              </w:rPr>
              <w:t>Commercial offers, dates, occupancy prices, taxes, and inventory</w:t>
            </w:r>
          </w:p>
        </w:tc>
        <w:tc>
          <w:tcPr>
            <w:tcW w:type="dxa" w:w="2000"/>
          </w:tcPr>
          <w:p>
            <w:r>
              <w:rPr>
                <w:rFonts w:ascii="Calibri" w:hAnsi="Calibri" w:eastAsia="Calibri"/>
                <w:b w:val="0"/>
                <w:i w:val="0"/>
                <w:color w:val="0D3856"/>
                <w:sz w:val="19"/>
              </w:rPr>
              <w:t>module-guides/rate-plans-and-price-book.docx</w:t>
            </w:r>
          </w:p>
        </w:tc>
      </w:tr>
      <w:tr>
        <w:tc>
          <w:tcPr>
            <w:tcW w:type="dxa" w:w="2500"/>
            <w:shd w:fill="F7FAFC"/>
          </w:tcPr>
          <w:p>
            <w:r>
              <w:rPr>
                <w:rFonts w:ascii="Calibri" w:hAnsi="Calibri" w:eastAsia="Calibri"/>
                <w:b/>
                <w:i w:val="0"/>
                <w:color w:val="0D3856"/>
                <w:sz w:val="19"/>
              </w:rPr>
              <w:t>Public Discovery and Booking</w:t>
            </w:r>
          </w:p>
        </w:tc>
        <w:tc>
          <w:tcPr>
            <w:tcW w:type="dxa" w:w="4860"/>
          </w:tcPr>
          <w:p>
            <w:r>
              <w:rPr>
                <w:rFonts w:ascii="Calibri" w:hAnsi="Calibri" w:eastAsia="Calibri"/>
                <w:b w:val="0"/>
                <w:i w:val="0"/>
                <w:color w:val="0D3856"/>
                <w:sz w:val="19"/>
              </w:rPr>
              <w:t>Public hotel discovery, search, availability, holds, and booking initiation</w:t>
            </w:r>
          </w:p>
        </w:tc>
        <w:tc>
          <w:tcPr>
            <w:tcW w:type="dxa" w:w="2000"/>
          </w:tcPr>
          <w:p>
            <w:r>
              <w:rPr>
                <w:rFonts w:ascii="Calibri" w:hAnsi="Calibri" w:eastAsia="Calibri"/>
                <w:b w:val="0"/>
                <w:i w:val="0"/>
                <w:color w:val="0D3856"/>
                <w:sz w:val="19"/>
              </w:rPr>
              <w:t>module-guides/public-discovery-and-booking.docx</w:t>
            </w:r>
          </w:p>
        </w:tc>
      </w:tr>
      <w:tr>
        <w:tc>
          <w:tcPr>
            <w:tcW w:type="dxa" w:w="2500"/>
            <w:shd w:fill="F7FAFC"/>
          </w:tcPr>
          <w:p>
            <w:r>
              <w:rPr>
                <w:rFonts w:ascii="Calibri" w:hAnsi="Calibri" w:eastAsia="Calibri"/>
                <w:b/>
                <w:i w:val="0"/>
                <w:color w:val="0D3856"/>
                <w:sz w:val="19"/>
              </w:rPr>
              <w:t>Reservations</w:t>
            </w:r>
          </w:p>
        </w:tc>
        <w:tc>
          <w:tcPr>
            <w:tcW w:type="dxa" w:w="4860"/>
          </w:tcPr>
          <w:p>
            <w:r>
              <w:rPr>
                <w:rFonts w:ascii="Calibri" w:hAnsi="Calibri" w:eastAsia="Calibri"/>
                <w:b w:val="0"/>
                <w:i w:val="0"/>
                <w:color w:val="0D3856"/>
                <w:sz w:val="19"/>
              </w:rPr>
              <w:t>Reservation lifecycle, guest details, amendments, and cancellation</w:t>
            </w:r>
          </w:p>
        </w:tc>
        <w:tc>
          <w:tcPr>
            <w:tcW w:type="dxa" w:w="2000"/>
          </w:tcPr>
          <w:p>
            <w:r>
              <w:rPr>
                <w:rFonts w:ascii="Calibri" w:hAnsi="Calibri" w:eastAsia="Calibri"/>
                <w:b w:val="0"/>
                <w:i w:val="0"/>
                <w:color w:val="0D3856"/>
                <w:sz w:val="19"/>
              </w:rPr>
              <w:t>module-guides/reservations.docx</w:t>
            </w:r>
          </w:p>
        </w:tc>
      </w:tr>
      <w:tr>
        <w:tc>
          <w:tcPr>
            <w:tcW w:type="dxa" w:w="2500"/>
            <w:shd w:fill="F7FAFC"/>
          </w:tcPr>
          <w:p>
            <w:r>
              <w:rPr>
                <w:rFonts w:ascii="Calibri" w:hAnsi="Calibri" w:eastAsia="Calibri"/>
                <w:b/>
                <w:i w:val="0"/>
                <w:color w:val="0D3856"/>
                <w:sz w:val="19"/>
              </w:rPr>
              <w:t>Payments</w:t>
            </w:r>
          </w:p>
        </w:tc>
        <w:tc>
          <w:tcPr>
            <w:tcW w:type="dxa" w:w="4860"/>
          </w:tcPr>
          <w:p>
            <w:r>
              <w:rPr>
                <w:rFonts w:ascii="Calibri" w:hAnsi="Calibri" w:eastAsia="Calibri"/>
                <w:b w:val="0"/>
                <w:i w:val="0"/>
                <w:color w:val="0D3856"/>
                <w:sz w:val="19"/>
              </w:rPr>
              <w:t>Payment orders, manual receipts, verification, and webhooks</w:t>
            </w:r>
          </w:p>
        </w:tc>
        <w:tc>
          <w:tcPr>
            <w:tcW w:type="dxa" w:w="2000"/>
          </w:tcPr>
          <w:p>
            <w:r>
              <w:rPr>
                <w:rFonts w:ascii="Calibri" w:hAnsi="Calibri" w:eastAsia="Calibri"/>
                <w:b w:val="0"/>
                <w:i w:val="0"/>
                <w:color w:val="0D3856"/>
                <w:sz w:val="19"/>
              </w:rPr>
              <w:t>module-guides/payments.docx</w:t>
            </w:r>
          </w:p>
        </w:tc>
      </w:tr>
      <w:tr>
        <w:tc>
          <w:tcPr>
            <w:tcW w:type="dxa" w:w="2500"/>
            <w:shd w:fill="F7FAFC"/>
          </w:tcPr>
          <w:p>
            <w:r>
              <w:rPr>
                <w:rFonts w:ascii="Calibri" w:hAnsi="Calibri" w:eastAsia="Calibri"/>
                <w:b/>
                <w:i w:val="0"/>
                <w:color w:val="0D3856"/>
                <w:sz w:val="19"/>
              </w:rPr>
              <w:t>Authentication, Users, Agents, and Wallets</w:t>
            </w:r>
          </w:p>
        </w:tc>
        <w:tc>
          <w:tcPr>
            <w:tcW w:type="dxa" w:w="4860"/>
          </w:tcPr>
          <w:p>
            <w:r>
              <w:rPr>
                <w:rFonts w:ascii="Calibri" w:hAnsi="Calibri" w:eastAsia="Calibri"/>
                <w:b w:val="0"/>
                <w:i w:val="0"/>
                <w:color w:val="0D3856"/>
                <w:sz w:val="19"/>
              </w:rPr>
              <w:t>Staff access, role control, agent onboarding, mappings, and balances</w:t>
            </w:r>
          </w:p>
        </w:tc>
        <w:tc>
          <w:tcPr>
            <w:tcW w:type="dxa" w:w="2000"/>
          </w:tcPr>
          <w:p>
            <w:r>
              <w:rPr>
                <w:rFonts w:ascii="Calibri" w:hAnsi="Calibri" w:eastAsia="Calibri"/>
                <w:b w:val="0"/>
                <w:i w:val="0"/>
                <w:color w:val="0D3856"/>
                <w:sz w:val="19"/>
              </w:rPr>
              <w:t>module-guides/authentication-users-agents-and-wallets.docx</w:t>
            </w:r>
          </w:p>
        </w:tc>
      </w:tr>
      <w:tr>
        <w:tc>
          <w:tcPr>
            <w:tcW w:type="dxa" w:w="2500"/>
            <w:shd w:fill="F7FAFC"/>
          </w:tcPr>
          <w:p>
            <w:r>
              <w:rPr>
                <w:rFonts w:ascii="Calibri" w:hAnsi="Calibri" w:eastAsia="Calibri"/>
                <w:b/>
                <w:i w:val="0"/>
                <w:color w:val="0D3856"/>
                <w:sz w:val="19"/>
              </w:rPr>
              <w:t>Contact Requests</w:t>
            </w:r>
          </w:p>
        </w:tc>
        <w:tc>
          <w:tcPr>
            <w:tcW w:type="dxa" w:w="4860"/>
          </w:tcPr>
          <w:p>
            <w:r>
              <w:rPr>
                <w:rFonts w:ascii="Calibri" w:hAnsi="Calibri" w:eastAsia="Calibri"/>
                <w:b w:val="0"/>
                <w:i w:val="0"/>
                <w:color w:val="0D3856"/>
                <w:sz w:val="19"/>
              </w:rPr>
              <w:t>Public enquiries and staff follow-up queue</w:t>
            </w:r>
          </w:p>
        </w:tc>
        <w:tc>
          <w:tcPr>
            <w:tcW w:type="dxa" w:w="2000"/>
          </w:tcPr>
          <w:p>
            <w:r>
              <w:rPr>
                <w:rFonts w:ascii="Calibri" w:hAnsi="Calibri" w:eastAsia="Calibri"/>
                <w:b w:val="0"/>
                <w:i w:val="0"/>
                <w:color w:val="0D3856"/>
                <w:sz w:val="19"/>
              </w:rPr>
              <w:t>module-guides/contact-requests.docx</w:t>
            </w:r>
          </w:p>
        </w:tc>
      </w:tr>
      <w:tr>
        <w:tc>
          <w:tcPr>
            <w:tcW w:type="dxa" w:w="2500"/>
            <w:shd w:fill="F7FAFC"/>
          </w:tcPr>
          <w:p>
            <w:r>
              <w:rPr>
                <w:rFonts w:ascii="Calibri" w:hAnsi="Calibri" w:eastAsia="Calibri"/>
                <w:b/>
                <w:i w:val="0"/>
                <w:color w:val="0D3856"/>
                <w:sz w:val="19"/>
              </w:rPr>
              <w:t>Reports</w:t>
            </w:r>
          </w:p>
        </w:tc>
        <w:tc>
          <w:tcPr>
            <w:tcW w:type="dxa" w:w="4860"/>
          </w:tcPr>
          <w:p>
            <w:r>
              <w:rPr>
                <w:rFonts w:ascii="Calibri" w:hAnsi="Calibri" w:eastAsia="Calibri"/>
                <w:b w:val="0"/>
                <w:i w:val="0"/>
                <w:color w:val="0D3856"/>
                <w:sz w:val="19"/>
              </w:rPr>
              <w:t>Operational, reservation, payment, arrival, departure, and cancellation reporting</w:t>
            </w:r>
          </w:p>
        </w:tc>
        <w:tc>
          <w:tcPr>
            <w:tcW w:type="dxa" w:w="2000"/>
          </w:tcPr>
          <w:p>
            <w:r>
              <w:rPr>
                <w:rFonts w:ascii="Calibri" w:hAnsi="Calibri" w:eastAsia="Calibri"/>
                <w:b w:val="0"/>
                <w:i w:val="0"/>
                <w:color w:val="0D3856"/>
                <w:sz w:val="19"/>
              </w:rPr>
              <w:t>module-guides/reports.docx</w:t>
            </w:r>
          </w:p>
        </w:tc>
      </w:tr>
      <w:tr>
        <w:tc>
          <w:tcPr>
            <w:tcW w:type="dxa" w:w="2500"/>
            <w:shd w:fill="F7FAFC"/>
          </w:tcPr>
          <w:p>
            <w:r>
              <w:rPr>
                <w:rFonts w:ascii="Calibri" w:hAnsi="Calibri" w:eastAsia="Calibri"/>
                <w:b/>
                <w:i w:val="0"/>
                <w:color w:val="0D3856"/>
                <w:sz w:val="19"/>
              </w:rPr>
              <w:t>Files and Media</w:t>
            </w:r>
          </w:p>
        </w:tc>
        <w:tc>
          <w:tcPr>
            <w:tcW w:type="dxa" w:w="4860"/>
          </w:tcPr>
          <w:p>
            <w:r>
              <w:rPr>
                <w:rFonts w:ascii="Calibri" w:hAnsi="Calibri" w:eastAsia="Calibri"/>
                <w:b w:val="0"/>
                <w:i w:val="0"/>
                <w:color w:val="0D3856"/>
                <w:sz w:val="19"/>
              </w:rPr>
              <w:t>Hotel images, room images, payment proof, and public file access</w:t>
            </w:r>
          </w:p>
        </w:tc>
        <w:tc>
          <w:tcPr>
            <w:tcW w:type="dxa" w:w="2000"/>
          </w:tcPr>
          <w:p>
            <w:r>
              <w:rPr>
                <w:rFonts w:ascii="Calibri" w:hAnsi="Calibri" w:eastAsia="Calibri"/>
                <w:b w:val="0"/>
                <w:i w:val="0"/>
                <w:color w:val="0D3856"/>
                <w:sz w:val="19"/>
              </w:rPr>
              <w:t>module-guides/files-and-media.docx</w:t>
            </w:r>
          </w:p>
        </w:tc>
      </w:tr>
      <w:tr>
        <w:tc>
          <w:tcPr>
            <w:tcW w:type="dxa" w:w="2500"/>
            <w:shd w:fill="F7FAFC"/>
          </w:tcPr>
          <w:p>
            <w:r>
              <w:rPr>
                <w:rFonts w:ascii="Calibri" w:hAnsi="Calibri" w:eastAsia="Calibri"/>
                <w:b/>
                <w:i w:val="0"/>
                <w:color w:val="0D3856"/>
                <w:sz w:val="19"/>
              </w:rPr>
              <w:t>AxisRooms Integration</w:t>
            </w:r>
          </w:p>
        </w:tc>
        <w:tc>
          <w:tcPr>
            <w:tcW w:type="dxa" w:w="4860"/>
          </w:tcPr>
          <w:p>
            <w:r>
              <w:rPr>
                <w:rFonts w:ascii="Calibri" w:hAnsi="Calibri" w:eastAsia="Calibri"/>
                <w:b w:val="0"/>
                <w:i w:val="0"/>
                <w:color w:val="0D3856"/>
                <w:sz w:val="19"/>
              </w:rPr>
              <w:t>Inbound inventory/rate sync and booking synchronization boundary</w:t>
            </w:r>
          </w:p>
        </w:tc>
        <w:tc>
          <w:tcPr>
            <w:tcW w:type="dxa" w:w="2000"/>
          </w:tcPr>
          <w:p>
            <w:r>
              <w:rPr>
                <w:rFonts w:ascii="Calibri" w:hAnsi="Calibri" w:eastAsia="Calibri"/>
                <w:b w:val="0"/>
                <w:i w:val="0"/>
                <w:color w:val="0D3856"/>
                <w:sz w:val="19"/>
              </w:rPr>
              <w:t>module-guides/axisrooms-integration.docx</w:t>
            </w:r>
          </w:p>
        </w:tc>
      </w:tr>
      <w:tr>
        <w:tc>
          <w:tcPr>
            <w:tcW w:type="dxa" w:w="2500"/>
            <w:shd w:fill="F7FAFC"/>
          </w:tcPr>
          <w:p>
            <w:r>
              <w:rPr>
                <w:rFonts w:ascii="Calibri" w:hAnsi="Calibri" w:eastAsia="Calibri"/>
                <w:b/>
                <w:i w:val="0"/>
                <w:color w:val="0D3856"/>
                <w:sz w:val="19"/>
              </w:rPr>
              <w:t>Jobs and Reconciliation</w:t>
            </w:r>
          </w:p>
        </w:tc>
        <w:tc>
          <w:tcPr>
            <w:tcW w:type="dxa" w:w="4860"/>
          </w:tcPr>
          <w:p>
            <w:r>
              <w:rPr>
                <w:rFonts w:ascii="Calibri" w:hAnsi="Calibri" w:eastAsia="Calibri"/>
                <w:b w:val="0"/>
                <w:i w:val="0"/>
                <w:color w:val="0D3856"/>
                <w:sz w:val="19"/>
              </w:rPr>
              <w:t>Background processing, retries, dead letters, and operational recovery</w:t>
            </w:r>
          </w:p>
        </w:tc>
        <w:tc>
          <w:tcPr>
            <w:tcW w:type="dxa" w:w="2000"/>
          </w:tcPr>
          <w:p>
            <w:r>
              <w:rPr>
                <w:rFonts w:ascii="Calibri" w:hAnsi="Calibri" w:eastAsia="Calibri"/>
                <w:b w:val="0"/>
                <w:i w:val="0"/>
                <w:color w:val="0D3856"/>
                <w:sz w:val="19"/>
              </w:rPr>
              <w:t>module-guides/jobs-and-reconciliation.docx</w:t>
            </w:r>
          </w:p>
        </w:tc>
      </w:tr>
      <w:tr>
        <w:tc>
          <w:tcPr>
            <w:tcW w:type="dxa" w:w="2500"/>
            <w:shd w:fill="F7FAFC"/>
          </w:tcPr>
          <w:p>
            <w:r>
              <w:rPr>
                <w:rFonts w:ascii="Calibri" w:hAnsi="Calibri" w:eastAsia="Calibri"/>
                <w:b/>
                <w:i w:val="0"/>
                <w:color w:val="0D3856"/>
                <w:sz w:val="19"/>
              </w:rPr>
              <w:t>Vouchers</w:t>
            </w:r>
          </w:p>
        </w:tc>
        <w:tc>
          <w:tcPr>
            <w:tcW w:type="dxa" w:w="4860"/>
          </w:tcPr>
          <w:p>
            <w:r>
              <w:rPr>
                <w:rFonts w:ascii="Calibri" w:hAnsi="Calibri" w:eastAsia="Calibri"/>
                <w:b w:val="0"/>
                <w:i w:val="0"/>
                <w:color w:val="0D3856"/>
                <w:sz w:val="19"/>
              </w:rPr>
              <w:t>Reservation voucher generation, email, and download</w:t>
            </w:r>
          </w:p>
        </w:tc>
        <w:tc>
          <w:tcPr>
            <w:tcW w:type="dxa" w:w="2000"/>
          </w:tcPr>
          <w:p>
            <w:r>
              <w:rPr>
                <w:rFonts w:ascii="Calibri" w:hAnsi="Calibri" w:eastAsia="Calibri"/>
                <w:b w:val="0"/>
                <w:i w:val="0"/>
                <w:color w:val="0D3856"/>
                <w:sz w:val="19"/>
              </w:rPr>
              <w:t>module-guides/vouchers.docx</w:t>
            </w:r>
          </w:p>
        </w:tc>
      </w:tr>
      <w:tr>
        <w:tc>
          <w:tcPr>
            <w:tcW w:type="dxa" w:w="2500"/>
            <w:shd w:fill="F7FAFC"/>
          </w:tcPr>
          <w:p>
            <w:r>
              <w:rPr>
                <w:rFonts w:ascii="Calibri" w:hAnsi="Calibri" w:eastAsia="Calibri"/>
                <w:b/>
                <w:i w:val="0"/>
                <w:color w:val="0D3856"/>
                <w:sz w:val="19"/>
              </w:rPr>
              <w:t>Site Settings</w:t>
            </w:r>
          </w:p>
        </w:tc>
        <w:tc>
          <w:tcPr>
            <w:tcW w:type="dxa" w:w="4860"/>
          </w:tcPr>
          <w:p>
            <w:r>
              <w:rPr>
                <w:rFonts w:ascii="Calibri" w:hAnsi="Calibri" w:eastAsia="Calibri"/>
                <w:b w:val="0"/>
                <w:i w:val="0"/>
                <w:color w:val="0D3856"/>
                <w:sz w:val="19"/>
              </w:rPr>
              <w:t>Public configuration and admin-managed branding</w:t>
            </w:r>
          </w:p>
        </w:tc>
        <w:tc>
          <w:tcPr>
            <w:tcW w:type="dxa" w:w="2000"/>
          </w:tcPr>
          <w:p>
            <w:r>
              <w:rPr>
                <w:rFonts w:ascii="Calibri" w:hAnsi="Calibri" w:eastAsia="Calibri"/>
                <w:b w:val="0"/>
                <w:i w:val="0"/>
                <w:color w:val="0D3856"/>
                <w:sz w:val="19"/>
              </w:rPr>
              <w:t>module-guides/site-settings.docx</w:t>
            </w:r>
          </w:p>
        </w:tc>
      </w:tr>
      <w:tr>
        <w:tc>
          <w:tcPr>
            <w:tcW w:type="dxa" w:w="2500"/>
            <w:shd w:fill="F7FAFC"/>
          </w:tcPr>
          <w:p>
            <w:r>
              <w:rPr>
                <w:rFonts w:ascii="Calibri" w:hAnsi="Calibri" w:eastAsia="Calibri"/>
                <w:b/>
                <w:i w:val="0"/>
                <w:color w:val="0D3856"/>
                <w:sz w:val="19"/>
              </w:rPr>
              <w:t>Audit Logs</w:t>
            </w:r>
          </w:p>
        </w:tc>
        <w:tc>
          <w:tcPr>
            <w:tcW w:type="dxa" w:w="4860"/>
          </w:tcPr>
          <w:p>
            <w:r>
              <w:rPr>
                <w:rFonts w:ascii="Calibri" w:hAnsi="Calibri" w:eastAsia="Calibri"/>
                <w:b w:val="0"/>
                <w:i w:val="0"/>
                <w:color w:val="0D3856"/>
                <w:sz w:val="19"/>
              </w:rPr>
              <w:t>Actor-linked history of administrative and operational changes</w:t>
            </w:r>
          </w:p>
        </w:tc>
        <w:tc>
          <w:tcPr>
            <w:tcW w:type="dxa" w:w="2000"/>
          </w:tcPr>
          <w:p>
            <w:r>
              <w:rPr>
                <w:rFonts w:ascii="Calibri" w:hAnsi="Calibri" w:eastAsia="Calibri"/>
                <w:b w:val="0"/>
                <w:i w:val="0"/>
                <w:color w:val="0D3856"/>
                <w:sz w:val="19"/>
              </w:rPr>
              <w:t>module-guides/audit-logs.docx</w:t>
            </w:r>
          </w:p>
        </w:tc>
      </w:tr>
      <w:tr>
        <w:tc>
          <w:tcPr>
            <w:tcW w:type="dxa" w:w="2500"/>
            <w:shd w:fill="F7FAFC"/>
          </w:tcPr>
          <w:p>
            <w:r>
              <w:rPr>
                <w:rFonts w:ascii="Calibri" w:hAnsi="Calibri" w:eastAsia="Calibri"/>
                <w:b/>
                <w:i w:val="0"/>
                <w:color w:val="0D3856"/>
                <w:sz w:val="19"/>
              </w:rPr>
              <w:t>Health and Metrics</w:t>
            </w:r>
          </w:p>
        </w:tc>
        <w:tc>
          <w:tcPr>
            <w:tcW w:type="dxa" w:w="4860"/>
          </w:tcPr>
          <w:p>
            <w:r>
              <w:rPr>
                <w:rFonts w:ascii="Calibri" w:hAnsi="Calibri" w:eastAsia="Calibri"/>
                <w:b w:val="0"/>
                <w:i w:val="0"/>
                <w:color w:val="0D3856"/>
                <w:sz w:val="19"/>
              </w:rPr>
              <w:t>Liveness, readiness, and Prometheus-style operational metrics</w:t>
            </w:r>
          </w:p>
        </w:tc>
        <w:tc>
          <w:tcPr>
            <w:tcW w:type="dxa" w:w="2000"/>
          </w:tcPr>
          <w:p>
            <w:r>
              <w:rPr>
                <w:rFonts w:ascii="Calibri" w:hAnsi="Calibri" w:eastAsia="Calibri"/>
                <w:b w:val="0"/>
                <w:i w:val="0"/>
                <w:color w:val="0D3856"/>
                <w:sz w:val="19"/>
              </w:rPr>
              <w:t>module-guides/health-and-metrics.docx</w:t>
            </w:r>
          </w:p>
        </w:tc>
      </w:tr>
    </w:tbl>
    <w:p>
      <w:pPr>
        <w:spacing w:after="0"/>
      </w:pPr>
    </w:p>
    <w:p>
      <w:pPr>
        <w:pStyle w:val="Heading1"/>
      </w:pPr>
      <w:r>
        <w:t>Cross-module lifecycle</w:t>
      </w:r>
    </w:p>
    <w:p>
      <w:pPr>
        <w:pStyle w:val="ListNumber"/>
      </w:pPr>
      <w:r>
        <w:rPr>
          <w:rFonts w:ascii="Calibri" w:hAnsi="Calibri" w:eastAsia="Calibri"/>
          <w:b w:val="0"/>
          <w:i w:val="0"/>
          <w:color w:val="0D3856"/>
          <w:sz w:val="21"/>
        </w:rPr>
        <w:t>Identity and role access gate staff and agent operations.</w:t>
      </w:r>
    </w:p>
    <w:p>
      <w:pPr>
        <w:pStyle w:val="ListNumber"/>
      </w:pPr>
      <w:r>
        <w:rPr>
          <w:rFonts w:ascii="Calibri" w:hAnsi="Calibri" w:eastAsia="Calibri"/>
          <w:b w:val="0"/>
          <w:i w:val="0"/>
          <w:color w:val="0D3856"/>
          <w:sz w:val="21"/>
        </w:rPr>
        <w:t>Hotel Management creates the hotel, rooms, amenities, and media catalogue.</w:t>
      </w:r>
    </w:p>
    <w:p>
      <w:pPr>
        <w:pStyle w:val="ListNumber"/>
      </w:pPr>
      <w:r>
        <w:rPr>
          <w:rFonts w:ascii="Calibri" w:hAnsi="Calibri" w:eastAsia="Calibri"/>
          <w:b w:val="0"/>
          <w:i w:val="0"/>
          <w:color w:val="0D3856"/>
          <w:sz w:val="21"/>
        </w:rPr>
        <w:t>Rate Plans and Price Book attach commercial offers, daily rates, and inventory.</w:t>
      </w:r>
    </w:p>
    <w:p>
      <w:pPr>
        <w:pStyle w:val="ListNumber"/>
      </w:pPr>
      <w:r>
        <w:rPr>
          <w:rFonts w:ascii="Calibri" w:hAnsi="Calibri" w:eastAsia="Calibri"/>
          <w:b w:val="0"/>
          <w:i w:val="0"/>
          <w:color w:val="0D3856"/>
          <w:sz w:val="21"/>
        </w:rPr>
        <w:t>Public Discovery calculates availability and creates a temporary hold.</w:t>
      </w:r>
    </w:p>
    <w:p>
      <w:pPr>
        <w:pStyle w:val="ListNumber"/>
      </w:pPr>
      <w:r>
        <w:rPr>
          <w:rFonts w:ascii="Calibri" w:hAnsi="Calibri" w:eastAsia="Calibri"/>
          <w:b w:val="0"/>
          <w:i w:val="0"/>
          <w:color w:val="0D3856"/>
          <w:sz w:val="21"/>
        </w:rPr>
        <w:t>Reservations converts the hold into a booking contract.</w:t>
      </w:r>
    </w:p>
    <w:p>
      <w:pPr>
        <w:pStyle w:val="ListNumber"/>
      </w:pPr>
      <w:r>
        <w:rPr>
          <w:rFonts w:ascii="Calibri" w:hAnsi="Calibri" w:eastAsia="Calibri"/>
          <w:b w:val="0"/>
          <w:i w:val="0"/>
          <w:color w:val="0D3856"/>
          <w:sz w:val="21"/>
        </w:rPr>
        <w:t>Payments records money and updates the reservation balance.</w:t>
      </w:r>
    </w:p>
    <w:p>
      <w:pPr>
        <w:pStyle w:val="ListNumber"/>
      </w:pPr>
      <w:r>
        <w:rPr>
          <w:rFonts w:ascii="Calibri" w:hAnsi="Calibri" w:eastAsia="Calibri"/>
          <w:b w:val="0"/>
          <w:i w:val="0"/>
          <w:color w:val="0D3856"/>
          <w:sz w:val="21"/>
        </w:rPr>
        <w:t>Jobs, Reconciliation, AxisRooms, Reports, Vouchers, and Audit Logs support operations and traceability.</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Reading guidance  </w:t>
            </w:r>
            <w:r>
              <w:rPr>
                <w:rFonts w:ascii="Calibri" w:hAnsi="Calibri" w:eastAsia="Calibri"/>
                <w:b w:val="0"/>
                <w:i w:val="0"/>
                <w:color w:val="0D3856"/>
                <w:sz w:val="20"/>
              </w:rPr>
              <w:t>The module guides intentionally separate observed code behavior from business-policy decisions. Before changing a module, check its data relationships, role guards, idempotency behavior, and the production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