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Audit Logs</w:t>
      </w:r>
    </w:p>
    <w:p>
      <w:r>
        <w:rPr>
          <w:rFonts w:ascii="Calibri" w:hAnsi="Calibri" w:eastAsia="Calibri"/>
          <w:b w:val="0"/>
          <w:i w:val="0"/>
          <w:color w:val="2E74B5"/>
          <w:sz w:val="26"/>
        </w:rPr>
        <w:t>Actor-linked history of administrative and operational changes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Provides traceability for protected actions by recording what entity was changed, who acted, and when, with the ability to filter recent history.</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Audit Logs." title="Local RainWood UI screenshot: Audit Logs."/>
            <wp:cNvGraphicFramePr>
              <a:graphicFrameLocks noChangeAspect="1"/>
            </wp:cNvGraphicFramePr>
            <a:graphic>
              <a:graphicData uri="http://schemas.openxmlformats.org/drawingml/2006/picture">
                <pic:pic>
                  <pic:nvPicPr>
                    <pic:cNvPr id="0" name="audit-log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Audit Logs.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audit logs to see who changed important records and when.</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Actor</w:t>
            </w:r>
          </w:p>
        </w:tc>
        <w:tc>
          <w:tcPr>
            <w:tcW w:type="dxa" w:w="3900"/>
          </w:tcPr>
          <w:p>
            <w:r>
              <w:rPr>
                <w:rFonts w:ascii="Calibri" w:hAnsi="Calibri" w:eastAsia="Calibri"/>
                <w:b w:val="0"/>
                <w:i w:val="0"/>
                <w:color w:val="0D3856"/>
                <w:sz w:val="19"/>
              </w:rPr>
              <w:t>User or system process</w:t>
            </w:r>
          </w:p>
        </w:tc>
        <w:tc>
          <w:tcPr>
            <w:tcW w:type="dxa" w:w="3460"/>
          </w:tcPr>
          <w:p>
            <w:r>
              <w:rPr>
                <w:rFonts w:ascii="Calibri" w:hAnsi="Calibri" w:eastAsia="Calibri"/>
                <w:b w:val="0"/>
                <w:i w:val="0"/>
                <w:color w:val="0D3856"/>
                <w:sz w:val="19"/>
              </w:rPr>
              <w:t>Identify who performed the action.</w:t>
            </w:r>
          </w:p>
        </w:tc>
      </w:tr>
      <w:tr>
        <w:tc>
          <w:tcPr>
            <w:tcW w:type="dxa" w:w="2100"/>
            <w:shd w:fill="F7FAFC"/>
          </w:tcPr>
          <w:p>
            <w:r>
              <w:rPr>
                <w:rFonts w:ascii="Calibri" w:hAnsi="Calibri" w:eastAsia="Calibri"/>
                <w:b/>
                <w:i w:val="0"/>
                <w:color w:val="0D3856"/>
                <w:sz w:val="19"/>
              </w:rPr>
              <w:t>Action and entity</w:t>
            </w:r>
          </w:p>
        </w:tc>
        <w:tc>
          <w:tcPr>
            <w:tcW w:type="dxa" w:w="3900"/>
          </w:tcPr>
          <w:p>
            <w:r>
              <w:rPr>
                <w:rFonts w:ascii="Calibri" w:hAnsi="Calibri" w:eastAsia="Calibri"/>
                <w:b w:val="0"/>
                <w:i w:val="0"/>
                <w:color w:val="0D3856"/>
                <w:sz w:val="19"/>
              </w:rPr>
              <w:t>Created, updated, deleted, or changed status</w:t>
            </w:r>
          </w:p>
        </w:tc>
        <w:tc>
          <w:tcPr>
            <w:tcW w:type="dxa" w:w="3460"/>
          </w:tcPr>
          <w:p>
            <w:r>
              <w:rPr>
                <w:rFonts w:ascii="Calibri" w:hAnsi="Calibri" w:eastAsia="Calibri"/>
                <w:b w:val="0"/>
                <w:i w:val="0"/>
                <w:color w:val="0D3856"/>
                <w:sz w:val="19"/>
              </w:rPr>
              <w:t>Understand what record was affected.</w:t>
            </w:r>
          </w:p>
        </w:tc>
      </w:tr>
      <w:tr>
        <w:tc>
          <w:tcPr>
            <w:tcW w:type="dxa" w:w="2100"/>
            <w:shd w:fill="F7FAFC"/>
          </w:tcPr>
          <w:p>
            <w:r>
              <w:rPr>
                <w:rFonts w:ascii="Calibri" w:hAnsi="Calibri" w:eastAsia="Calibri"/>
                <w:b/>
                <w:i w:val="0"/>
                <w:color w:val="0D3856"/>
                <w:sz w:val="19"/>
              </w:rPr>
              <w:t>Timestamp</w:t>
            </w:r>
          </w:p>
        </w:tc>
        <w:tc>
          <w:tcPr>
            <w:tcW w:type="dxa" w:w="3900"/>
          </w:tcPr>
          <w:p>
            <w:r>
              <w:rPr>
                <w:rFonts w:ascii="Calibri" w:hAnsi="Calibri" w:eastAsia="Calibri"/>
                <w:b w:val="0"/>
                <w:i w:val="0"/>
                <w:color w:val="0D3856"/>
                <w:sz w:val="19"/>
              </w:rPr>
              <w:t>Date and time of the event</w:t>
            </w:r>
          </w:p>
        </w:tc>
        <w:tc>
          <w:tcPr>
            <w:tcW w:type="dxa" w:w="3460"/>
          </w:tcPr>
          <w:p>
            <w:r>
              <w:rPr>
                <w:rFonts w:ascii="Calibri" w:hAnsi="Calibri" w:eastAsia="Calibri"/>
                <w:b w:val="0"/>
                <w:i w:val="0"/>
                <w:color w:val="0D3856"/>
                <w:sz w:val="19"/>
              </w:rPr>
              <w:t>Reconstruct the order of operational changes.</w:t>
            </w:r>
          </w:p>
        </w:tc>
      </w:tr>
      <w:tr>
        <w:tc>
          <w:tcPr>
            <w:tcW w:type="dxa" w:w="2100"/>
            <w:shd w:fill="F7FAFC"/>
          </w:tcPr>
          <w:p>
            <w:r>
              <w:rPr>
                <w:rFonts w:ascii="Calibri" w:hAnsi="Calibri" w:eastAsia="Calibri"/>
                <w:b/>
                <w:i w:val="0"/>
                <w:color w:val="0D3856"/>
                <w:sz w:val="19"/>
              </w:rPr>
              <w:t>Metadata</w:t>
            </w:r>
          </w:p>
        </w:tc>
        <w:tc>
          <w:tcPr>
            <w:tcW w:type="dxa" w:w="3900"/>
          </w:tcPr>
          <w:p>
            <w:r>
              <w:rPr>
                <w:rFonts w:ascii="Calibri" w:hAnsi="Calibri" w:eastAsia="Calibri"/>
                <w:b w:val="0"/>
                <w:i w:val="0"/>
                <w:color w:val="0D3856"/>
                <w:sz w:val="19"/>
              </w:rPr>
              <w:t>Request or record context</w:t>
            </w:r>
          </w:p>
        </w:tc>
        <w:tc>
          <w:tcPr>
            <w:tcW w:type="dxa" w:w="3460"/>
          </w:tcPr>
          <w:p>
            <w:r>
              <w:rPr>
                <w:rFonts w:ascii="Calibri" w:hAnsi="Calibri" w:eastAsia="Calibri"/>
                <w:b w:val="0"/>
                <w:i w:val="0"/>
                <w:color w:val="0D3856"/>
                <w:sz w:val="19"/>
              </w:rPr>
              <w:t>Support investigation and compliance review.</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audit log</w:t>
            </w:r>
          </w:p>
        </w:tc>
        <w:tc>
          <w:tcPr>
            <w:tcW w:type="dxa" w:w="6860"/>
          </w:tcPr>
          <w:p>
            <w:r>
              <w:rPr>
                <w:rFonts w:ascii="Calibri" w:hAnsi="Calibri" w:eastAsia="Calibri"/>
                <w:b w:val="0"/>
                <w:i w:val="0"/>
                <w:color w:val="0D3856"/>
                <w:sz w:val="19"/>
              </w:rPr>
              <w:t>Review recent audit records and filter by entity type.</w:t>
            </w:r>
          </w:p>
        </w:tc>
      </w:tr>
      <w:tr>
        <w:tc>
          <w:tcPr>
            <w:tcW w:type="dxa" w:w="2500"/>
            <w:shd w:fill="F7FAFC"/>
          </w:tcPr>
          <w:p>
            <w:r>
              <w:rPr>
                <w:rFonts w:ascii="Calibri" w:hAnsi="Calibri" w:eastAsia="Calibri"/>
                <w:b/>
                <w:i w:val="0"/>
                <w:color w:val="0D3856"/>
                <w:sz w:val="19"/>
              </w:rPr>
              <w:t>Service events</w:t>
            </w:r>
          </w:p>
        </w:tc>
        <w:tc>
          <w:tcPr>
            <w:tcW w:type="dxa" w:w="6860"/>
          </w:tcPr>
          <w:p>
            <w:r>
              <w:rPr>
                <w:rFonts w:ascii="Calibri" w:hAnsi="Calibri" w:eastAsia="Calibri"/>
                <w:b w:val="0"/>
                <w:i w:val="0"/>
                <w:color w:val="0D3856"/>
                <w:sz w:val="19"/>
              </w:rPr>
              <w:t>Business services emit audit events as part of mutations.</w:t>
            </w:r>
          </w:p>
        </w:tc>
      </w:tr>
      <w:tr>
        <w:tc>
          <w:tcPr>
            <w:tcW w:type="dxa" w:w="2500"/>
            <w:shd w:fill="F7FAFC"/>
          </w:tcPr>
          <w:p>
            <w:r>
              <w:rPr>
                <w:rFonts w:ascii="Calibri" w:hAnsi="Calibri" w:eastAsia="Calibri"/>
                <w:b/>
                <w:i w:val="0"/>
                <w:color w:val="0D3856"/>
                <w:sz w:val="19"/>
              </w:rPr>
              <w:t>Investigation</w:t>
            </w:r>
          </w:p>
        </w:tc>
        <w:tc>
          <w:tcPr>
            <w:tcW w:type="dxa" w:w="6860"/>
          </w:tcPr>
          <w:p>
            <w:r>
              <w:rPr>
                <w:rFonts w:ascii="Calibri" w:hAnsi="Calibri" w:eastAsia="Calibri"/>
                <w:b w:val="0"/>
                <w:i w:val="0"/>
                <w:color w:val="0D3856"/>
                <w:sz w:val="19"/>
              </w:rPr>
              <w:t>Use actor and timestamps to trace an operational change.</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frontend/src/app/admin/audit-logs/page.tsx</w:t>
            </w:r>
          </w:p>
        </w:tc>
        <w:tc>
          <w:tcPr>
            <w:tcW w:type="dxa" w:w="3960"/>
          </w:tcPr>
          <w:p>
            <w:r>
              <w:rPr>
                <w:rFonts w:ascii="Calibri" w:hAnsi="Calibri" w:eastAsia="Calibri"/>
                <w:b w:val="0"/>
                <w:i w:val="0"/>
                <w:color w:val="0D3856"/>
                <w:sz w:val="19"/>
              </w:rPr>
              <w:t>Audit table and filtering UI.</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backend/src/modules/audit/audit.controller.ts; audit.service.ts</w:t>
            </w:r>
          </w:p>
        </w:tc>
        <w:tc>
          <w:tcPr>
            <w:tcW w:type="dxa" w:w="3960"/>
          </w:tcPr>
          <w:p>
            <w:r>
              <w:rPr>
                <w:rFonts w:ascii="Calibri" w:hAnsi="Calibri" w:eastAsia="Calibri"/>
                <w:b w:val="0"/>
                <w:i w:val="0"/>
                <w:color w:val="0D3856"/>
                <w:sz w:val="19"/>
              </w:rPr>
              <w:t>Protected audit listing and event persistence.</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AuditLog</w:t>
            </w:r>
          </w:p>
        </w:tc>
        <w:tc>
          <w:tcPr>
            <w:tcW w:type="dxa" w:w="3960"/>
          </w:tcPr>
          <w:p>
            <w:r>
              <w:rPr>
                <w:rFonts w:ascii="Calibri" w:hAnsi="Calibri" w:eastAsia="Calibri"/>
                <w:b w:val="0"/>
                <w:i w:val="0"/>
                <w:color w:val="0D3856"/>
                <w:sz w:val="19"/>
              </w:rPr>
              <w:t>Actor, entity, action, metadata, and timestamp.</w:t>
            </w:r>
          </w:p>
        </w:tc>
      </w:tr>
      <w:tr>
        <w:tc>
          <w:tcPr>
            <w:tcW w:type="dxa" w:w="1800"/>
            <w:shd w:fill="F7FAFC"/>
          </w:tcPr>
          <w:p>
            <w:r>
              <w:rPr>
                <w:rFonts w:ascii="Calibri" w:hAnsi="Calibri" w:eastAsia="Calibri"/>
                <w:b/>
                <w:i w:val="0"/>
                <w:color w:val="0D3856"/>
                <w:sz w:val="19"/>
              </w:rPr>
              <w:t>Cross-cutting</w:t>
            </w:r>
          </w:p>
        </w:tc>
        <w:tc>
          <w:tcPr>
            <w:tcW w:type="dxa" w:w="3600"/>
          </w:tcPr>
          <w:p>
            <w:r>
              <w:rPr>
                <w:rFonts w:ascii="Calibri" w:hAnsi="Calibri" w:eastAsia="Calibri"/>
                <w:b w:val="0"/>
                <w:i w:val="0"/>
                <w:color w:val="0D3856"/>
                <w:sz w:val="19"/>
              </w:rPr>
              <w:t>service mutation paths</w:t>
            </w:r>
          </w:p>
        </w:tc>
        <w:tc>
          <w:tcPr>
            <w:tcW w:type="dxa" w:w="3960"/>
          </w:tcPr>
          <w:p>
            <w:r>
              <w:rPr>
                <w:rFonts w:ascii="Calibri" w:hAnsi="Calibri" w:eastAsia="Calibri"/>
                <w:b w:val="0"/>
                <w:i w:val="0"/>
                <w:color w:val="0D3856"/>
                <w:sz w:val="19"/>
              </w:rPr>
              <w:t>Emit events when records change.</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/audit-logs</w:t>
            </w:r>
          </w:p>
        </w:tc>
        <w:tc>
          <w:tcPr>
            <w:tcW w:type="dxa" w:w="5360"/>
          </w:tcPr>
          <w:p>
            <w:r>
              <w:rPr>
                <w:rFonts w:ascii="Calibri" w:hAnsi="Calibri" w:eastAsia="Calibri"/>
                <w:b w:val="0"/>
                <w:i w:val="0"/>
                <w:color w:val="0D3856"/>
                <w:sz w:val="19"/>
              </w:rPr>
              <w:t>List up to the recent audit records, optionally filtered by entityType.</w:t>
            </w:r>
          </w:p>
        </w:tc>
      </w:tr>
      <w:tr>
        <w:tc>
          <w:tcPr>
            <w:tcW w:type="dxa" w:w="1000"/>
            <w:shd w:fill="F7FAFC"/>
          </w:tcPr>
          <w:p>
            <w:r>
              <w:rPr>
                <w:rFonts w:ascii="Calibri" w:hAnsi="Calibri" w:eastAsia="Calibri"/>
                <w:b/>
                <w:i w:val="0"/>
                <w:color w:val="0D3856"/>
                <w:sz w:val="19"/>
              </w:rPr>
              <w:t>Internal</w:t>
            </w:r>
          </w:p>
        </w:tc>
        <w:tc>
          <w:tcPr>
            <w:tcW w:type="dxa" w:w="3000"/>
          </w:tcPr>
          <w:p>
            <w:r>
              <w:rPr>
                <w:rFonts w:ascii="Calibri" w:hAnsi="Calibri" w:eastAsia="Calibri"/>
                <w:b w:val="0"/>
                <w:i w:val="0"/>
                <w:color w:val="0D3856"/>
                <w:sz w:val="19"/>
              </w:rPr>
              <w:t>Audit service calls</w:t>
            </w:r>
          </w:p>
        </w:tc>
        <w:tc>
          <w:tcPr>
            <w:tcW w:type="dxa" w:w="5360"/>
          </w:tcPr>
          <w:p>
            <w:r>
              <w:rPr>
                <w:rFonts w:ascii="Calibri" w:hAnsi="Calibri" w:eastAsia="Calibri"/>
                <w:b w:val="0"/>
                <w:i w:val="0"/>
                <w:color w:val="0D3856"/>
                <w:sz w:val="19"/>
              </w:rPr>
              <w:t>Write audit events during protected mutations.</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AuditLog</w:t>
            </w:r>
          </w:p>
        </w:tc>
        <w:tc>
          <w:tcPr>
            <w:tcW w:type="dxa" w:w="3900"/>
          </w:tcPr>
          <w:p>
            <w:r>
              <w:rPr>
                <w:rFonts w:ascii="Calibri" w:hAnsi="Calibri" w:eastAsia="Calibri"/>
                <w:b w:val="0"/>
                <w:i w:val="0"/>
                <w:color w:val="0D3856"/>
                <w:sz w:val="19"/>
              </w:rPr>
              <w:t>actorId, entityType, entityId, action, metadata, createdAt</w:t>
            </w:r>
          </w:p>
        </w:tc>
        <w:tc>
          <w:tcPr>
            <w:tcW w:type="dxa" w:w="3660"/>
          </w:tcPr>
          <w:p>
            <w:r>
              <w:rPr>
                <w:rFonts w:ascii="Calibri" w:hAnsi="Calibri" w:eastAsia="Calibri"/>
                <w:b w:val="0"/>
                <w:i w:val="0"/>
                <w:color w:val="0D3856"/>
                <w:sz w:val="19"/>
              </w:rPr>
              <w:t>Immutable-style operational trace.</w:t>
            </w:r>
          </w:p>
        </w:tc>
      </w:tr>
      <w:tr>
        <w:tc>
          <w:tcPr>
            <w:tcW w:type="dxa" w:w="1800"/>
            <w:shd w:fill="F7FAFC"/>
          </w:tcPr>
          <w:p>
            <w:r>
              <w:rPr>
                <w:rFonts w:ascii="Calibri" w:hAnsi="Calibri" w:eastAsia="Calibri"/>
                <w:b/>
                <w:i w:val="0"/>
                <w:color w:val="0D3856"/>
                <w:sz w:val="19"/>
              </w:rPr>
              <w:t>Actor</w:t>
            </w:r>
          </w:p>
        </w:tc>
        <w:tc>
          <w:tcPr>
            <w:tcW w:type="dxa" w:w="3900"/>
          </w:tcPr>
          <w:p>
            <w:r>
              <w:rPr>
                <w:rFonts w:ascii="Calibri" w:hAnsi="Calibri" w:eastAsia="Calibri"/>
                <w:b w:val="0"/>
                <w:i w:val="0"/>
                <w:color w:val="0D3856"/>
                <w:sz w:val="19"/>
              </w:rPr>
              <w:t>User name and email</w:t>
            </w:r>
          </w:p>
        </w:tc>
        <w:tc>
          <w:tcPr>
            <w:tcW w:type="dxa" w:w="3660"/>
          </w:tcPr>
          <w:p>
            <w:r>
              <w:rPr>
                <w:rFonts w:ascii="Calibri" w:hAnsi="Calibri" w:eastAsia="Calibri"/>
                <w:b w:val="0"/>
                <w:i w:val="0"/>
                <w:color w:val="0D3856"/>
                <w:sz w:val="19"/>
              </w:rPr>
              <w:t>Identify the person or service account.</w:t>
            </w:r>
          </w:p>
        </w:tc>
      </w:tr>
      <w:tr>
        <w:tc>
          <w:tcPr>
            <w:tcW w:type="dxa" w:w="1800"/>
            <w:shd w:fill="F7FAFC"/>
          </w:tcPr>
          <w:p>
            <w:r>
              <w:rPr>
                <w:rFonts w:ascii="Calibri" w:hAnsi="Calibri" w:eastAsia="Calibri"/>
                <w:b/>
                <w:i w:val="0"/>
                <w:color w:val="0D3856"/>
                <w:sz w:val="19"/>
              </w:rPr>
              <w:t>Entity</w:t>
            </w:r>
          </w:p>
        </w:tc>
        <w:tc>
          <w:tcPr>
            <w:tcW w:type="dxa" w:w="3900"/>
          </w:tcPr>
          <w:p>
            <w:r>
              <w:rPr>
                <w:rFonts w:ascii="Calibri" w:hAnsi="Calibri" w:eastAsia="Calibri"/>
                <w:b w:val="0"/>
                <w:i w:val="0"/>
                <w:color w:val="0D3856"/>
                <w:sz w:val="19"/>
              </w:rPr>
              <w:t>Business object reference</w:t>
            </w:r>
          </w:p>
        </w:tc>
        <w:tc>
          <w:tcPr>
            <w:tcW w:type="dxa" w:w="3660"/>
          </w:tcPr>
          <w:p>
            <w:r>
              <w:rPr>
                <w:rFonts w:ascii="Calibri" w:hAnsi="Calibri" w:eastAsia="Calibri"/>
                <w:b w:val="0"/>
                <w:i w:val="0"/>
                <w:color w:val="0D3856"/>
                <w:sz w:val="19"/>
              </w:rPr>
              <w:t>Connect event to the changed record.</w:t>
            </w:r>
          </w:p>
        </w:tc>
      </w:tr>
    </w:tbl>
    <w:p>
      <w:pPr>
        <w:spacing w:after="0"/>
      </w:pPr>
    </w:p>
    <w:p>
      <w:pPr>
        <w:pStyle w:val="Heading1"/>
      </w:pPr>
      <w:r>
        <w:t>Primary workflow</w:t>
      </w:r>
    </w:p>
    <w:p>
      <w:pPr>
        <w:pStyle w:val="ListNumber"/>
      </w:pPr>
      <w:r>
        <w:rPr>
          <w:rFonts w:ascii="Calibri" w:hAnsi="Calibri" w:eastAsia="Calibri"/>
          <w:b w:val="0"/>
          <w:i w:val="0"/>
          <w:color w:val="0D3856"/>
          <w:sz w:val="21"/>
        </w:rPr>
        <w:t>A protected mutation performs its business action.</w:t>
      </w:r>
    </w:p>
    <w:p>
      <w:pPr>
        <w:pStyle w:val="ListNumber"/>
      </w:pPr>
      <w:r>
        <w:rPr>
          <w:rFonts w:ascii="Calibri" w:hAnsi="Calibri" w:eastAsia="Calibri"/>
          <w:b w:val="0"/>
          <w:i w:val="0"/>
          <w:color w:val="0D3856"/>
          <w:sz w:val="21"/>
        </w:rPr>
        <w:t>Service writes a corresponding audit event with actor and entity information.</w:t>
      </w:r>
    </w:p>
    <w:p>
      <w:pPr>
        <w:pStyle w:val="ListNumber"/>
      </w:pPr>
      <w:r>
        <w:rPr>
          <w:rFonts w:ascii="Calibri" w:hAnsi="Calibri" w:eastAsia="Calibri"/>
          <w:b w:val="0"/>
          <w:i w:val="0"/>
          <w:color w:val="0D3856"/>
          <w:sz w:val="21"/>
        </w:rPr>
        <w:t>Admin opens the audit view and filters by entity type.</w:t>
      </w:r>
    </w:p>
    <w:p>
      <w:pPr>
        <w:pStyle w:val="ListNumber"/>
      </w:pPr>
      <w:r>
        <w:rPr>
          <w:rFonts w:ascii="Calibri" w:hAnsi="Calibri" w:eastAsia="Calibri"/>
          <w:b w:val="0"/>
          <w:i w:val="0"/>
          <w:color w:val="0D3856"/>
          <w:sz w:val="21"/>
        </w:rPr>
        <w:t>Operations correlate timestamps with jobs, reservations, or sync logs.</w:t>
      </w:r>
    </w:p>
    <w:p>
      <w:pPr>
        <w:pStyle w:val="Heading1"/>
      </w:pPr>
      <w:r>
        <w:t>Access and permissions</w:t>
      </w:r>
    </w:p>
    <w:p>
      <w:pPr>
        <w:pStyle w:val="ListBullet"/>
      </w:pPr>
      <w:r>
        <w:rPr>
          <w:rFonts w:ascii="Calibri" w:hAnsi="Calibri" w:eastAsia="Calibri"/>
          <w:b w:val="0"/>
          <w:i w:val="0"/>
          <w:color w:val="0D3856"/>
          <w:sz w:val="21"/>
        </w:rPr>
        <w:t>Audit listing is protected and restricted to privileged roles.</w:t>
      </w:r>
    </w:p>
    <w:p>
      <w:pPr>
        <w:pStyle w:val="ListBullet"/>
      </w:pPr>
      <w:r>
        <w:rPr>
          <w:rFonts w:ascii="Calibri" w:hAnsi="Calibri" w:eastAsia="Calibri"/>
          <w:b w:val="0"/>
          <w:i w:val="0"/>
          <w:color w:val="0D3856"/>
          <w:sz w:val="21"/>
        </w:rPr>
        <w:t>Audit metadata must avoid raw secrets and excessive personal data.</w:t>
      </w:r>
    </w:p>
    <w:p>
      <w:pPr>
        <w:pStyle w:val="ListBullet"/>
      </w:pPr>
      <w:r>
        <w:rPr>
          <w:rFonts w:ascii="Calibri" w:hAnsi="Calibri" w:eastAsia="Calibri"/>
          <w:b w:val="0"/>
          <w:i w:val="0"/>
          <w:color w:val="0D3856"/>
          <w:sz w:val="21"/>
        </w:rPr>
        <w:t>Deletion or alteration of audit logs should be prohibited or tightly controlled.</w:t>
      </w:r>
    </w:p>
    <w:p>
      <w:pPr>
        <w:pStyle w:val="Heading1"/>
      </w:pPr>
      <w:r>
        <w:t>Risks, boundaries, and implementation notes</w:t>
      </w:r>
    </w:p>
    <w:p>
      <w:pPr>
        <w:pStyle w:val="ListBullet"/>
      </w:pPr>
      <w:r>
        <w:rPr>
          <w:rFonts w:ascii="Calibri" w:hAnsi="Calibri" w:eastAsia="Calibri"/>
          <w:b w:val="0"/>
          <w:i w:val="0"/>
          <w:color w:val="0D3856"/>
          <w:sz w:val="21"/>
        </w:rPr>
        <w:t>Not every mutation is automatically auditable; event coverage should be reviewed.</w:t>
      </w:r>
    </w:p>
    <w:p>
      <w:pPr>
        <w:pStyle w:val="ListBullet"/>
      </w:pPr>
      <w:r>
        <w:rPr>
          <w:rFonts w:ascii="Calibri" w:hAnsi="Calibri" w:eastAsia="Calibri"/>
          <w:b w:val="0"/>
          <w:i w:val="0"/>
          <w:color w:val="0D3856"/>
          <w:sz w:val="21"/>
        </w:rPr>
        <w:t>Metadata can accidentally contain tokens or payment data if unfiltered.</w:t>
      </w:r>
    </w:p>
    <w:p>
      <w:pPr>
        <w:pStyle w:val="ListBullet"/>
      </w:pPr>
      <w:r>
        <w:rPr>
          <w:rFonts w:ascii="Calibri" w:hAnsi="Calibri" w:eastAsia="Calibri"/>
          <w:b w:val="0"/>
          <w:i w:val="0"/>
          <w:color w:val="0D3856"/>
          <w:sz w:val="21"/>
        </w:rPr>
        <w:t>Retention and export policy is not a substitute for monitoring/alerting.</w:t>
      </w:r>
    </w:p>
    <w:p>
      <w:pPr>
        <w:pStyle w:val="Heading1"/>
      </w:pPr>
      <w:r>
        <w:t>Recommended verification scenarios</w:t>
      </w:r>
    </w:p>
    <w:p>
      <w:pPr>
        <w:pStyle w:val="ListBullet"/>
      </w:pPr>
      <w:r>
        <w:rPr>
          <w:rFonts w:ascii="Calibri" w:hAnsi="Calibri" w:eastAsia="Calibri"/>
          <w:b w:val="0"/>
          <w:i w:val="0"/>
          <w:color w:val="0D3856"/>
          <w:sz w:val="21"/>
        </w:rPr>
        <w:t>Perform a hotel, user, reservation, and payment mutation and verify audit records.</w:t>
      </w:r>
    </w:p>
    <w:p>
      <w:pPr>
        <w:pStyle w:val="ListBullet"/>
      </w:pPr>
      <w:r>
        <w:rPr>
          <w:rFonts w:ascii="Calibri" w:hAnsi="Calibri" w:eastAsia="Calibri"/>
          <w:b w:val="0"/>
          <w:i w:val="0"/>
          <w:color w:val="0D3856"/>
          <w:sz w:val="21"/>
        </w:rPr>
        <w:t>Filter by entityType and confirm the result set.</w:t>
      </w:r>
    </w:p>
    <w:p>
      <w:pPr>
        <w:pStyle w:val="ListBullet"/>
      </w:pPr>
      <w:r>
        <w:rPr>
          <w:rFonts w:ascii="Calibri" w:hAnsi="Calibri" w:eastAsia="Calibri"/>
          <w:b w:val="0"/>
          <w:i w:val="0"/>
          <w:color w:val="0D3856"/>
          <w:sz w:val="21"/>
        </w:rPr>
        <w:t>Verify a non-privileged role cannot list audit logs.</w:t>
      </w:r>
    </w:p>
    <w:p>
      <w:pPr>
        <w:pStyle w:val="ListBullet"/>
      </w:pPr>
      <w:r>
        <w:rPr>
          <w:rFonts w:ascii="Calibri" w:hAnsi="Calibri" w:eastAsia="Calibri"/>
          <w:b w:val="0"/>
          <w:i w:val="0"/>
          <w:color w:val="0D3856"/>
          <w:sz w:val="21"/>
        </w:rPr>
        <w:t>Inspect metadata for secrets before production use.</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